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F85C9">
      <w:pPr>
        <w:rPr>
          <w:rFonts w:eastAsia="黑体"/>
          <w:strike w:val="0"/>
          <w:dstrike w:val="0"/>
          <w:color w:val="auto"/>
          <w:sz w:val="24"/>
          <w:highlight w:val="none"/>
        </w:rPr>
      </w:pPr>
      <w:bookmarkStart w:id="0" w:name="_Hlk57884087"/>
    </w:p>
    <w:p w14:paraId="57D7DBC2">
      <w:pPr>
        <w:rPr>
          <w:rFonts w:eastAsia="黑体"/>
          <w:strike w:val="0"/>
          <w:dstrike w:val="0"/>
          <w:color w:val="auto"/>
          <w:sz w:val="24"/>
          <w:highlight w:val="none"/>
        </w:rPr>
      </w:pPr>
    </w:p>
    <w:p w14:paraId="39F822E9">
      <w:pPr>
        <w:rPr>
          <w:rFonts w:eastAsia="黑体"/>
          <w:strike w:val="0"/>
          <w:dstrike w:val="0"/>
          <w:color w:val="auto"/>
          <w:sz w:val="24"/>
          <w:highlight w:val="none"/>
        </w:rPr>
      </w:pPr>
    </w:p>
    <w:p w14:paraId="0B782257">
      <w:pPr>
        <w:rPr>
          <w:rFonts w:eastAsia="黑体"/>
          <w:strike w:val="0"/>
          <w:dstrike w:val="0"/>
          <w:color w:val="auto"/>
          <w:sz w:val="72"/>
          <w:szCs w:val="72"/>
          <w:highlight w:val="none"/>
        </w:rPr>
      </w:pPr>
    </w:p>
    <w:p w14:paraId="3D7FDDE9">
      <w:pPr>
        <w:adjustRightInd w:val="0"/>
        <w:snapToGrid w:val="0"/>
        <w:jc w:val="center"/>
        <w:outlineLvl w:val="0"/>
        <w:rPr>
          <w:rFonts w:eastAsia="等线"/>
          <w:bCs/>
          <w:strike w:val="0"/>
          <w:dstrike w:val="0"/>
          <w:color w:val="auto"/>
          <w:sz w:val="72"/>
          <w:szCs w:val="72"/>
          <w:highlight w:val="none"/>
        </w:rPr>
      </w:pPr>
      <w:r>
        <w:rPr>
          <w:rFonts w:eastAsia="等线"/>
          <w:bCs/>
          <w:strike w:val="0"/>
          <w:dstrike w:val="0"/>
          <w:color w:val="auto"/>
          <w:sz w:val="72"/>
          <w:szCs w:val="72"/>
          <w:highlight w:val="none"/>
        </w:rPr>
        <w:t>建设项目环境影响报告表</w:t>
      </w:r>
    </w:p>
    <w:p w14:paraId="7A6B7C5F">
      <w:pPr>
        <w:adjustRightInd w:val="0"/>
        <w:snapToGrid w:val="0"/>
        <w:spacing w:before="192" w:beforeLines="80"/>
        <w:jc w:val="center"/>
        <w:rPr>
          <w:bCs/>
          <w:strike w:val="0"/>
          <w:dstrike w:val="0"/>
          <w:color w:val="auto"/>
          <w:sz w:val="48"/>
          <w:szCs w:val="48"/>
          <w:highlight w:val="none"/>
        </w:rPr>
      </w:pPr>
      <w:r>
        <w:rPr>
          <w:bCs/>
          <w:strike w:val="0"/>
          <w:dstrike w:val="0"/>
          <w:color w:val="auto"/>
          <w:sz w:val="48"/>
          <w:szCs w:val="48"/>
          <w:highlight w:val="none"/>
        </w:rPr>
        <w:t>（污染影响类）</w:t>
      </w:r>
    </w:p>
    <w:p w14:paraId="64ABF2BA">
      <w:pPr>
        <w:jc w:val="center"/>
        <w:rPr>
          <w:rFonts w:hint="eastAsia" w:eastAsia="宋体"/>
          <w:bCs/>
          <w:strike w:val="0"/>
          <w:dstrike w:val="0"/>
          <w:color w:val="auto"/>
          <w:sz w:val="48"/>
          <w:szCs w:val="48"/>
          <w:highlight w:val="none"/>
          <w:lang w:eastAsia="zh-CN"/>
        </w:rPr>
      </w:pPr>
      <w:r>
        <w:rPr>
          <w:rFonts w:hint="eastAsia"/>
          <w:bCs/>
          <w:strike w:val="0"/>
          <w:dstrike w:val="0"/>
          <w:color w:val="auto"/>
          <w:sz w:val="48"/>
          <w:szCs w:val="48"/>
          <w:highlight w:val="none"/>
          <w:lang w:eastAsia="zh-CN"/>
        </w:rPr>
        <w:t>（</w:t>
      </w:r>
      <w:r>
        <w:rPr>
          <w:rFonts w:hint="eastAsia"/>
          <w:bCs/>
          <w:strike w:val="0"/>
          <w:dstrike w:val="0"/>
          <w:color w:val="auto"/>
          <w:sz w:val="48"/>
          <w:szCs w:val="48"/>
          <w:highlight w:val="none"/>
          <w:lang w:val="en-US" w:eastAsia="zh-CN"/>
        </w:rPr>
        <w:t>公示版</w:t>
      </w:r>
      <w:r>
        <w:rPr>
          <w:rFonts w:hint="eastAsia"/>
          <w:bCs/>
          <w:strike w:val="0"/>
          <w:dstrike w:val="0"/>
          <w:color w:val="auto"/>
          <w:sz w:val="48"/>
          <w:szCs w:val="48"/>
          <w:highlight w:val="none"/>
          <w:lang w:eastAsia="zh-CN"/>
        </w:rPr>
        <w:t>）</w:t>
      </w:r>
    </w:p>
    <w:p w14:paraId="33A981D6">
      <w:pPr>
        <w:ind w:firstLine="1040"/>
        <w:rPr>
          <w:rFonts w:eastAsia="Arial"/>
          <w:strike w:val="0"/>
          <w:dstrike w:val="0"/>
          <w:color w:val="auto"/>
          <w:sz w:val="24"/>
          <w:highlight w:val="none"/>
        </w:rPr>
      </w:pPr>
    </w:p>
    <w:p w14:paraId="6A79FE7F">
      <w:pPr>
        <w:ind w:firstLine="1040"/>
        <w:rPr>
          <w:rFonts w:eastAsia="Arial"/>
          <w:strike w:val="0"/>
          <w:dstrike w:val="0"/>
          <w:color w:val="auto"/>
          <w:sz w:val="24"/>
          <w:highlight w:val="none"/>
        </w:rPr>
      </w:pPr>
    </w:p>
    <w:p w14:paraId="786DE10B">
      <w:pPr>
        <w:ind w:firstLine="1040"/>
        <w:rPr>
          <w:rFonts w:eastAsia="Arial"/>
          <w:strike w:val="0"/>
          <w:dstrike w:val="0"/>
          <w:color w:val="auto"/>
          <w:sz w:val="24"/>
          <w:highlight w:val="none"/>
        </w:rPr>
      </w:pPr>
    </w:p>
    <w:p w14:paraId="196B27B5">
      <w:pPr>
        <w:ind w:firstLine="1040"/>
        <w:rPr>
          <w:rFonts w:eastAsia="Arial"/>
          <w:strike w:val="0"/>
          <w:dstrike w:val="0"/>
          <w:color w:val="auto"/>
          <w:sz w:val="24"/>
          <w:highlight w:val="none"/>
        </w:rPr>
      </w:pPr>
    </w:p>
    <w:p w14:paraId="44BB60EA">
      <w:pPr>
        <w:ind w:firstLine="1040"/>
        <w:rPr>
          <w:rFonts w:eastAsia="Arial"/>
          <w:strike w:val="0"/>
          <w:dstrike w:val="0"/>
          <w:color w:val="auto"/>
          <w:sz w:val="24"/>
          <w:highlight w:val="none"/>
        </w:rPr>
      </w:pPr>
    </w:p>
    <w:p w14:paraId="6332B21B">
      <w:pPr>
        <w:ind w:firstLine="1040"/>
        <w:rPr>
          <w:rFonts w:eastAsia="Arial"/>
          <w:strike w:val="0"/>
          <w:dstrike w:val="0"/>
          <w:color w:val="auto"/>
          <w:sz w:val="24"/>
          <w:highlight w:val="none"/>
        </w:rPr>
      </w:pPr>
    </w:p>
    <w:p w14:paraId="5014A027">
      <w:pPr>
        <w:ind w:firstLine="1040"/>
        <w:rPr>
          <w:rFonts w:eastAsia="Arial"/>
          <w:strike w:val="0"/>
          <w:dstrike w:val="0"/>
          <w:color w:val="auto"/>
          <w:sz w:val="24"/>
          <w:highlight w:val="none"/>
        </w:rPr>
      </w:pPr>
    </w:p>
    <w:p w14:paraId="31A14C65">
      <w:pPr>
        <w:ind w:firstLine="1040"/>
        <w:rPr>
          <w:strike w:val="0"/>
          <w:dstrike w:val="0"/>
          <w:color w:val="auto"/>
          <w:sz w:val="24"/>
          <w:highlight w:val="none"/>
        </w:rPr>
      </w:pPr>
    </w:p>
    <w:p w14:paraId="083DED97">
      <w:pPr>
        <w:adjustRightInd w:val="0"/>
        <w:snapToGrid w:val="0"/>
        <w:spacing w:line="288" w:lineRule="auto"/>
        <w:ind w:left="1890" w:leftChars="300" w:hanging="1260" w:hangingChars="350"/>
        <w:jc w:val="left"/>
        <w:rPr>
          <w:strike w:val="0"/>
          <w:dstrike w:val="0"/>
          <w:color w:val="auto"/>
          <w:sz w:val="36"/>
          <w:szCs w:val="36"/>
          <w:highlight w:val="none"/>
          <w:u w:val="single"/>
        </w:rPr>
      </w:pPr>
      <w:r>
        <w:rPr>
          <w:strike w:val="0"/>
          <w:dstrike w:val="0"/>
          <w:color w:val="auto"/>
          <w:sz w:val="36"/>
          <w:szCs w:val="36"/>
          <w:highlight w:val="none"/>
        </w:rPr>
        <w:t>项  目  名  称：</w:t>
      </w:r>
      <w:r>
        <w:rPr>
          <w:strike w:val="0"/>
          <w:dstrike w:val="0"/>
          <w:color w:val="auto"/>
          <w:sz w:val="36"/>
          <w:szCs w:val="36"/>
          <w:highlight w:val="none"/>
          <w:u w:val="single"/>
        </w:rPr>
        <w:t>合川区土场综合能源站工程</w:t>
      </w:r>
    </w:p>
    <w:p w14:paraId="617C72A4">
      <w:pPr>
        <w:adjustRightInd w:val="0"/>
        <w:snapToGrid w:val="0"/>
        <w:spacing w:line="288" w:lineRule="auto"/>
        <w:ind w:left="1890" w:leftChars="300" w:hanging="1260" w:hangingChars="350"/>
        <w:jc w:val="left"/>
        <w:rPr>
          <w:strike w:val="0"/>
          <w:dstrike w:val="0"/>
          <w:color w:val="auto"/>
          <w:sz w:val="36"/>
          <w:szCs w:val="36"/>
          <w:highlight w:val="none"/>
          <w:u w:val="single"/>
        </w:rPr>
      </w:pPr>
    </w:p>
    <w:p w14:paraId="1E8392A3">
      <w:pPr>
        <w:adjustRightInd w:val="0"/>
        <w:snapToGrid w:val="0"/>
        <w:spacing w:line="288" w:lineRule="auto"/>
        <w:ind w:left="1890" w:leftChars="300" w:hanging="1260" w:hangingChars="350"/>
        <w:jc w:val="left"/>
        <w:rPr>
          <w:strike w:val="0"/>
          <w:dstrike w:val="0"/>
          <w:color w:val="auto"/>
          <w:sz w:val="36"/>
          <w:szCs w:val="36"/>
          <w:highlight w:val="none"/>
          <w:u w:val="single"/>
        </w:rPr>
      </w:pPr>
      <w:r>
        <w:rPr>
          <w:strike w:val="0"/>
          <w:dstrike w:val="0"/>
          <w:color w:val="auto"/>
          <w:sz w:val="36"/>
          <w:szCs w:val="36"/>
          <w:highlight w:val="none"/>
        </w:rPr>
        <w:t>建设单位（盖章）：</w:t>
      </w:r>
      <w:r>
        <w:rPr>
          <w:strike w:val="0"/>
          <w:dstrike w:val="0"/>
          <w:color w:val="auto"/>
          <w:sz w:val="36"/>
          <w:szCs w:val="36"/>
          <w:highlight w:val="none"/>
          <w:u w:val="single"/>
        </w:rPr>
        <w:t>重庆合川燃气有限责任公司</w:t>
      </w:r>
    </w:p>
    <w:p w14:paraId="5BD42017">
      <w:pPr>
        <w:adjustRightInd w:val="0"/>
        <w:snapToGrid w:val="0"/>
        <w:spacing w:line="288" w:lineRule="auto"/>
        <w:ind w:left="2340" w:hanging="2340" w:hangingChars="650"/>
        <w:rPr>
          <w:strike w:val="0"/>
          <w:dstrike w:val="0"/>
          <w:color w:val="auto"/>
          <w:sz w:val="36"/>
          <w:szCs w:val="36"/>
          <w:highlight w:val="none"/>
        </w:rPr>
      </w:pPr>
    </w:p>
    <w:p w14:paraId="759258AE">
      <w:pPr>
        <w:adjustRightInd w:val="0"/>
        <w:snapToGrid w:val="0"/>
        <w:spacing w:line="288" w:lineRule="auto"/>
        <w:ind w:left="1890" w:leftChars="300" w:hanging="1260" w:hangingChars="350"/>
        <w:jc w:val="left"/>
        <w:rPr>
          <w:strike w:val="0"/>
          <w:dstrike w:val="0"/>
          <w:color w:val="auto"/>
          <w:sz w:val="36"/>
          <w:szCs w:val="36"/>
          <w:highlight w:val="none"/>
          <w:u w:val="single"/>
        </w:rPr>
      </w:pPr>
      <w:r>
        <w:rPr>
          <w:rFonts w:hint="eastAsia"/>
          <w:strike w:val="0"/>
          <w:dstrike w:val="0"/>
          <w:color w:val="auto"/>
          <w:sz w:val="36"/>
          <w:szCs w:val="36"/>
          <w:highlight w:val="none"/>
          <w:lang w:val="en-US" w:eastAsia="zh-CN"/>
        </w:rPr>
        <w:t>编</w:t>
      </w:r>
      <w:r>
        <w:rPr>
          <w:strike w:val="0"/>
          <w:dstrike w:val="0"/>
          <w:color w:val="auto"/>
          <w:sz w:val="36"/>
          <w:szCs w:val="36"/>
          <w:highlight w:val="none"/>
        </w:rPr>
        <w:t xml:space="preserve">  制  日  期：</w:t>
      </w:r>
      <w:r>
        <w:rPr>
          <w:strike w:val="0"/>
          <w:dstrike w:val="0"/>
          <w:color w:val="auto"/>
          <w:sz w:val="36"/>
          <w:szCs w:val="36"/>
          <w:highlight w:val="none"/>
          <w:u w:val="single"/>
        </w:rPr>
        <w:t xml:space="preserve"> 202</w:t>
      </w:r>
      <w:r>
        <w:rPr>
          <w:rFonts w:hint="eastAsia"/>
          <w:strike w:val="0"/>
          <w:dstrike w:val="0"/>
          <w:color w:val="auto"/>
          <w:sz w:val="36"/>
          <w:szCs w:val="36"/>
          <w:highlight w:val="none"/>
          <w:u w:val="single"/>
        </w:rPr>
        <w:t>5</w:t>
      </w:r>
      <w:r>
        <w:rPr>
          <w:strike w:val="0"/>
          <w:dstrike w:val="0"/>
          <w:color w:val="auto"/>
          <w:sz w:val="36"/>
          <w:szCs w:val="36"/>
          <w:highlight w:val="none"/>
          <w:u w:val="single"/>
        </w:rPr>
        <w:t xml:space="preserve">年 </w:t>
      </w:r>
      <w:r>
        <w:rPr>
          <w:rFonts w:hint="eastAsia"/>
          <w:strike w:val="0"/>
          <w:dstrike w:val="0"/>
          <w:color w:val="auto"/>
          <w:sz w:val="36"/>
          <w:szCs w:val="36"/>
          <w:highlight w:val="none"/>
          <w:u w:val="single"/>
          <w:lang w:val="en-US" w:eastAsia="zh-CN"/>
        </w:rPr>
        <w:t>4</w:t>
      </w:r>
      <w:r>
        <w:rPr>
          <w:strike w:val="0"/>
          <w:dstrike w:val="0"/>
          <w:color w:val="auto"/>
          <w:sz w:val="36"/>
          <w:szCs w:val="36"/>
          <w:highlight w:val="none"/>
          <w:u w:val="single"/>
        </w:rPr>
        <w:t xml:space="preserve"> 月 </w:t>
      </w:r>
      <w:bookmarkStart w:id="1" w:name="OfficeAI_Del_6_85"/>
    </w:p>
    <w:bookmarkEnd w:id="1"/>
    <w:p w14:paraId="6D3270EB">
      <w:pPr>
        <w:adjustRightInd w:val="0"/>
        <w:snapToGrid w:val="0"/>
        <w:spacing w:line="288" w:lineRule="auto"/>
        <w:ind w:firstLine="1040"/>
        <w:rPr>
          <w:strike w:val="0"/>
          <w:dstrike w:val="0"/>
          <w:color w:val="auto"/>
          <w:sz w:val="36"/>
          <w:szCs w:val="36"/>
          <w:highlight w:val="none"/>
          <w:u w:val="single"/>
        </w:rPr>
      </w:pPr>
    </w:p>
    <w:p w14:paraId="7304EBB8">
      <w:pPr>
        <w:adjustRightInd w:val="0"/>
        <w:snapToGrid w:val="0"/>
        <w:spacing w:line="288" w:lineRule="auto"/>
        <w:ind w:firstLine="1040"/>
        <w:rPr>
          <w:rFonts w:eastAsia="黑体"/>
          <w:strike w:val="0"/>
          <w:dstrike w:val="0"/>
          <w:color w:val="auto"/>
          <w:sz w:val="24"/>
          <w:highlight w:val="none"/>
        </w:rPr>
      </w:pPr>
    </w:p>
    <w:p w14:paraId="0C79947F">
      <w:pPr>
        <w:adjustRightInd w:val="0"/>
        <w:snapToGrid w:val="0"/>
        <w:spacing w:line="288" w:lineRule="auto"/>
        <w:ind w:firstLine="1040"/>
        <w:rPr>
          <w:rFonts w:eastAsia="黑体"/>
          <w:strike w:val="0"/>
          <w:dstrike w:val="0"/>
          <w:color w:val="auto"/>
          <w:sz w:val="24"/>
          <w:highlight w:val="none"/>
        </w:rPr>
      </w:pPr>
    </w:p>
    <w:p w14:paraId="3A29E89E">
      <w:pPr>
        <w:adjustRightInd w:val="0"/>
        <w:snapToGrid w:val="0"/>
        <w:spacing w:line="288" w:lineRule="auto"/>
        <w:ind w:firstLine="1040"/>
        <w:rPr>
          <w:rFonts w:eastAsia="黑体"/>
          <w:strike w:val="0"/>
          <w:dstrike w:val="0"/>
          <w:color w:val="auto"/>
          <w:sz w:val="24"/>
          <w:highlight w:val="none"/>
        </w:rPr>
      </w:pPr>
    </w:p>
    <w:p w14:paraId="0C7A0671">
      <w:pPr>
        <w:adjustRightInd w:val="0"/>
        <w:snapToGrid w:val="0"/>
        <w:spacing w:line="288" w:lineRule="auto"/>
        <w:ind w:firstLine="1040"/>
        <w:rPr>
          <w:rFonts w:eastAsia="黑体"/>
          <w:strike w:val="0"/>
          <w:dstrike w:val="0"/>
          <w:color w:val="auto"/>
          <w:sz w:val="24"/>
          <w:highlight w:val="none"/>
        </w:rPr>
      </w:pPr>
    </w:p>
    <w:p w14:paraId="4F463525">
      <w:pPr>
        <w:adjustRightInd w:val="0"/>
        <w:snapToGrid w:val="0"/>
        <w:spacing w:line="288" w:lineRule="auto"/>
        <w:ind w:firstLine="1040"/>
        <w:rPr>
          <w:rFonts w:eastAsia="黑体"/>
          <w:strike w:val="0"/>
          <w:dstrike w:val="0"/>
          <w:color w:val="auto"/>
          <w:sz w:val="24"/>
          <w:highlight w:val="none"/>
        </w:rPr>
      </w:pPr>
    </w:p>
    <w:p w14:paraId="01A607B7">
      <w:pPr>
        <w:adjustRightInd w:val="0"/>
        <w:snapToGrid w:val="0"/>
        <w:spacing w:line="288" w:lineRule="auto"/>
        <w:ind w:firstLine="1040"/>
        <w:rPr>
          <w:rFonts w:eastAsia="黑体"/>
          <w:strike w:val="0"/>
          <w:dstrike w:val="0"/>
          <w:color w:val="auto"/>
          <w:sz w:val="24"/>
          <w:highlight w:val="none"/>
        </w:rPr>
      </w:pPr>
    </w:p>
    <w:p w14:paraId="08F146FC">
      <w:pPr>
        <w:adjustRightInd w:val="0"/>
        <w:snapToGrid w:val="0"/>
        <w:spacing w:line="288" w:lineRule="auto"/>
        <w:ind w:firstLine="1040"/>
        <w:rPr>
          <w:rFonts w:eastAsia="黑体"/>
          <w:strike w:val="0"/>
          <w:dstrike w:val="0"/>
          <w:color w:val="auto"/>
          <w:sz w:val="24"/>
          <w:highlight w:val="none"/>
        </w:rPr>
      </w:pPr>
    </w:p>
    <w:p w14:paraId="61C54CF1">
      <w:pPr>
        <w:adjustRightInd w:val="0"/>
        <w:snapToGrid w:val="0"/>
        <w:spacing w:line="288" w:lineRule="auto"/>
        <w:ind w:firstLine="1040"/>
        <w:rPr>
          <w:rFonts w:eastAsia="黑体"/>
          <w:strike w:val="0"/>
          <w:dstrike w:val="0"/>
          <w:color w:val="auto"/>
          <w:sz w:val="24"/>
          <w:highlight w:val="none"/>
        </w:rPr>
      </w:pPr>
    </w:p>
    <w:p w14:paraId="6002912C">
      <w:pPr>
        <w:adjustRightInd w:val="0"/>
        <w:snapToGrid w:val="0"/>
        <w:spacing w:line="288" w:lineRule="auto"/>
        <w:ind w:firstLine="1040"/>
        <w:rPr>
          <w:rFonts w:eastAsia="黑体"/>
          <w:strike w:val="0"/>
          <w:dstrike w:val="0"/>
          <w:color w:val="auto"/>
          <w:sz w:val="24"/>
          <w:highlight w:val="none"/>
        </w:rPr>
      </w:pPr>
    </w:p>
    <w:p w14:paraId="0C76DB7B">
      <w:pPr>
        <w:adjustRightInd w:val="0"/>
        <w:snapToGrid w:val="0"/>
        <w:spacing w:line="288" w:lineRule="auto"/>
        <w:rPr>
          <w:rFonts w:eastAsia="黑体"/>
          <w:strike w:val="0"/>
          <w:dstrike w:val="0"/>
          <w:color w:val="auto"/>
          <w:sz w:val="24"/>
          <w:highlight w:val="none"/>
        </w:rPr>
      </w:pPr>
    </w:p>
    <w:p w14:paraId="30A58328">
      <w:pPr>
        <w:adjustRightInd w:val="0"/>
        <w:snapToGrid w:val="0"/>
        <w:spacing w:line="288" w:lineRule="auto"/>
        <w:jc w:val="center"/>
        <w:rPr>
          <w:rFonts w:hint="eastAsia" w:eastAsia="宋体"/>
          <w:strike w:val="0"/>
          <w:dstrike w:val="0"/>
          <w:color w:val="auto"/>
          <w:highlight w:val="none"/>
          <w:lang w:val="en-US" w:eastAsia="zh-CN"/>
        </w:rPr>
      </w:pPr>
      <w:r>
        <w:rPr>
          <w:rFonts w:eastAsia="Calibri Light"/>
          <w:strike w:val="0"/>
          <w:dstrike w:val="0"/>
          <w:color w:val="auto"/>
          <w:sz w:val="36"/>
          <w:szCs w:val="36"/>
          <w:highlight w:val="none"/>
        </w:rPr>
        <w:t>中华人民共和国生态环境部</w:t>
      </w:r>
      <w:r>
        <w:rPr>
          <w:rFonts w:hint="eastAsia" w:eastAsia="宋体"/>
          <w:strike w:val="0"/>
          <w:dstrike w:val="0"/>
          <w:color w:val="auto"/>
          <w:sz w:val="36"/>
          <w:szCs w:val="36"/>
          <w:highlight w:val="none"/>
          <w:lang w:val="en-US" w:eastAsia="zh-CN"/>
        </w:rPr>
        <w:t>制</w:t>
      </w:r>
    </w:p>
    <w:bookmarkEnd w:id="0"/>
    <w:p w14:paraId="4D59301E">
      <w:pPr>
        <w:adjustRightInd w:val="0"/>
        <w:snapToGrid w:val="0"/>
        <w:spacing w:line="288" w:lineRule="auto"/>
        <w:rPr>
          <w:rFonts w:eastAsia="黑体"/>
          <w:strike w:val="0"/>
          <w:dstrike w:val="0"/>
          <w:color w:val="auto"/>
          <w:sz w:val="24"/>
          <w:highlight w:val="none"/>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14:paraId="150D499E">
      <w:pPr>
        <w:pStyle w:val="18"/>
        <w:jc w:val="center"/>
        <w:outlineLvl w:val="0"/>
        <w:rPr>
          <w:color w:val="auto"/>
        </w:rPr>
      </w:pPr>
      <w:r>
        <w:rPr>
          <w:color w:val="auto"/>
        </w:rPr>
        <w:drawing>
          <wp:inline distT="0" distB="0" distL="114300" distR="114300">
            <wp:extent cx="5686425" cy="8031480"/>
            <wp:effectExtent l="0" t="0" r="9525" b="762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0"/>
                    <a:stretch>
                      <a:fillRect/>
                    </a:stretch>
                  </pic:blipFill>
                  <pic:spPr>
                    <a:xfrm>
                      <a:off x="0" y="0"/>
                      <a:ext cx="5686425" cy="8031480"/>
                    </a:xfrm>
                    <a:prstGeom prst="rect">
                      <a:avLst/>
                    </a:prstGeom>
                    <a:noFill/>
                    <a:ln>
                      <a:noFill/>
                    </a:ln>
                  </pic:spPr>
                </pic:pic>
              </a:graphicData>
            </a:graphic>
          </wp:inline>
        </w:drawing>
      </w:r>
    </w:p>
    <w:p w14:paraId="01220082">
      <w:pPr>
        <w:jc w:val="center"/>
        <w:rPr>
          <w:color w:val="auto"/>
        </w:rPr>
      </w:pPr>
      <w:r>
        <w:rPr>
          <w:color w:val="auto"/>
        </w:rPr>
        <w:drawing>
          <wp:inline distT="0" distB="0" distL="114300" distR="114300">
            <wp:extent cx="5623560" cy="7779385"/>
            <wp:effectExtent l="0" t="0" r="15240" b="1206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1"/>
                    <a:stretch>
                      <a:fillRect/>
                    </a:stretch>
                  </pic:blipFill>
                  <pic:spPr>
                    <a:xfrm>
                      <a:off x="0" y="0"/>
                      <a:ext cx="5623560" cy="7779385"/>
                    </a:xfrm>
                    <a:prstGeom prst="rect">
                      <a:avLst/>
                    </a:prstGeom>
                    <a:noFill/>
                    <a:ln>
                      <a:noFill/>
                    </a:ln>
                  </pic:spPr>
                </pic:pic>
              </a:graphicData>
            </a:graphic>
          </wp:inline>
        </w:drawing>
      </w:r>
      <w:r>
        <w:rPr>
          <w:color w:val="auto"/>
        </w:rPr>
        <w:br w:type="page"/>
      </w:r>
    </w:p>
    <w:p w14:paraId="4052DA48">
      <w:pPr>
        <w:pStyle w:val="18"/>
        <w:jc w:val="center"/>
        <w:outlineLvl w:val="0"/>
        <w:rPr>
          <w:rFonts w:ascii="Times New Roman" w:hAnsi="Times New Roman" w:eastAsia="黑体"/>
          <w:strike w:val="0"/>
          <w:dstrike w:val="0"/>
          <w:snapToGrid w:val="0"/>
          <w:color w:val="auto"/>
          <w:sz w:val="30"/>
          <w:szCs w:val="30"/>
          <w:highlight w:val="none"/>
        </w:rPr>
      </w:pPr>
      <w:r>
        <w:rPr>
          <w:rFonts w:ascii="Times New Roman" w:hAnsi="Times New Roman" w:eastAsia="黑体"/>
          <w:strike w:val="0"/>
          <w:dstrike w:val="0"/>
          <w:snapToGrid w:val="0"/>
          <w:color w:val="auto"/>
          <w:sz w:val="30"/>
          <w:szCs w:val="30"/>
          <w:highlight w:val="none"/>
        </w:rPr>
        <w:t>一、建设项目基本</w:t>
      </w:r>
      <w:r>
        <w:rPr>
          <w:rFonts w:hint="eastAsia" w:ascii="Times New Roman" w:hAnsi="Times New Roman" w:eastAsia="黑体"/>
          <w:strike w:val="0"/>
          <w:dstrike w:val="0"/>
          <w:snapToGrid w:val="0"/>
          <w:color w:val="auto"/>
          <w:sz w:val="30"/>
          <w:szCs w:val="30"/>
          <w:highlight w:val="none"/>
          <w:lang w:val="en-US" w:eastAsia="zh-CN"/>
        </w:rPr>
        <w:t>情况</w:t>
      </w:r>
    </w:p>
    <w:tbl>
      <w:tblPr>
        <w:tblStyle w:val="22"/>
        <w:tblW w:w="49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36"/>
        <w:gridCol w:w="1597"/>
        <w:gridCol w:w="1689"/>
        <w:gridCol w:w="1741"/>
        <w:gridCol w:w="2842"/>
      </w:tblGrid>
      <w:tr w14:paraId="71DC4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pct"/>
            <w:gridSpan w:val="2"/>
            <w:tcMar>
              <w:top w:w="16" w:type="dxa"/>
              <w:left w:w="16" w:type="dxa"/>
              <w:right w:w="16" w:type="dxa"/>
            </w:tcMar>
            <w:vAlign w:val="center"/>
          </w:tcPr>
          <w:p w14:paraId="64686C8E">
            <w:pPr>
              <w:adjustRightInd w:val="0"/>
              <w:snapToGrid w:val="0"/>
              <w:jc w:val="center"/>
              <w:rPr>
                <w:strike w:val="0"/>
                <w:dstrike w:val="0"/>
                <w:color w:val="auto"/>
                <w:sz w:val="24"/>
                <w:highlight w:val="none"/>
              </w:rPr>
            </w:pPr>
            <w:r>
              <w:rPr>
                <w:strike w:val="0"/>
                <w:dstrike w:val="0"/>
                <w:color w:val="auto"/>
                <w:sz w:val="24"/>
                <w:highlight w:val="none"/>
              </w:rPr>
              <w:t>建设项目名称</w:t>
            </w:r>
          </w:p>
        </w:tc>
        <w:tc>
          <w:tcPr>
            <w:tcW w:w="3776" w:type="pct"/>
            <w:gridSpan w:val="3"/>
            <w:vAlign w:val="center"/>
          </w:tcPr>
          <w:p w14:paraId="2BFCC281">
            <w:pPr>
              <w:adjustRightInd w:val="0"/>
              <w:snapToGrid w:val="0"/>
              <w:jc w:val="center"/>
              <w:rPr>
                <w:strike w:val="0"/>
                <w:dstrike w:val="0"/>
                <w:color w:val="auto"/>
                <w:sz w:val="24"/>
                <w:highlight w:val="none"/>
              </w:rPr>
            </w:pPr>
            <w:r>
              <w:rPr>
                <w:strike w:val="0"/>
                <w:dstrike w:val="0"/>
                <w:color w:val="auto"/>
                <w:sz w:val="24"/>
                <w:highlight w:val="none"/>
              </w:rPr>
              <w:t>合川区土场综合能源站工程</w:t>
            </w:r>
          </w:p>
        </w:tc>
      </w:tr>
      <w:tr w14:paraId="655BB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pct"/>
            <w:gridSpan w:val="2"/>
            <w:tcMar>
              <w:top w:w="16" w:type="dxa"/>
              <w:left w:w="16" w:type="dxa"/>
              <w:right w:w="16" w:type="dxa"/>
            </w:tcMar>
            <w:vAlign w:val="center"/>
          </w:tcPr>
          <w:p w14:paraId="279940FE">
            <w:pPr>
              <w:adjustRightInd w:val="0"/>
              <w:snapToGrid w:val="0"/>
              <w:jc w:val="center"/>
              <w:rPr>
                <w:strike w:val="0"/>
                <w:dstrike w:val="0"/>
                <w:color w:val="auto"/>
                <w:sz w:val="24"/>
                <w:highlight w:val="none"/>
              </w:rPr>
            </w:pPr>
            <w:r>
              <w:rPr>
                <w:strike w:val="0"/>
                <w:dstrike w:val="0"/>
                <w:color w:val="auto"/>
                <w:sz w:val="24"/>
                <w:highlight w:val="none"/>
              </w:rPr>
              <w:t>项目代码</w:t>
            </w:r>
          </w:p>
        </w:tc>
        <w:tc>
          <w:tcPr>
            <w:tcW w:w="3776" w:type="pct"/>
            <w:gridSpan w:val="3"/>
            <w:vAlign w:val="center"/>
          </w:tcPr>
          <w:p w14:paraId="595BD2DD">
            <w:pPr>
              <w:adjustRightInd w:val="0"/>
              <w:snapToGrid w:val="0"/>
              <w:jc w:val="center"/>
              <w:rPr>
                <w:strike w:val="0"/>
                <w:dstrike w:val="0"/>
                <w:color w:val="auto"/>
                <w:sz w:val="24"/>
                <w:highlight w:val="none"/>
              </w:rPr>
            </w:pPr>
            <w:r>
              <w:rPr>
                <w:strike w:val="0"/>
                <w:dstrike w:val="0"/>
                <w:color w:val="auto"/>
                <w:sz w:val="24"/>
                <w:highlight w:val="none"/>
              </w:rPr>
              <w:t>2</w:t>
            </w:r>
            <w:r>
              <w:rPr>
                <w:rFonts w:hint="eastAsia"/>
                <w:strike w:val="0"/>
                <w:dstrike w:val="0"/>
                <w:color w:val="auto"/>
                <w:sz w:val="24"/>
                <w:highlight w:val="none"/>
                <w:lang w:val="en-US" w:eastAsia="zh-CN"/>
              </w:rPr>
              <w:t>10</w:t>
            </w:r>
            <w:r>
              <w:rPr>
                <w:strike w:val="0"/>
                <w:dstrike w:val="0"/>
                <w:color w:val="auto"/>
                <w:sz w:val="24"/>
                <w:highlight w:val="none"/>
              </w:rPr>
              <w:t>9-500117-04-05-913805</w:t>
            </w:r>
          </w:p>
        </w:tc>
      </w:tr>
      <w:tr w14:paraId="5BD48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pct"/>
            <w:gridSpan w:val="2"/>
            <w:tcMar>
              <w:top w:w="16" w:type="dxa"/>
              <w:left w:w="16" w:type="dxa"/>
              <w:right w:w="16" w:type="dxa"/>
            </w:tcMar>
            <w:vAlign w:val="center"/>
          </w:tcPr>
          <w:p w14:paraId="0BA61527">
            <w:pPr>
              <w:adjustRightInd w:val="0"/>
              <w:snapToGrid w:val="0"/>
              <w:jc w:val="center"/>
              <w:rPr>
                <w:rFonts w:ascii="Times New Roman" w:hAnsi="Times New Roman" w:cs="Times New Roman"/>
                <w:strike w:val="0"/>
                <w:dstrike w:val="0"/>
                <w:color w:val="auto"/>
                <w:sz w:val="24"/>
                <w:highlight w:val="none"/>
              </w:rPr>
            </w:pPr>
            <w:r>
              <w:rPr>
                <w:rFonts w:ascii="Times New Roman" w:hAnsi="Times New Roman" w:cs="Times New Roman"/>
                <w:strike w:val="0"/>
                <w:dstrike w:val="0"/>
                <w:color w:val="auto"/>
                <w:sz w:val="24"/>
                <w:highlight w:val="none"/>
              </w:rPr>
              <w:t>建设单位联系人</w:t>
            </w:r>
          </w:p>
        </w:tc>
        <w:tc>
          <w:tcPr>
            <w:tcW w:w="1016" w:type="pct"/>
            <w:vAlign w:val="center"/>
          </w:tcPr>
          <w:p w14:paraId="1B5CDB89">
            <w:pPr>
              <w:adjustRightInd w:val="0"/>
              <w:snapToGrid w:val="0"/>
              <w:jc w:val="center"/>
              <w:rPr>
                <w:rFonts w:ascii="Times New Roman" w:hAnsi="Times New Roman" w:cs="Times New Roman"/>
                <w:strike w:val="0"/>
                <w:dstrike w:val="0"/>
                <w:color w:val="auto"/>
                <w:sz w:val="24"/>
                <w:highlight w:val="none"/>
              </w:rPr>
            </w:pPr>
          </w:p>
        </w:tc>
        <w:tc>
          <w:tcPr>
            <w:tcW w:w="1048" w:type="pct"/>
            <w:vAlign w:val="center"/>
          </w:tcPr>
          <w:p w14:paraId="1535FB95">
            <w:pPr>
              <w:adjustRightInd w:val="0"/>
              <w:snapToGrid w:val="0"/>
              <w:jc w:val="center"/>
              <w:rPr>
                <w:rFonts w:ascii="Times New Roman" w:hAnsi="Times New Roman" w:cs="Times New Roman"/>
                <w:strike w:val="0"/>
                <w:dstrike w:val="0"/>
                <w:color w:val="auto"/>
                <w:sz w:val="24"/>
                <w:highlight w:val="none"/>
              </w:rPr>
            </w:pPr>
            <w:r>
              <w:rPr>
                <w:rFonts w:ascii="Times New Roman" w:hAnsi="Times New Roman" w:cs="Times New Roman"/>
                <w:strike w:val="0"/>
                <w:dstrike w:val="0"/>
                <w:color w:val="auto"/>
                <w:sz w:val="24"/>
                <w:highlight w:val="none"/>
              </w:rPr>
              <w:t>联系方式</w:t>
            </w:r>
          </w:p>
        </w:tc>
        <w:tc>
          <w:tcPr>
            <w:tcW w:w="1711" w:type="pct"/>
            <w:vAlign w:val="center"/>
          </w:tcPr>
          <w:p w14:paraId="3540F3D6">
            <w:pPr>
              <w:adjustRightInd w:val="0"/>
              <w:snapToGrid w:val="0"/>
              <w:jc w:val="center"/>
              <w:rPr>
                <w:rFonts w:ascii="Times New Roman" w:hAnsi="Times New Roman" w:cs="Times New Roman"/>
                <w:strike w:val="0"/>
                <w:dstrike w:val="0"/>
                <w:color w:val="auto"/>
                <w:sz w:val="24"/>
                <w:highlight w:val="none"/>
              </w:rPr>
            </w:pPr>
          </w:p>
        </w:tc>
      </w:tr>
      <w:tr w14:paraId="71902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pct"/>
            <w:gridSpan w:val="2"/>
            <w:tcMar>
              <w:top w:w="16" w:type="dxa"/>
              <w:left w:w="16" w:type="dxa"/>
              <w:right w:w="16" w:type="dxa"/>
            </w:tcMar>
            <w:vAlign w:val="center"/>
          </w:tcPr>
          <w:p w14:paraId="08FBBEA4">
            <w:pPr>
              <w:adjustRightInd w:val="0"/>
              <w:snapToGrid w:val="0"/>
              <w:jc w:val="center"/>
              <w:rPr>
                <w:strike w:val="0"/>
                <w:dstrike w:val="0"/>
                <w:color w:val="auto"/>
                <w:sz w:val="24"/>
                <w:highlight w:val="none"/>
              </w:rPr>
            </w:pPr>
            <w:r>
              <w:rPr>
                <w:strike w:val="0"/>
                <w:dstrike w:val="0"/>
                <w:color w:val="auto"/>
                <w:sz w:val="24"/>
                <w:highlight w:val="none"/>
              </w:rPr>
              <w:t>建设地点</w:t>
            </w:r>
          </w:p>
        </w:tc>
        <w:tc>
          <w:tcPr>
            <w:tcW w:w="3776" w:type="pct"/>
            <w:gridSpan w:val="3"/>
            <w:vAlign w:val="center"/>
          </w:tcPr>
          <w:p w14:paraId="2AB2C9FF">
            <w:pPr>
              <w:adjustRightInd w:val="0"/>
              <w:snapToGrid w:val="0"/>
              <w:jc w:val="center"/>
              <w:rPr>
                <w:strike w:val="0"/>
                <w:dstrike w:val="0"/>
                <w:color w:val="auto"/>
                <w:sz w:val="24"/>
                <w:highlight w:val="none"/>
              </w:rPr>
            </w:pPr>
          </w:p>
        </w:tc>
      </w:tr>
      <w:tr w14:paraId="5C5D0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pct"/>
            <w:gridSpan w:val="2"/>
            <w:tcMar>
              <w:top w:w="16" w:type="dxa"/>
              <w:left w:w="16" w:type="dxa"/>
              <w:right w:w="16" w:type="dxa"/>
            </w:tcMar>
            <w:vAlign w:val="center"/>
          </w:tcPr>
          <w:p w14:paraId="0369FE03">
            <w:pPr>
              <w:adjustRightInd w:val="0"/>
              <w:snapToGrid w:val="0"/>
              <w:jc w:val="center"/>
              <w:rPr>
                <w:strike w:val="0"/>
                <w:dstrike w:val="0"/>
                <w:color w:val="auto"/>
                <w:sz w:val="24"/>
                <w:highlight w:val="none"/>
              </w:rPr>
            </w:pPr>
            <w:r>
              <w:rPr>
                <w:strike w:val="0"/>
                <w:dstrike w:val="0"/>
                <w:color w:val="auto"/>
                <w:sz w:val="24"/>
                <w:highlight w:val="none"/>
              </w:rPr>
              <w:t>地理坐标</w:t>
            </w:r>
          </w:p>
        </w:tc>
        <w:tc>
          <w:tcPr>
            <w:tcW w:w="3776" w:type="pct"/>
            <w:gridSpan w:val="3"/>
            <w:vAlign w:val="center"/>
          </w:tcPr>
          <w:p w14:paraId="5B78C6FB">
            <w:pPr>
              <w:jc w:val="center"/>
              <w:rPr>
                <w:strike w:val="0"/>
                <w:dstrike w:val="0"/>
                <w:color w:val="auto"/>
                <w:sz w:val="24"/>
                <w:highlight w:val="none"/>
              </w:rPr>
            </w:pPr>
          </w:p>
        </w:tc>
      </w:tr>
      <w:tr w14:paraId="54588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3" w:type="pct"/>
            <w:gridSpan w:val="2"/>
            <w:tcMar>
              <w:top w:w="16" w:type="dxa"/>
              <w:left w:w="16" w:type="dxa"/>
              <w:right w:w="16" w:type="dxa"/>
            </w:tcMar>
            <w:vAlign w:val="center"/>
          </w:tcPr>
          <w:p w14:paraId="5358F500">
            <w:pPr>
              <w:adjustRightInd w:val="0"/>
              <w:snapToGrid w:val="0"/>
              <w:jc w:val="center"/>
              <w:rPr>
                <w:strike w:val="0"/>
                <w:dstrike w:val="0"/>
                <w:color w:val="auto"/>
                <w:sz w:val="24"/>
                <w:highlight w:val="none"/>
              </w:rPr>
            </w:pPr>
            <w:r>
              <w:rPr>
                <w:strike w:val="0"/>
                <w:dstrike w:val="0"/>
                <w:color w:val="auto"/>
                <w:sz w:val="24"/>
                <w:highlight w:val="none"/>
              </w:rPr>
              <w:t>国民经济</w:t>
            </w:r>
          </w:p>
          <w:p w14:paraId="63EAEA44">
            <w:pPr>
              <w:adjustRightInd w:val="0"/>
              <w:snapToGrid w:val="0"/>
              <w:jc w:val="center"/>
              <w:rPr>
                <w:strike w:val="0"/>
                <w:dstrike w:val="0"/>
                <w:color w:val="auto"/>
                <w:sz w:val="24"/>
                <w:highlight w:val="none"/>
              </w:rPr>
            </w:pPr>
            <w:r>
              <w:rPr>
                <w:strike w:val="0"/>
                <w:dstrike w:val="0"/>
                <w:color w:val="auto"/>
                <w:sz w:val="24"/>
                <w:highlight w:val="none"/>
              </w:rPr>
              <w:t>行业类别</w:t>
            </w:r>
          </w:p>
        </w:tc>
        <w:tc>
          <w:tcPr>
            <w:tcW w:w="1016" w:type="pct"/>
            <w:vAlign w:val="center"/>
          </w:tcPr>
          <w:p w14:paraId="05078839">
            <w:pPr>
              <w:adjustRightInd w:val="0"/>
              <w:snapToGrid w:val="0"/>
              <w:jc w:val="center"/>
              <w:rPr>
                <w:strike w:val="0"/>
                <w:dstrike w:val="0"/>
                <w:color w:val="auto"/>
                <w:sz w:val="24"/>
                <w:highlight w:val="none"/>
              </w:rPr>
            </w:pPr>
            <w:r>
              <w:rPr>
                <w:strike w:val="0"/>
                <w:dstrike w:val="0"/>
                <w:color w:val="auto"/>
                <w:sz w:val="24"/>
                <w:highlight w:val="none"/>
              </w:rPr>
              <w:t>F5265机动车燃油零售、F5266机动车燃气零售</w:t>
            </w:r>
          </w:p>
        </w:tc>
        <w:tc>
          <w:tcPr>
            <w:tcW w:w="1048" w:type="pct"/>
            <w:vAlign w:val="center"/>
          </w:tcPr>
          <w:p w14:paraId="6061A11A">
            <w:pPr>
              <w:adjustRightInd w:val="0"/>
              <w:snapToGrid w:val="0"/>
              <w:jc w:val="center"/>
              <w:rPr>
                <w:strike w:val="0"/>
                <w:dstrike w:val="0"/>
                <w:color w:val="auto"/>
                <w:sz w:val="24"/>
                <w:highlight w:val="none"/>
              </w:rPr>
            </w:pPr>
            <w:bookmarkStart w:id="2" w:name="_Hlk49843745"/>
            <w:r>
              <w:rPr>
                <w:strike w:val="0"/>
                <w:dstrike w:val="0"/>
                <w:color w:val="auto"/>
                <w:sz w:val="24"/>
                <w:highlight w:val="none"/>
              </w:rPr>
              <w:t>建设项目</w:t>
            </w:r>
          </w:p>
          <w:p w14:paraId="1C74A995">
            <w:pPr>
              <w:adjustRightInd w:val="0"/>
              <w:snapToGrid w:val="0"/>
              <w:jc w:val="center"/>
              <w:rPr>
                <w:strike w:val="0"/>
                <w:dstrike w:val="0"/>
                <w:color w:val="auto"/>
                <w:sz w:val="24"/>
                <w:highlight w:val="none"/>
              </w:rPr>
            </w:pPr>
            <w:r>
              <w:rPr>
                <w:strike w:val="0"/>
                <w:dstrike w:val="0"/>
                <w:color w:val="auto"/>
                <w:sz w:val="24"/>
                <w:highlight w:val="none"/>
              </w:rPr>
              <w:t>行业类别</w:t>
            </w:r>
            <w:bookmarkEnd w:id="2"/>
          </w:p>
        </w:tc>
        <w:tc>
          <w:tcPr>
            <w:tcW w:w="1711" w:type="pct"/>
            <w:vAlign w:val="center"/>
          </w:tcPr>
          <w:p w14:paraId="03B90682">
            <w:pPr>
              <w:adjustRightInd w:val="0"/>
              <w:snapToGrid w:val="0"/>
              <w:rPr>
                <w:strike w:val="0"/>
                <w:dstrike w:val="0"/>
                <w:color w:val="auto"/>
                <w:sz w:val="24"/>
                <w:highlight w:val="none"/>
              </w:rPr>
            </w:pPr>
            <w:r>
              <w:rPr>
                <w:strike w:val="0"/>
                <w:dstrike w:val="0"/>
                <w:color w:val="auto"/>
                <w:sz w:val="24"/>
                <w:highlight w:val="none"/>
              </w:rPr>
              <w:t>“五十、社会事业与服务业</w:t>
            </w:r>
            <w:r>
              <w:rPr>
                <w:rFonts w:hint="eastAsia"/>
                <w:strike w:val="0"/>
                <w:dstrike w:val="0"/>
                <w:color w:val="auto"/>
                <w:sz w:val="24"/>
                <w:highlight w:val="none"/>
              </w:rPr>
              <w:t>”</w:t>
            </w:r>
            <w:r>
              <w:rPr>
                <w:strike w:val="0"/>
                <w:dstrike w:val="0"/>
                <w:color w:val="auto"/>
                <w:sz w:val="24"/>
                <w:highlight w:val="none"/>
              </w:rPr>
              <w:t>中“119 加油</w:t>
            </w:r>
            <w:r>
              <w:rPr>
                <w:rFonts w:hint="eastAsia"/>
                <w:strike w:val="0"/>
                <w:dstrike w:val="0"/>
                <w:color w:val="auto"/>
                <w:sz w:val="24"/>
                <w:highlight w:val="none"/>
                <w:lang w:eastAsia="zh-CN"/>
              </w:rPr>
              <w:t>、</w:t>
            </w:r>
            <w:r>
              <w:rPr>
                <w:strike w:val="0"/>
                <w:dstrike w:val="0"/>
                <w:color w:val="auto"/>
                <w:sz w:val="24"/>
                <w:highlight w:val="none"/>
              </w:rPr>
              <w:t>加气站</w:t>
            </w:r>
            <w:r>
              <w:rPr>
                <w:rFonts w:hint="eastAsia"/>
                <w:strike w:val="0"/>
                <w:dstrike w:val="0"/>
                <w:color w:val="auto"/>
                <w:sz w:val="24"/>
                <w:highlight w:val="none"/>
              </w:rPr>
              <w:t>”</w:t>
            </w:r>
            <w:r>
              <w:rPr>
                <w:strike w:val="0"/>
                <w:dstrike w:val="0"/>
                <w:color w:val="auto"/>
                <w:sz w:val="24"/>
                <w:highlight w:val="none"/>
              </w:rPr>
              <w:t>中“城市建成区新建、扩建加油站</w:t>
            </w:r>
            <w:r>
              <w:rPr>
                <w:rFonts w:hint="eastAsia"/>
                <w:strike w:val="0"/>
                <w:dstrike w:val="0"/>
                <w:color w:val="auto"/>
                <w:sz w:val="24"/>
                <w:highlight w:val="none"/>
              </w:rPr>
              <w:t>”</w:t>
            </w:r>
          </w:p>
        </w:tc>
      </w:tr>
      <w:tr w14:paraId="2412E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23" w:type="pct"/>
            <w:gridSpan w:val="2"/>
            <w:tcMar>
              <w:top w:w="16" w:type="dxa"/>
              <w:left w:w="16" w:type="dxa"/>
              <w:right w:w="16" w:type="dxa"/>
            </w:tcMar>
            <w:vAlign w:val="center"/>
          </w:tcPr>
          <w:p w14:paraId="621C08FC">
            <w:pPr>
              <w:adjustRightInd w:val="0"/>
              <w:snapToGrid w:val="0"/>
              <w:jc w:val="center"/>
              <w:rPr>
                <w:strike w:val="0"/>
                <w:dstrike w:val="0"/>
                <w:color w:val="auto"/>
                <w:sz w:val="24"/>
                <w:highlight w:val="none"/>
              </w:rPr>
            </w:pPr>
            <w:r>
              <w:rPr>
                <w:strike w:val="0"/>
                <w:dstrike w:val="0"/>
                <w:color w:val="auto"/>
                <w:sz w:val="24"/>
                <w:highlight w:val="none"/>
              </w:rPr>
              <w:t>建设性质</w:t>
            </w:r>
          </w:p>
        </w:tc>
        <w:tc>
          <w:tcPr>
            <w:tcW w:w="1016" w:type="pct"/>
            <w:vAlign w:val="center"/>
          </w:tcPr>
          <w:p w14:paraId="47A2D56C">
            <w:pPr>
              <w:jc w:val="left"/>
              <w:rPr>
                <w:strike w:val="0"/>
                <w:dstrike w:val="0"/>
                <w:color w:val="auto"/>
                <w:sz w:val="24"/>
                <w:highlight w:val="none"/>
              </w:rPr>
            </w:pPr>
            <w:r>
              <w:rPr>
                <w:strike w:val="0"/>
                <w:dstrike w:val="0"/>
                <w:color w:val="auto"/>
                <w:sz w:val="24"/>
                <w:highlight w:val="none"/>
              </w:rPr>
              <w:sym w:font="Wingdings 2" w:char="0052"/>
            </w:r>
            <w:r>
              <w:rPr>
                <w:strike w:val="0"/>
                <w:dstrike w:val="0"/>
                <w:color w:val="auto"/>
                <w:sz w:val="24"/>
                <w:highlight w:val="none"/>
              </w:rPr>
              <w:t>新建（迁建）</w:t>
            </w:r>
          </w:p>
          <w:p w14:paraId="4848A87E">
            <w:pPr>
              <w:jc w:val="left"/>
              <w:rPr>
                <w:strike w:val="0"/>
                <w:dstrike w:val="0"/>
                <w:color w:val="auto"/>
                <w:sz w:val="24"/>
                <w:highlight w:val="none"/>
              </w:rPr>
            </w:pPr>
            <w:r>
              <w:rPr>
                <w:strike w:val="0"/>
                <w:dstrike w:val="0"/>
                <w:color w:val="auto"/>
                <w:sz w:val="24"/>
                <w:highlight w:val="none"/>
              </w:rPr>
              <w:t>□改建</w:t>
            </w:r>
          </w:p>
          <w:p w14:paraId="0A30CDA2">
            <w:pPr>
              <w:jc w:val="left"/>
              <w:rPr>
                <w:strike w:val="0"/>
                <w:dstrike w:val="0"/>
                <w:color w:val="auto"/>
                <w:sz w:val="24"/>
                <w:highlight w:val="none"/>
              </w:rPr>
            </w:pPr>
            <w:r>
              <w:rPr>
                <w:strike w:val="0"/>
                <w:dstrike w:val="0"/>
                <w:color w:val="auto"/>
                <w:sz w:val="24"/>
                <w:highlight w:val="none"/>
              </w:rPr>
              <w:t>□扩建</w:t>
            </w:r>
          </w:p>
          <w:p w14:paraId="0A41826B">
            <w:pPr>
              <w:jc w:val="left"/>
              <w:rPr>
                <w:strike w:val="0"/>
                <w:dstrike w:val="0"/>
                <w:color w:val="auto"/>
                <w:sz w:val="24"/>
                <w:highlight w:val="none"/>
              </w:rPr>
            </w:pPr>
            <w:r>
              <w:rPr>
                <w:strike w:val="0"/>
                <w:dstrike w:val="0"/>
                <w:color w:val="auto"/>
                <w:sz w:val="24"/>
                <w:highlight w:val="none"/>
              </w:rPr>
              <w:t>□技术改造</w:t>
            </w:r>
          </w:p>
        </w:tc>
        <w:tc>
          <w:tcPr>
            <w:tcW w:w="1048" w:type="pct"/>
            <w:vAlign w:val="center"/>
          </w:tcPr>
          <w:p w14:paraId="29BB8913">
            <w:pPr>
              <w:adjustRightInd w:val="0"/>
              <w:snapToGrid w:val="0"/>
              <w:jc w:val="center"/>
              <w:rPr>
                <w:strike w:val="0"/>
                <w:dstrike w:val="0"/>
                <w:color w:val="auto"/>
                <w:sz w:val="24"/>
                <w:highlight w:val="none"/>
              </w:rPr>
            </w:pPr>
            <w:r>
              <w:rPr>
                <w:strike w:val="0"/>
                <w:dstrike w:val="0"/>
                <w:color w:val="auto"/>
                <w:sz w:val="24"/>
                <w:highlight w:val="none"/>
              </w:rPr>
              <w:t>建设项目</w:t>
            </w:r>
          </w:p>
          <w:p w14:paraId="64339A9C">
            <w:pPr>
              <w:adjustRightInd w:val="0"/>
              <w:snapToGrid w:val="0"/>
              <w:jc w:val="center"/>
              <w:rPr>
                <w:strike w:val="0"/>
                <w:dstrike w:val="0"/>
                <w:color w:val="auto"/>
                <w:sz w:val="24"/>
                <w:highlight w:val="none"/>
              </w:rPr>
            </w:pPr>
            <w:r>
              <w:rPr>
                <w:strike w:val="0"/>
                <w:dstrike w:val="0"/>
                <w:color w:val="auto"/>
                <w:sz w:val="24"/>
                <w:highlight w:val="none"/>
              </w:rPr>
              <w:t>申报情形</w:t>
            </w:r>
          </w:p>
        </w:tc>
        <w:tc>
          <w:tcPr>
            <w:tcW w:w="1711" w:type="pct"/>
            <w:vAlign w:val="center"/>
          </w:tcPr>
          <w:p w14:paraId="31FB2096">
            <w:pPr>
              <w:jc w:val="left"/>
              <w:rPr>
                <w:strike w:val="0"/>
                <w:dstrike w:val="0"/>
                <w:color w:val="auto"/>
                <w:sz w:val="24"/>
                <w:highlight w:val="none"/>
              </w:rPr>
            </w:pPr>
            <w:r>
              <w:rPr>
                <w:strike w:val="0"/>
                <w:dstrike w:val="0"/>
                <w:color w:val="auto"/>
                <w:sz w:val="24"/>
                <w:highlight w:val="none"/>
              </w:rPr>
              <w:sym w:font="Wingdings 2" w:char="0052"/>
            </w:r>
            <w:r>
              <w:rPr>
                <w:strike w:val="0"/>
                <w:dstrike w:val="0"/>
                <w:color w:val="auto"/>
                <w:sz w:val="24"/>
                <w:highlight w:val="none"/>
              </w:rPr>
              <w:t xml:space="preserve">首次申报项目             </w:t>
            </w:r>
          </w:p>
          <w:p w14:paraId="6C39AD3A">
            <w:pPr>
              <w:jc w:val="left"/>
              <w:rPr>
                <w:strike w:val="0"/>
                <w:dstrike w:val="0"/>
                <w:color w:val="auto"/>
                <w:sz w:val="24"/>
                <w:highlight w:val="none"/>
              </w:rPr>
            </w:pPr>
            <w:r>
              <w:rPr>
                <w:strike w:val="0"/>
                <w:dstrike w:val="0"/>
                <w:color w:val="auto"/>
                <w:sz w:val="24"/>
                <w:highlight w:val="none"/>
              </w:rPr>
              <w:t>□不予批准后再次申报项目</w:t>
            </w:r>
          </w:p>
          <w:p w14:paraId="51F6C283">
            <w:pPr>
              <w:jc w:val="left"/>
              <w:rPr>
                <w:strike w:val="0"/>
                <w:dstrike w:val="0"/>
                <w:color w:val="auto"/>
                <w:sz w:val="24"/>
                <w:highlight w:val="none"/>
              </w:rPr>
            </w:pPr>
            <w:r>
              <w:rPr>
                <w:strike w:val="0"/>
                <w:dstrike w:val="0"/>
                <w:color w:val="auto"/>
                <w:sz w:val="24"/>
                <w:highlight w:val="none"/>
              </w:rPr>
              <w:t xml:space="preserve">□超五年重新审核项目     </w:t>
            </w:r>
          </w:p>
          <w:p w14:paraId="7B1EB15D">
            <w:pPr>
              <w:jc w:val="left"/>
              <w:rPr>
                <w:strike w:val="0"/>
                <w:dstrike w:val="0"/>
                <w:color w:val="auto"/>
                <w:sz w:val="24"/>
                <w:highlight w:val="none"/>
              </w:rPr>
            </w:pPr>
            <w:r>
              <w:rPr>
                <w:strike w:val="0"/>
                <w:dstrike w:val="0"/>
                <w:color w:val="auto"/>
                <w:sz w:val="24"/>
                <w:highlight w:val="none"/>
              </w:rPr>
              <w:t>□重大变动重新报批项目</w:t>
            </w:r>
          </w:p>
        </w:tc>
      </w:tr>
      <w:tr w14:paraId="22129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23" w:type="pct"/>
            <w:gridSpan w:val="2"/>
            <w:tcMar>
              <w:top w:w="16" w:type="dxa"/>
              <w:left w:w="16" w:type="dxa"/>
              <w:right w:w="16" w:type="dxa"/>
            </w:tcMar>
            <w:vAlign w:val="center"/>
          </w:tcPr>
          <w:p w14:paraId="1D9600D3">
            <w:pPr>
              <w:adjustRightInd w:val="0"/>
              <w:snapToGrid w:val="0"/>
              <w:jc w:val="center"/>
              <w:rPr>
                <w:strike w:val="0"/>
                <w:dstrike w:val="0"/>
                <w:color w:val="auto"/>
                <w:sz w:val="24"/>
                <w:highlight w:val="none"/>
              </w:rPr>
            </w:pPr>
            <w:r>
              <w:rPr>
                <w:strike w:val="0"/>
                <w:dstrike w:val="0"/>
                <w:color w:val="auto"/>
                <w:sz w:val="24"/>
                <w:highlight w:val="none"/>
              </w:rPr>
              <w:t>项目审批（核准/</w:t>
            </w:r>
          </w:p>
          <w:p w14:paraId="2A42E5D9">
            <w:pPr>
              <w:adjustRightInd w:val="0"/>
              <w:snapToGrid w:val="0"/>
              <w:jc w:val="center"/>
              <w:rPr>
                <w:strike w:val="0"/>
                <w:dstrike w:val="0"/>
                <w:color w:val="auto"/>
                <w:sz w:val="24"/>
                <w:highlight w:val="none"/>
              </w:rPr>
            </w:pPr>
            <w:r>
              <w:rPr>
                <w:strike w:val="0"/>
                <w:dstrike w:val="0"/>
                <w:color w:val="auto"/>
                <w:sz w:val="24"/>
                <w:highlight w:val="none"/>
              </w:rPr>
              <w:t>备案）部门（选填）</w:t>
            </w:r>
          </w:p>
        </w:tc>
        <w:tc>
          <w:tcPr>
            <w:tcW w:w="1016" w:type="pct"/>
            <w:vAlign w:val="center"/>
          </w:tcPr>
          <w:p w14:paraId="7CD85B8A">
            <w:pPr>
              <w:jc w:val="center"/>
              <w:rPr>
                <w:strike w:val="0"/>
                <w:dstrike w:val="0"/>
                <w:color w:val="auto"/>
                <w:sz w:val="24"/>
                <w:szCs w:val="32"/>
                <w:highlight w:val="none"/>
              </w:rPr>
            </w:pPr>
            <w:r>
              <w:rPr>
                <w:strike w:val="0"/>
                <w:dstrike w:val="0"/>
                <w:color w:val="auto"/>
                <w:sz w:val="24"/>
                <w:szCs w:val="32"/>
                <w:highlight w:val="none"/>
              </w:rPr>
              <w:t>重庆市合川区发展和改革委员会</w:t>
            </w:r>
          </w:p>
        </w:tc>
        <w:tc>
          <w:tcPr>
            <w:tcW w:w="1048" w:type="pct"/>
            <w:vAlign w:val="center"/>
          </w:tcPr>
          <w:p w14:paraId="0338C7FF">
            <w:pPr>
              <w:adjustRightInd w:val="0"/>
              <w:snapToGrid w:val="0"/>
              <w:jc w:val="center"/>
              <w:rPr>
                <w:strike w:val="0"/>
                <w:dstrike w:val="0"/>
                <w:color w:val="auto"/>
                <w:sz w:val="24"/>
                <w:highlight w:val="none"/>
              </w:rPr>
            </w:pPr>
            <w:r>
              <w:rPr>
                <w:strike w:val="0"/>
                <w:dstrike w:val="0"/>
                <w:color w:val="auto"/>
                <w:sz w:val="24"/>
                <w:highlight w:val="none"/>
              </w:rPr>
              <w:t>项目审批（核准/</w:t>
            </w:r>
          </w:p>
          <w:p w14:paraId="69BEE657">
            <w:pPr>
              <w:adjustRightInd w:val="0"/>
              <w:snapToGrid w:val="0"/>
              <w:jc w:val="center"/>
              <w:rPr>
                <w:strike w:val="0"/>
                <w:dstrike w:val="0"/>
                <w:color w:val="auto"/>
                <w:sz w:val="24"/>
                <w:highlight w:val="none"/>
              </w:rPr>
            </w:pPr>
            <w:r>
              <w:rPr>
                <w:strike w:val="0"/>
                <w:dstrike w:val="0"/>
                <w:color w:val="auto"/>
                <w:sz w:val="24"/>
                <w:highlight w:val="none"/>
              </w:rPr>
              <w:t>备案）文号（选填）</w:t>
            </w:r>
          </w:p>
        </w:tc>
        <w:tc>
          <w:tcPr>
            <w:tcW w:w="1711" w:type="pct"/>
            <w:vAlign w:val="center"/>
          </w:tcPr>
          <w:p w14:paraId="5A8585D4">
            <w:pPr>
              <w:adjustRightInd w:val="0"/>
              <w:snapToGrid w:val="0"/>
              <w:jc w:val="center"/>
              <w:rPr>
                <w:strike w:val="0"/>
                <w:dstrike w:val="0"/>
                <w:color w:val="auto"/>
                <w:sz w:val="24"/>
                <w:highlight w:val="none"/>
              </w:rPr>
            </w:pPr>
            <w:r>
              <w:rPr>
                <w:strike w:val="0"/>
                <w:dstrike w:val="0"/>
                <w:color w:val="auto"/>
                <w:sz w:val="24"/>
                <w:highlight w:val="none"/>
              </w:rPr>
              <w:t>2109-500117-04-05-913805</w:t>
            </w:r>
          </w:p>
        </w:tc>
      </w:tr>
      <w:tr w14:paraId="6CBD7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pct"/>
            <w:gridSpan w:val="2"/>
            <w:tcMar>
              <w:top w:w="16" w:type="dxa"/>
              <w:left w:w="16" w:type="dxa"/>
              <w:right w:w="16" w:type="dxa"/>
            </w:tcMar>
            <w:vAlign w:val="center"/>
          </w:tcPr>
          <w:p w14:paraId="53FCF3C0">
            <w:pPr>
              <w:adjustRightInd w:val="0"/>
              <w:snapToGrid w:val="0"/>
              <w:jc w:val="center"/>
              <w:rPr>
                <w:strike w:val="0"/>
                <w:dstrike w:val="0"/>
                <w:color w:val="auto"/>
                <w:sz w:val="24"/>
                <w:highlight w:val="none"/>
              </w:rPr>
            </w:pPr>
            <w:r>
              <w:rPr>
                <w:strike w:val="0"/>
                <w:dstrike w:val="0"/>
                <w:color w:val="auto"/>
                <w:sz w:val="24"/>
                <w:highlight w:val="none"/>
              </w:rPr>
              <w:t>总投资（万元）</w:t>
            </w:r>
          </w:p>
        </w:tc>
        <w:tc>
          <w:tcPr>
            <w:tcW w:w="1016" w:type="pct"/>
            <w:vAlign w:val="center"/>
          </w:tcPr>
          <w:p w14:paraId="73EDBB0E">
            <w:pPr>
              <w:adjustRightInd w:val="0"/>
              <w:snapToGrid w:val="0"/>
              <w:jc w:val="center"/>
              <w:rPr>
                <w:strike w:val="0"/>
                <w:dstrike w:val="0"/>
                <w:color w:val="auto"/>
                <w:sz w:val="24"/>
                <w:highlight w:val="none"/>
              </w:rPr>
            </w:pPr>
            <w:r>
              <w:rPr>
                <w:strike w:val="0"/>
                <w:dstrike w:val="0"/>
                <w:color w:val="auto"/>
                <w:sz w:val="24"/>
                <w:highlight w:val="none"/>
              </w:rPr>
              <w:t>4000</w:t>
            </w:r>
          </w:p>
        </w:tc>
        <w:tc>
          <w:tcPr>
            <w:tcW w:w="1048" w:type="pct"/>
            <w:tcMar>
              <w:top w:w="16" w:type="dxa"/>
              <w:left w:w="16" w:type="dxa"/>
              <w:right w:w="16" w:type="dxa"/>
            </w:tcMar>
            <w:vAlign w:val="center"/>
          </w:tcPr>
          <w:p w14:paraId="44AE43DD">
            <w:pPr>
              <w:adjustRightInd w:val="0"/>
              <w:snapToGrid w:val="0"/>
              <w:jc w:val="center"/>
              <w:rPr>
                <w:strike w:val="0"/>
                <w:dstrike w:val="0"/>
                <w:color w:val="auto"/>
                <w:sz w:val="24"/>
                <w:highlight w:val="none"/>
              </w:rPr>
            </w:pPr>
            <w:r>
              <w:rPr>
                <w:strike w:val="0"/>
                <w:dstrike w:val="0"/>
                <w:color w:val="auto"/>
                <w:sz w:val="24"/>
                <w:highlight w:val="none"/>
              </w:rPr>
              <w:t>环保投资（万元）</w:t>
            </w:r>
          </w:p>
        </w:tc>
        <w:tc>
          <w:tcPr>
            <w:tcW w:w="1711" w:type="pct"/>
            <w:vAlign w:val="center"/>
          </w:tcPr>
          <w:p w14:paraId="102B30AB">
            <w:pPr>
              <w:adjustRightInd w:val="0"/>
              <w:snapToGrid w:val="0"/>
              <w:jc w:val="center"/>
              <w:rPr>
                <w:strike w:val="0"/>
                <w:dstrike w:val="0"/>
                <w:color w:val="auto"/>
                <w:sz w:val="24"/>
                <w:highlight w:val="none"/>
              </w:rPr>
            </w:pPr>
            <w:r>
              <w:rPr>
                <w:strike w:val="0"/>
                <w:dstrike w:val="0"/>
                <w:color w:val="auto"/>
                <w:sz w:val="24"/>
                <w:highlight w:val="none"/>
              </w:rPr>
              <w:t>30</w:t>
            </w:r>
          </w:p>
        </w:tc>
      </w:tr>
      <w:tr w14:paraId="6C18B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pct"/>
            <w:gridSpan w:val="2"/>
            <w:tcMar>
              <w:top w:w="16" w:type="dxa"/>
              <w:left w:w="16" w:type="dxa"/>
              <w:right w:w="16" w:type="dxa"/>
            </w:tcMar>
            <w:vAlign w:val="center"/>
          </w:tcPr>
          <w:p w14:paraId="5430654C">
            <w:pPr>
              <w:adjustRightInd w:val="0"/>
              <w:snapToGrid w:val="0"/>
              <w:jc w:val="center"/>
              <w:rPr>
                <w:strike w:val="0"/>
                <w:dstrike w:val="0"/>
                <w:color w:val="auto"/>
                <w:sz w:val="24"/>
                <w:highlight w:val="none"/>
              </w:rPr>
            </w:pPr>
            <w:r>
              <w:rPr>
                <w:strike w:val="0"/>
                <w:dstrike w:val="0"/>
                <w:color w:val="auto"/>
                <w:sz w:val="24"/>
                <w:highlight w:val="none"/>
              </w:rPr>
              <w:t>环保投资占比（%）</w:t>
            </w:r>
          </w:p>
        </w:tc>
        <w:tc>
          <w:tcPr>
            <w:tcW w:w="1016" w:type="pct"/>
            <w:vAlign w:val="center"/>
          </w:tcPr>
          <w:p w14:paraId="78DC2407">
            <w:pPr>
              <w:adjustRightInd w:val="0"/>
              <w:snapToGrid w:val="0"/>
              <w:jc w:val="center"/>
              <w:rPr>
                <w:strike w:val="0"/>
                <w:dstrike w:val="0"/>
                <w:color w:val="auto"/>
                <w:sz w:val="24"/>
                <w:highlight w:val="none"/>
              </w:rPr>
            </w:pPr>
            <w:r>
              <w:rPr>
                <w:strike w:val="0"/>
                <w:dstrike w:val="0"/>
                <w:color w:val="auto"/>
                <w:sz w:val="24"/>
                <w:highlight w:val="none"/>
              </w:rPr>
              <w:t>0.75</w:t>
            </w:r>
          </w:p>
        </w:tc>
        <w:tc>
          <w:tcPr>
            <w:tcW w:w="1048" w:type="pct"/>
            <w:tcMar>
              <w:top w:w="16" w:type="dxa"/>
              <w:left w:w="16" w:type="dxa"/>
              <w:right w:w="16" w:type="dxa"/>
            </w:tcMar>
            <w:vAlign w:val="center"/>
          </w:tcPr>
          <w:p w14:paraId="45878DC3">
            <w:pPr>
              <w:adjustRightInd w:val="0"/>
              <w:snapToGrid w:val="0"/>
              <w:jc w:val="center"/>
              <w:rPr>
                <w:strike w:val="0"/>
                <w:dstrike w:val="0"/>
                <w:color w:val="auto"/>
                <w:sz w:val="24"/>
                <w:highlight w:val="none"/>
              </w:rPr>
            </w:pPr>
            <w:r>
              <w:rPr>
                <w:strike w:val="0"/>
                <w:dstrike w:val="0"/>
                <w:color w:val="auto"/>
                <w:sz w:val="24"/>
                <w:highlight w:val="none"/>
              </w:rPr>
              <w:t>施工工期</w:t>
            </w:r>
          </w:p>
        </w:tc>
        <w:tc>
          <w:tcPr>
            <w:tcW w:w="1711" w:type="pct"/>
            <w:vAlign w:val="center"/>
          </w:tcPr>
          <w:p w14:paraId="0FD49520">
            <w:pPr>
              <w:adjustRightInd w:val="0"/>
              <w:snapToGrid w:val="0"/>
              <w:jc w:val="center"/>
              <w:rPr>
                <w:strike w:val="0"/>
                <w:dstrike w:val="0"/>
                <w:color w:val="auto"/>
                <w:sz w:val="24"/>
                <w:highlight w:val="none"/>
              </w:rPr>
            </w:pPr>
            <w:r>
              <w:rPr>
                <w:strike w:val="0"/>
                <w:dstrike w:val="0"/>
                <w:color w:val="auto"/>
                <w:sz w:val="24"/>
                <w:highlight w:val="none"/>
              </w:rPr>
              <w:t>12个月</w:t>
            </w:r>
          </w:p>
        </w:tc>
      </w:tr>
      <w:tr w14:paraId="388E9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3" w:type="pct"/>
            <w:gridSpan w:val="2"/>
            <w:tcMar>
              <w:top w:w="16" w:type="dxa"/>
              <w:left w:w="16" w:type="dxa"/>
              <w:right w:w="16" w:type="dxa"/>
            </w:tcMar>
            <w:vAlign w:val="center"/>
          </w:tcPr>
          <w:p w14:paraId="54470032">
            <w:pPr>
              <w:adjustRightInd w:val="0"/>
              <w:snapToGrid w:val="0"/>
              <w:jc w:val="center"/>
              <w:rPr>
                <w:strike w:val="0"/>
                <w:dstrike w:val="0"/>
                <w:color w:val="auto"/>
                <w:sz w:val="24"/>
                <w:highlight w:val="none"/>
              </w:rPr>
            </w:pPr>
            <w:r>
              <w:rPr>
                <w:strike w:val="0"/>
                <w:dstrike w:val="0"/>
                <w:color w:val="auto"/>
                <w:sz w:val="24"/>
                <w:highlight w:val="none"/>
              </w:rPr>
              <w:t>是否开工建设</w:t>
            </w:r>
          </w:p>
        </w:tc>
        <w:tc>
          <w:tcPr>
            <w:tcW w:w="1016" w:type="pct"/>
            <w:vAlign w:val="center"/>
          </w:tcPr>
          <w:p w14:paraId="7B9BF52C">
            <w:pPr>
              <w:adjustRightInd w:val="0"/>
              <w:snapToGrid w:val="0"/>
              <w:rPr>
                <w:strike w:val="0"/>
                <w:dstrike w:val="0"/>
                <w:color w:val="auto"/>
                <w:sz w:val="24"/>
                <w:highlight w:val="none"/>
              </w:rPr>
            </w:pPr>
            <w:r>
              <w:rPr>
                <w:strike w:val="0"/>
                <w:dstrike w:val="0"/>
                <w:color w:val="auto"/>
                <w:sz w:val="24"/>
                <w:highlight w:val="none"/>
              </w:rPr>
              <w:sym w:font="Wingdings 2" w:char="0052"/>
            </w:r>
            <w:r>
              <w:rPr>
                <w:strike w:val="0"/>
                <w:dstrike w:val="0"/>
                <w:color w:val="auto"/>
                <w:sz w:val="24"/>
                <w:highlight w:val="none"/>
              </w:rPr>
              <w:t>否</w:t>
            </w:r>
          </w:p>
          <w:p w14:paraId="77DDBD50">
            <w:pPr>
              <w:adjustRightInd w:val="0"/>
              <w:snapToGrid w:val="0"/>
              <w:rPr>
                <w:strike w:val="0"/>
                <w:dstrike w:val="0"/>
                <w:color w:val="auto"/>
                <w:sz w:val="24"/>
                <w:highlight w:val="none"/>
              </w:rPr>
            </w:pPr>
            <w:r>
              <w:rPr>
                <w:strike w:val="0"/>
                <w:dstrike w:val="0"/>
                <w:color w:val="auto"/>
                <w:sz w:val="24"/>
                <w:highlight w:val="none"/>
              </w:rPr>
              <w:sym w:font="Wingdings 2" w:char="00A3"/>
            </w:r>
            <w:r>
              <w:rPr>
                <w:strike w:val="0"/>
                <w:dstrike w:val="0"/>
                <w:color w:val="auto"/>
                <w:sz w:val="24"/>
                <w:highlight w:val="none"/>
              </w:rPr>
              <w:t>是：</w:t>
            </w:r>
            <w:r>
              <w:rPr>
                <w:strike w:val="0"/>
                <w:dstrike w:val="0"/>
                <w:color w:val="auto"/>
                <w:sz w:val="24"/>
                <w:highlight w:val="none"/>
                <w:u w:val="single"/>
              </w:rPr>
              <w:t xml:space="preserve">     </w:t>
            </w:r>
          </w:p>
        </w:tc>
        <w:tc>
          <w:tcPr>
            <w:tcW w:w="1048" w:type="pct"/>
            <w:tcMar>
              <w:top w:w="16" w:type="dxa"/>
              <w:left w:w="16" w:type="dxa"/>
              <w:right w:w="16" w:type="dxa"/>
            </w:tcMar>
            <w:vAlign w:val="center"/>
          </w:tcPr>
          <w:p w14:paraId="41AC5528">
            <w:pPr>
              <w:adjustRightInd w:val="0"/>
              <w:snapToGrid w:val="0"/>
              <w:jc w:val="center"/>
              <w:rPr>
                <w:strike w:val="0"/>
                <w:dstrike w:val="0"/>
                <w:color w:val="auto"/>
                <w:spacing w:val="-6"/>
                <w:sz w:val="24"/>
                <w:highlight w:val="none"/>
              </w:rPr>
            </w:pPr>
            <w:r>
              <w:rPr>
                <w:strike w:val="0"/>
                <w:dstrike w:val="0"/>
                <w:color w:val="auto"/>
                <w:spacing w:val="-6"/>
                <w:sz w:val="24"/>
                <w:highlight w:val="none"/>
              </w:rPr>
              <w:t>用地（用海）</w:t>
            </w:r>
          </w:p>
          <w:p w14:paraId="6213C45F">
            <w:pPr>
              <w:adjustRightInd w:val="0"/>
              <w:snapToGrid w:val="0"/>
              <w:jc w:val="center"/>
              <w:rPr>
                <w:strike w:val="0"/>
                <w:dstrike w:val="0"/>
                <w:color w:val="auto"/>
                <w:sz w:val="24"/>
                <w:highlight w:val="none"/>
              </w:rPr>
            </w:pPr>
            <w:r>
              <w:rPr>
                <w:strike w:val="0"/>
                <w:dstrike w:val="0"/>
                <w:color w:val="auto"/>
                <w:spacing w:val="-6"/>
                <w:sz w:val="24"/>
                <w:highlight w:val="none"/>
              </w:rPr>
              <w:t>面积（m</w:t>
            </w:r>
            <w:r>
              <w:rPr>
                <w:strike w:val="0"/>
                <w:dstrike w:val="0"/>
                <w:color w:val="auto"/>
                <w:spacing w:val="-6"/>
                <w:sz w:val="24"/>
                <w:highlight w:val="none"/>
                <w:vertAlign w:val="superscript"/>
              </w:rPr>
              <w:t>2</w:t>
            </w:r>
            <w:r>
              <w:rPr>
                <w:strike w:val="0"/>
                <w:dstrike w:val="0"/>
                <w:color w:val="auto"/>
                <w:spacing w:val="-6"/>
                <w:sz w:val="24"/>
                <w:highlight w:val="none"/>
              </w:rPr>
              <w:t>）</w:t>
            </w:r>
          </w:p>
        </w:tc>
        <w:tc>
          <w:tcPr>
            <w:tcW w:w="1711" w:type="pct"/>
            <w:vAlign w:val="center"/>
          </w:tcPr>
          <w:p w14:paraId="196BA7B1">
            <w:pPr>
              <w:adjustRightInd w:val="0"/>
              <w:snapToGrid w:val="0"/>
              <w:jc w:val="center"/>
              <w:rPr>
                <w:strike w:val="0"/>
                <w:dstrike w:val="0"/>
                <w:color w:val="auto"/>
                <w:sz w:val="24"/>
                <w:highlight w:val="none"/>
              </w:rPr>
            </w:pPr>
            <w:r>
              <w:rPr>
                <w:strike w:val="0"/>
                <w:dstrike w:val="0"/>
                <w:color w:val="auto"/>
                <w:sz w:val="24"/>
                <w:highlight w:val="none"/>
              </w:rPr>
              <w:t>3703</w:t>
            </w:r>
          </w:p>
        </w:tc>
      </w:tr>
      <w:tr w14:paraId="11DDB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223" w:type="pct"/>
            <w:gridSpan w:val="2"/>
            <w:vAlign w:val="center"/>
          </w:tcPr>
          <w:p w14:paraId="58D84AC9">
            <w:pPr>
              <w:autoSpaceDE w:val="0"/>
              <w:autoSpaceDN w:val="0"/>
              <w:adjustRightInd w:val="0"/>
              <w:snapToGrid w:val="0"/>
              <w:jc w:val="center"/>
              <w:rPr>
                <w:strike w:val="0"/>
                <w:dstrike w:val="0"/>
                <w:color w:val="auto"/>
                <w:kern w:val="0"/>
                <w:sz w:val="24"/>
                <w:highlight w:val="none"/>
              </w:rPr>
            </w:pPr>
            <w:r>
              <w:rPr>
                <w:strike w:val="0"/>
                <w:dstrike w:val="0"/>
                <w:color w:val="auto"/>
                <w:kern w:val="0"/>
                <w:sz w:val="24"/>
                <w:highlight w:val="none"/>
              </w:rPr>
              <w:t>专项评价设置情况</w:t>
            </w:r>
          </w:p>
        </w:tc>
        <w:tc>
          <w:tcPr>
            <w:tcW w:w="3776" w:type="pct"/>
            <w:gridSpan w:val="3"/>
            <w:vAlign w:val="center"/>
          </w:tcPr>
          <w:p w14:paraId="1C6AE2FC">
            <w:pPr>
              <w:autoSpaceDE w:val="0"/>
              <w:autoSpaceDN w:val="0"/>
              <w:adjustRightInd w:val="0"/>
              <w:snapToGrid w:val="0"/>
              <w:jc w:val="left"/>
              <w:rPr>
                <w:strike w:val="0"/>
                <w:dstrike w:val="0"/>
                <w:color w:val="auto"/>
                <w:sz w:val="24"/>
                <w:highlight w:val="none"/>
              </w:rPr>
            </w:pPr>
            <w:r>
              <w:rPr>
                <w:strike w:val="0"/>
                <w:dstrike w:val="0"/>
                <w:color w:val="auto"/>
                <w:sz w:val="24"/>
                <w:highlight w:val="none"/>
              </w:rPr>
              <w:t>项目不排放有毒有害污染物等废气，无须设置大气专项评价；</w:t>
            </w:r>
          </w:p>
          <w:p w14:paraId="1458FA02">
            <w:pPr>
              <w:autoSpaceDE w:val="0"/>
              <w:autoSpaceDN w:val="0"/>
              <w:adjustRightInd w:val="0"/>
              <w:snapToGrid w:val="0"/>
              <w:jc w:val="left"/>
              <w:rPr>
                <w:strike w:val="0"/>
                <w:dstrike w:val="0"/>
                <w:color w:val="auto"/>
                <w:sz w:val="24"/>
                <w:highlight w:val="none"/>
              </w:rPr>
            </w:pPr>
            <w:r>
              <w:rPr>
                <w:strike w:val="0"/>
                <w:dstrike w:val="0"/>
                <w:color w:val="auto"/>
                <w:sz w:val="24"/>
                <w:highlight w:val="none"/>
              </w:rPr>
              <w:t>项目废水属于间接排放，无须设置地表水专项评价；</w:t>
            </w:r>
          </w:p>
          <w:p w14:paraId="109616D1">
            <w:pPr>
              <w:autoSpaceDE w:val="0"/>
              <w:autoSpaceDN w:val="0"/>
              <w:adjustRightInd w:val="0"/>
              <w:snapToGrid w:val="0"/>
              <w:jc w:val="left"/>
              <w:rPr>
                <w:strike w:val="0"/>
                <w:dstrike w:val="0"/>
                <w:color w:val="auto"/>
                <w:sz w:val="24"/>
                <w:highlight w:val="none"/>
              </w:rPr>
            </w:pPr>
            <w:r>
              <w:rPr>
                <w:strike w:val="0"/>
                <w:dstrike w:val="0"/>
                <w:color w:val="auto"/>
                <w:sz w:val="24"/>
                <w:highlight w:val="none"/>
              </w:rPr>
              <w:t>项目易燃易爆危险物质存储量超过</w:t>
            </w:r>
            <w:r>
              <w:rPr>
                <w:rFonts w:hint="eastAsia"/>
                <w:strike w:val="0"/>
                <w:dstrike w:val="0"/>
                <w:color w:val="auto"/>
                <w:sz w:val="24"/>
                <w:highlight w:val="none"/>
              </w:rPr>
              <w:t>了</w:t>
            </w:r>
            <w:r>
              <w:rPr>
                <w:strike w:val="0"/>
                <w:dstrike w:val="0"/>
                <w:color w:val="auto"/>
                <w:sz w:val="24"/>
                <w:highlight w:val="none"/>
              </w:rPr>
              <w:t>临界量，</w:t>
            </w:r>
            <w:r>
              <w:rPr>
                <w:rFonts w:hint="eastAsia"/>
                <w:strike w:val="0"/>
                <w:dstrike w:val="0"/>
                <w:color w:val="auto"/>
                <w:sz w:val="24"/>
                <w:highlight w:val="none"/>
              </w:rPr>
              <w:t>故</w:t>
            </w:r>
            <w:r>
              <w:rPr>
                <w:strike w:val="0"/>
                <w:dstrike w:val="0"/>
                <w:color w:val="auto"/>
                <w:sz w:val="24"/>
                <w:highlight w:val="none"/>
              </w:rPr>
              <w:t>须设置环境风险专项评价；</w:t>
            </w:r>
          </w:p>
          <w:p w14:paraId="776F0BDC">
            <w:pPr>
              <w:autoSpaceDE w:val="0"/>
              <w:autoSpaceDN w:val="0"/>
              <w:adjustRightInd w:val="0"/>
              <w:snapToGrid w:val="0"/>
              <w:jc w:val="left"/>
              <w:rPr>
                <w:strike w:val="0"/>
                <w:dstrike w:val="0"/>
                <w:color w:val="auto"/>
                <w:sz w:val="24"/>
                <w:highlight w:val="none"/>
              </w:rPr>
            </w:pPr>
            <w:r>
              <w:rPr>
                <w:strike w:val="0"/>
                <w:dstrike w:val="0"/>
                <w:color w:val="auto"/>
                <w:sz w:val="24"/>
                <w:highlight w:val="none"/>
              </w:rPr>
              <w:t>项目不涉及取水口，无须设置生态专项评价；</w:t>
            </w:r>
          </w:p>
          <w:p w14:paraId="017901EF">
            <w:pPr>
              <w:autoSpaceDE w:val="0"/>
              <w:autoSpaceDN w:val="0"/>
              <w:adjustRightInd w:val="0"/>
              <w:snapToGrid w:val="0"/>
              <w:jc w:val="left"/>
              <w:rPr>
                <w:strike w:val="0"/>
                <w:dstrike w:val="0"/>
                <w:color w:val="auto"/>
                <w:sz w:val="24"/>
                <w:highlight w:val="none"/>
              </w:rPr>
            </w:pPr>
            <w:r>
              <w:rPr>
                <w:strike w:val="0"/>
                <w:dstrike w:val="0"/>
                <w:color w:val="auto"/>
                <w:sz w:val="24"/>
                <w:highlight w:val="none"/>
              </w:rPr>
              <w:t>项目不属于海洋工程建设项目，无须设置海洋专项评价；</w:t>
            </w:r>
          </w:p>
          <w:p w14:paraId="721C4E43">
            <w:pPr>
              <w:autoSpaceDE w:val="0"/>
              <w:autoSpaceDN w:val="0"/>
              <w:adjustRightInd w:val="0"/>
              <w:snapToGrid w:val="0"/>
              <w:jc w:val="left"/>
              <w:rPr>
                <w:strike w:val="0"/>
                <w:dstrike w:val="0"/>
                <w:color w:val="auto"/>
                <w:kern w:val="0"/>
                <w:sz w:val="24"/>
                <w:highlight w:val="none"/>
              </w:rPr>
            </w:pPr>
            <w:r>
              <w:rPr>
                <w:strike w:val="0"/>
                <w:dstrike w:val="0"/>
                <w:color w:val="auto"/>
                <w:sz w:val="24"/>
                <w:highlight w:val="none"/>
              </w:rPr>
              <w:t>项目不涉及集中式饮用水水源、矿泉水、温泉等特殊地下水资源保护区，无须设置地下水专项评价。</w:t>
            </w:r>
          </w:p>
        </w:tc>
      </w:tr>
      <w:tr w14:paraId="22796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223" w:type="pct"/>
            <w:gridSpan w:val="2"/>
            <w:vAlign w:val="center"/>
          </w:tcPr>
          <w:p w14:paraId="460874E8">
            <w:pPr>
              <w:autoSpaceDE w:val="0"/>
              <w:autoSpaceDN w:val="0"/>
              <w:adjustRightInd w:val="0"/>
              <w:snapToGrid w:val="0"/>
              <w:jc w:val="center"/>
              <w:rPr>
                <w:strike w:val="0"/>
                <w:dstrike w:val="0"/>
                <w:color w:val="auto"/>
                <w:kern w:val="0"/>
                <w:sz w:val="24"/>
                <w:highlight w:val="none"/>
              </w:rPr>
            </w:pPr>
            <w:r>
              <w:rPr>
                <w:strike w:val="0"/>
                <w:dstrike w:val="0"/>
                <w:color w:val="auto"/>
                <w:sz w:val="24"/>
                <w:highlight w:val="none"/>
              </w:rPr>
              <w:t>规划情况</w:t>
            </w:r>
          </w:p>
        </w:tc>
        <w:tc>
          <w:tcPr>
            <w:tcW w:w="3776" w:type="pct"/>
            <w:gridSpan w:val="3"/>
            <w:shd w:val="clear" w:color="auto" w:fill="auto"/>
            <w:vAlign w:val="center"/>
          </w:tcPr>
          <w:p w14:paraId="64619D1D">
            <w:pPr>
              <w:rPr>
                <w:strike w:val="0"/>
                <w:dstrike w:val="0"/>
                <w:color w:val="auto"/>
                <w:sz w:val="24"/>
                <w:highlight w:val="none"/>
              </w:rPr>
            </w:pPr>
            <w:r>
              <w:rPr>
                <w:b/>
                <w:bCs/>
                <w:strike w:val="0"/>
                <w:dstrike w:val="0"/>
                <w:color w:val="auto"/>
                <w:sz w:val="24"/>
                <w:highlight w:val="none"/>
              </w:rPr>
              <w:t>规划名称：</w:t>
            </w:r>
            <w:r>
              <w:rPr>
                <w:strike w:val="0"/>
                <w:dstrike w:val="0"/>
                <w:color w:val="auto"/>
                <w:sz w:val="24"/>
                <w:highlight w:val="none"/>
              </w:rPr>
              <w:t>《重庆市合川区土场镇总体规划（2017-2035）》；</w:t>
            </w:r>
          </w:p>
          <w:p w14:paraId="5710C436">
            <w:pPr>
              <w:rPr>
                <w:rFonts w:hint="eastAsia" w:eastAsia="宋体"/>
                <w:strike w:val="0"/>
                <w:dstrike w:val="0"/>
                <w:color w:val="auto"/>
                <w:sz w:val="24"/>
                <w:highlight w:val="none"/>
                <w:lang w:eastAsia="zh-CN"/>
              </w:rPr>
            </w:pPr>
            <w:r>
              <w:rPr>
                <w:b/>
                <w:bCs/>
                <w:strike w:val="0"/>
                <w:dstrike w:val="0"/>
                <w:color w:val="auto"/>
                <w:sz w:val="24"/>
                <w:highlight w:val="none"/>
              </w:rPr>
              <w:t>审批机关：</w:t>
            </w:r>
            <w:r>
              <w:rPr>
                <w:strike w:val="0"/>
                <w:dstrike w:val="0"/>
                <w:color w:val="auto"/>
                <w:sz w:val="24"/>
                <w:highlight w:val="none"/>
              </w:rPr>
              <w:t>合川区人民政府</w:t>
            </w:r>
            <w:r>
              <w:rPr>
                <w:rFonts w:hint="eastAsia"/>
                <w:strike w:val="0"/>
                <w:dstrike w:val="0"/>
                <w:color w:val="auto"/>
                <w:sz w:val="24"/>
                <w:highlight w:val="none"/>
                <w:lang w:eastAsia="zh-CN"/>
              </w:rPr>
              <w:t>；</w:t>
            </w:r>
          </w:p>
          <w:p w14:paraId="58612C53">
            <w:pPr>
              <w:rPr>
                <w:rFonts w:hint="eastAsia" w:ascii="Times New Roman" w:hAnsi="Times New Roman" w:eastAsia="宋体" w:cs="Times New Roman"/>
                <w:strike w:val="0"/>
                <w:dstrike w:val="0"/>
                <w:color w:val="auto"/>
                <w:kern w:val="0"/>
                <w:sz w:val="24"/>
                <w:szCs w:val="24"/>
                <w:highlight w:val="none"/>
                <w:lang w:val="en-US" w:eastAsia="zh-CN" w:bidi="ar-SA"/>
              </w:rPr>
            </w:pPr>
            <w:r>
              <w:rPr>
                <w:b/>
                <w:bCs/>
                <w:strike w:val="0"/>
                <w:dstrike w:val="0"/>
                <w:color w:val="auto"/>
                <w:sz w:val="24"/>
                <w:highlight w:val="none"/>
              </w:rPr>
              <w:t>审批</w:t>
            </w:r>
            <w:r>
              <w:rPr>
                <w:rFonts w:hint="eastAsia"/>
                <w:b/>
                <w:bCs/>
                <w:strike w:val="0"/>
                <w:dstrike w:val="0"/>
                <w:color w:val="auto"/>
                <w:sz w:val="24"/>
                <w:highlight w:val="none"/>
                <w:lang w:val="en-US" w:eastAsia="zh-CN"/>
              </w:rPr>
              <w:t>文件名称及文号</w:t>
            </w:r>
            <w:r>
              <w:rPr>
                <w:b/>
                <w:bCs/>
                <w:strike w:val="0"/>
                <w:dstrike w:val="0"/>
                <w:color w:val="auto"/>
                <w:sz w:val="24"/>
                <w:highlight w:val="none"/>
              </w:rPr>
              <w:t>：</w:t>
            </w:r>
            <w:r>
              <w:rPr>
                <w:strike w:val="0"/>
                <w:dstrike w:val="0"/>
                <w:color w:val="auto"/>
                <w:kern w:val="0"/>
                <w:sz w:val="24"/>
                <w:highlight w:val="none"/>
              </w:rPr>
              <w:t>《重庆市合川区人民政府关于重庆市合川区土场镇总体规划</w:t>
            </w:r>
            <w:r>
              <w:rPr>
                <w:rFonts w:hint="eastAsia"/>
                <w:strike w:val="0"/>
                <w:dstrike w:val="0"/>
                <w:color w:val="auto"/>
                <w:kern w:val="0"/>
                <w:sz w:val="24"/>
                <w:highlight w:val="none"/>
                <w:lang w:eastAsia="zh-CN"/>
              </w:rPr>
              <w:t>（</w:t>
            </w:r>
            <w:r>
              <w:rPr>
                <w:strike w:val="0"/>
                <w:dstrike w:val="0"/>
                <w:color w:val="auto"/>
                <w:kern w:val="0"/>
                <w:sz w:val="24"/>
                <w:highlight w:val="none"/>
              </w:rPr>
              <w:t>2017-2035</w:t>
            </w:r>
            <w:r>
              <w:rPr>
                <w:rFonts w:hint="eastAsia"/>
                <w:strike w:val="0"/>
                <w:dstrike w:val="0"/>
                <w:color w:val="auto"/>
                <w:kern w:val="0"/>
                <w:sz w:val="24"/>
                <w:highlight w:val="none"/>
                <w:lang w:eastAsia="zh-CN"/>
              </w:rPr>
              <w:t>）</w:t>
            </w:r>
            <w:r>
              <w:rPr>
                <w:strike w:val="0"/>
                <w:dstrike w:val="0"/>
                <w:color w:val="auto"/>
                <w:kern w:val="0"/>
                <w:sz w:val="24"/>
                <w:highlight w:val="none"/>
              </w:rPr>
              <w:t>（含控制性详细规划）的批复》</w:t>
            </w:r>
            <w:r>
              <w:rPr>
                <w:rFonts w:hint="eastAsia"/>
                <w:strike w:val="0"/>
                <w:dstrike w:val="0"/>
                <w:color w:val="auto"/>
                <w:kern w:val="0"/>
                <w:sz w:val="24"/>
                <w:highlight w:val="none"/>
                <w:lang w:eastAsia="zh-CN"/>
              </w:rPr>
              <w:t>。</w:t>
            </w:r>
          </w:p>
        </w:tc>
      </w:tr>
      <w:tr w14:paraId="7B04A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23" w:type="pct"/>
            <w:gridSpan w:val="2"/>
            <w:vAlign w:val="center"/>
          </w:tcPr>
          <w:p w14:paraId="6B6E3892">
            <w:pPr>
              <w:adjustRightInd w:val="0"/>
              <w:snapToGrid w:val="0"/>
              <w:jc w:val="center"/>
              <w:rPr>
                <w:strike w:val="0"/>
                <w:dstrike w:val="0"/>
                <w:color w:val="auto"/>
                <w:sz w:val="24"/>
                <w:highlight w:val="none"/>
              </w:rPr>
            </w:pPr>
            <w:r>
              <w:rPr>
                <w:strike w:val="0"/>
                <w:dstrike w:val="0"/>
                <w:color w:val="auto"/>
                <w:sz w:val="24"/>
                <w:highlight w:val="none"/>
              </w:rPr>
              <w:t>规划环境影响</w:t>
            </w:r>
          </w:p>
          <w:p w14:paraId="1EBFA314">
            <w:pPr>
              <w:adjustRightInd w:val="0"/>
              <w:snapToGrid w:val="0"/>
              <w:jc w:val="center"/>
              <w:rPr>
                <w:strike w:val="0"/>
                <w:dstrike w:val="0"/>
                <w:color w:val="auto"/>
                <w:kern w:val="0"/>
                <w:sz w:val="24"/>
                <w:highlight w:val="none"/>
              </w:rPr>
            </w:pPr>
            <w:r>
              <w:rPr>
                <w:strike w:val="0"/>
                <w:dstrike w:val="0"/>
                <w:color w:val="auto"/>
                <w:sz w:val="24"/>
                <w:highlight w:val="none"/>
              </w:rPr>
              <w:t>评价情况</w:t>
            </w:r>
          </w:p>
        </w:tc>
        <w:tc>
          <w:tcPr>
            <w:tcW w:w="3776" w:type="pct"/>
            <w:gridSpan w:val="3"/>
            <w:vAlign w:val="center"/>
          </w:tcPr>
          <w:p w14:paraId="730B4B30">
            <w:pPr>
              <w:rPr>
                <w:strike w:val="0"/>
                <w:dstrike w:val="0"/>
                <w:color w:val="auto"/>
                <w:sz w:val="24"/>
                <w:highlight w:val="none"/>
              </w:rPr>
            </w:pPr>
            <w:r>
              <w:rPr>
                <w:b/>
                <w:bCs/>
                <w:strike w:val="0"/>
                <w:dstrike w:val="0"/>
                <w:color w:val="auto"/>
                <w:sz w:val="24"/>
                <w:highlight w:val="none"/>
              </w:rPr>
              <w:t>规划环评文件名称：</w:t>
            </w:r>
            <w:r>
              <w:rPr>
                <w:strike w:val="0"/>
                <w:dstrike w:val="0"/>
                <w:color w:val="auto"/>
                <w:sz w:val="24"/>
                <w:highlight w:val="none"/>
              </w:rPr>
              <w:t>《重庆市合川区土场镇、清平镇总体规划环境影响报告书》；</w:t>
            </w:r>
          </w:p>
          <w:p w14:paraId="1C493E6B">
            <w:pPr>
              <w:rPr>
                <w:strike w:val="0"/>
                <w:dstrike w:val="0"/>
                <w:color w:val="auto"/>
                <w:sz w:val="24"/>
                <w:highlight w:val="none"/>
              </w:rPr>
            </w:pPr>
            <w:r>
              <w:rPr>
                <w:b/>
                <w:bCs/>
                <w:strike w:val="0"/>
                <w:dstrike w:val="0"/>
                <w:color w:val="auto"/>
                <w:sz w:val="24"/>
                <w:highlight w:val="none"/>
              </w:rPr>
              <w:t>审查机关：</w:t>
            </w:r>
            <w:r>
              <w:rPr>
                <w:strike w:val="0"/>
                <w:dstrike w:val="0"/>
                <w:color w:val="auto"/>
                <w:sz w:val="24"/>
                <w:highlight w:val="none"/>
              </w:rPr>
              <w:t>重庆市合川区生态环境局；</w:t>
            </w:r>
          </w:p>
          <w:p w14:paraId="6FFAD44E">
            <w:pPr>
              <w:rPr>
                <w:strike w:val="0"/>
                <w:dstrike w:val="0"/>
                <w:color w:val="auto"/>
                <w:sz w:val="24"/>
                <w:highlight w:val="none"/>
              </w:rPr>
            </w:pPr>
            <w:r>
              <w:rPr>
                <w:b/>
                <w:bCs/>
                <w:strike w:val="0"/>
                <w:dstrike w:val="0"/>
                <w:color w:val="auto"/>
                <w:sz w:val="24"/>
                <w:highlight w:val="none"/>
              </w:rPr>
              <w:t>审查文件名称及文号：</w:t>
            </w:r>
            <w:r>
              <w:rPr>
                <w:strike w:val="0"/>
                <w:dstrike w:val="0"/>
                <w:color w:val="auto"/>
                <w:sz w:val="24"/>
                <w:highlight w:val="none"/>
              </w:rPr>
              <w:t>《重庆市合川区生态环境局关于重庆市合川区土场镇、清平镇总体规划环境影响报告书审查意见的函》；合川环函〔2021〕71号；2021年9月30日。</w:t>
            </w:r>
          </w:p>
        </w:tc>
      </w:tr>
      <w:tr w14:paraId="7B7FB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2" w:type="pct"/>
            <w:vAlign w:val="center"/>
          </w:tcPr>
          <w:p w14:paraId="7F763DA8">
            <w:pPr>
              <w:autoSpaceDE w:val="0"/>
              <w:autoSpaceDN w:val="0"/>
              <w:adjustRightInd w:val="0"/>
              <w:snapToGrid w:val="0"/>
              <w:jc w:val="center"/>
              <w:rPr>
                <w:strike w:val="0"/>
                <w:dstrike w:val="0"/>
                <w:color w:val="auto"/>
                <w:kern w:val="0"/>
                <w:sz w:val="24"/>
                <w:highlight w:val="none"/>
              </w:rPr>
            </w:pPr>
            <w:r>
              <w:rPr>
                <w:strike w:val="0"/>
                <w:dstrike w:val="0"/>
                <w:color w:val="auto"/>
                <w:kern w:val="0"/>
                <w:sz w:val="24"/>
                <w:highlight w:val="none"/>
              </w:rPr>
              <w:t>规划及规划环境</w:t>
            </w:r>
          </w:p>
          <w:p w14:paraId="7747D4E0">
            <w:pPr>
              <w:autoSpaceDE w:val="0"/>
              <w:autoSpaceDN w:val="0"/>
              <w:adjustRightInd w:val="0"/>
              <w:snapToGrid w:val="0"/>
              <w:jc w:val="center"/>
              <w:rPr>
                <w:strike w:val="0"/>
                <w:dstrike w:val="0"/>
                <w:color w:val="auto"/>
                <w:kern w:val="0"/>
                <w:sz w:val="24"/>
                <w:highlight w:val="none"/>
              </w:rPr>
            </w:pPr>
            <w:r>
              <w:rPr>
                <w:strike w:val="0"/>
                <w:dstrike w:val="0"/>
                <w:color w:val="auto"/>
                <w:kern w:val="0"/>
                <w:sz w:val="24"/>
                <w:highlight w:val="none"/>
              </w:rPr>
              <w:t>影响评价符合性分析</w:t>
            </w:r>
          </w:p>
        </w:tc>
        <w:tc>
          <w:tcPr>
            <w:tcW w:w="4737" w:type="pct"/>
            <w:gridSpan w:val="4"/>
            <w:vAlign w:val="center"/>
          </w:tcPr>
          <w:p w14:paraId="59799DBB">
            <w:pPr>
              <w:spacing w:line="360" w:lineRule="auto"/>
              <w:rPr>
                <w:b/>
                <w:bCs/>
                <w:strike w:val="0"/>
                <w:dstrike w:val="0"/>
                <w:color w:val="auto"/>
                <w:sz w:val="24"/>
                <w:highlight w:val="none"/>
              </w:rPr>
            </w:pPr>
            <w:r>
              <w:rPr>
                <w:b/>
                <w:bCs/>
                <w:strike w:val="0"/>
                <w:dstrike w:val="0"/>
                <w:color w:val="auto"/>
                <w:sz w:val="24"/>
                <w:highlight w:val="none"/>
              </w:rPr>
              <w:t>1.1与《重庆市合川区土场镇总体规划((2017-2035）》符合性分析</w:t>
            </w:r>
          </w:p>
          <w:p w14:paraId="7F86E258">
            <w:pPr>
              <w:pStyle w:val="85"/>
              <w:keepNext w:val="0"/>
              <w:keepLines w:val="0"/>
              <w:suppressLineNumbers w:val="0"/>
              <w:spacing w:before="0" w:beforeAutospacing="0" w:after="0" w:afterAutospacing="0"/>
              <w:ind w:left="0" w:right="0"/>
              <w:rPr>
                <w:rFonts w:hint="default"/>
                <w:color w:val="auto"/>
              </w:rPr>
            </w:pPr>
            <w:r>
              <w:rPr>
                <w:strike w:val="0"/>
                <w:dstrike w:val="0"/>
                <w:color w:val="auto"/>
                <w:sz w:val="24"/>
                <w:highlight w:val="none"/>
              </w:rPr>
              <w:t>根据《重庆市合川区土场镇总体规划((2017-2035）》，土场镇镇域范围为土场镇行政辖区范围，包括全镇4个村和3个社区，镇区范围为北接清平镇边界、南接北碚东阳、东以襄渝铁路为界、西以杨家沟水库沿线水系为界，包含市级合川工业园区天顶组团B区（部分）及C区，镇域总面积40.24km</w:t>
            </w:r>
            <w:r>
              <w:rPr>
                <w:strike w:val="0"/>
                <w:dstrike w:val="0"/>
                <w:color w:val="auto"/>
                <w:sz w:val="24"/>
                <w:highlight w:val="none"/>
                <w:vertAlign w:val="superscript"/>
              </w:rPr>
              <w:t>2</w:t>
            </w:r>
            <w:r>
              <w:rPr>
                <w:strike w:val="0"/>
                <w:dstrike w:val="0"/>
                <w:color w:val="auto"/>
                <w:sz w:val="24"/>
                <w:highlight w:val="none"/>
              </w:rPr>
              <w:t>。</w:t>
            </w:r>
            <w:r>
              <w:rPr>
                <w:rFonts w:hint="default"/>
                <w:color w:val="auto"/>
              </w:rPr>
              <w:t>镇区包括老镇区、银翔新城区及杨柳村、中湾村、菜园村、天顶村的部分用地，总面积为1520.04公顷，其中2025年城市建设用地面积为926.59公顷，城市建设用地面积为1422.26公顷。</w:t>
            </w:r>
          </w:p>
          <w:p w14:paraId="15D32A64">
            <w:pPr>
              <w:pStyle w:val="85"/>
              <w:keepNext w:val="0"/>
              <w:keepLines w:val="0"/>
              <w:suppressLineNumbers w:val="0"/>
              <w:spacing w:before="0" w:beforeAutospacing="0" w:after="0" w:afterAutospacing="0"/>
              <w:ind w:left="0" w:right="0"/>
              <w:rPr>
                <w:strike w:val="0"/>
                <w:dstrike w:val="0"/>
                <w:color w:val="auto"/>
                <w:sz w:val="24"/>
                <w:highlight w:val="none"/>
              </w:rPr>
            </w:pPr>
            <w:r>
              <w:rPr>
                <w:rFonts w:hint="default"/>
                <w:color w:val="auto"/>
              </w:rPr>
              <w:t>本次规划期限为2017-2035年，其中近期为2017-2025年，远期为2026-2035年。土场镇是合川区东部经济走廊的核心重镇，以发展汽摩整车制造+装备配套为主导，协同发展商贸业和服务业的重庆汽摩产业新城。</w:t>
            </w:r>
          </w:p>
          <w:p w14:paraId="2F2A25AC">
            <w:pPr>
              <w:spacing w:line="360" w:lineRule="auto"/>
              <w:ind w:firstLine="480" w:firstLineChars="200"/>
              <w:rPr>
                <w:strike w:val="0"/>
                <w:dstrike w:val="0"/>
                <w:color w:val="auto"/>
                <w:sz w:val="24"/>
                <w:highlight w:val="none"/>
              </w:rPr>
            </w:pPr>
            <w:r>
              <w:rPr>
                <w:strike w:val="0"/>
                <w:dstrike w:val="0"/>
                <w:color w:val="auto"/>
                <w:sz w:val="24"/>
                <w:highlight w:val="none"/>
              </w:rPr>
              <w:t>（1）与产业定位符合性分析</w:t>
            </w:r>
          </w:p>
          <w:p w14:paraId="532C731F">
            <w:pPr>
              <w:spacing w:line="360" w:lineRule="auto"/>
              <w:ind w:firstLine="480" w:firstLineChars="200"/>
              <w:rPr>
                <w:strike w:val="0"/>
                <w:dstrike w:val="0"/>
                <w:color w:val="auto"/>
                <w:sz w:val="24"/>
                <w:highlight w:val="none"/>
              </w:rPr>
            </w:pPr>
            <w:r>
              <w:rPr>
                <w:strike w:val="0"/>
                <w:dstrike w:val="0"/>
                <w:color w:val="auto"/>
                <w:sz w:val="24"/>
                <w:highlight w:val="none"/>
              </w:rPr>
              <w:t>本项目为合川区土场综合能源站工程项目，属于F5265机动车燃油零售、F5266机动车燃气零售，与产业定位不冲突，符合《重庆市合川区土场镇总体规划((2017-2035）》相关要求。</w:t>
            </w:r>
          </w:p>
          <w:p w14:paraId="3DFFF41E">
            <w:pPr>
              <w:spacing w:line="360" w:lineRule="auto"/>
              <w:ind w:firstLine="480" w:firstLineChars="200"/>
              <w:rPr>
                <w:strike w:val="0"/>
                <w:dstrike w:val="0"/>
                <w:color w:val="auto"/>
                <w:sz w:val="24"/>
                <w:highlight w:val="none"/>
              </w:rPr>
            </w:pPr>
            <w:r>
              <w:rPr>
                <w:strike w:val="0"/>
                <w:dstrike w:val="0"/>
                <w:color w:val="auto"/>
                <w:sz w:val="24"/>
                <w:highlight w:val="none"/>
              </w:rPr>
              <w:t>（2）用地符合性分析</w:t>
            </w:r>
          </w:p>
          <w:p w14:paraId="6A5AFEA3">
            <w:pPr>
              <w:spacing w:line="360" w:lineRule="auto"/>
              <w:ind w:firstLine="480" w:firstLineChars="200"/>
              <w:rPr>
                <w:rFonts w:hint="default" w:eastAsia="宋体"/>
                <w:strike w:val="0"/>
                <w:dstrike w:val="0"/>
                <w:color w:val="auto"/>
                <w:sz w:val="24"/>
                <w:szCs w:val="32"/>
                <w:highlight w:val="none"/>
                <w:lang w:val="en-US" w:eastAsia="zh-CN"/>
              </w:rPr>
            </w:pPr>
            <w:r>
              <w:rPr>
                <w:strike w:val="0"/>
                <w:dstrike w:val="0"/>
                <w:color w:val="auto"/>
                <w:sz w:val="24"/>
                <w:szCs w:val="32"/>
                <w:highlight w:val="none"/>
              </w:rPr>
              <w:t>本项目用地面积约3703m</w:t>
            </w:r>
            <w:r>
              <w:rPr>
                <w:strike w:val="0"/>
                <w:dstrike w:val="0"/>
                <w:color w:val="auto"/>
                <w:sz w:val="24"/>
                <w:szCs w:val="32"/>
                <w:highlight w:val="none"/>
                <w:vertAlign w:val="superscript"/>
              </w:rPr>
              <w:t>2</w:t>
            </w:r>
            <w:r>
              <w:rPr>
                <w:strike w:val="0"/>
                <w:dstrike w:val="0"/>
                <w:color w:val="auto"/>
                <w:sz w:val="24"/>
                <w:szCs w:val="32"/>
                <w:highlight w:val="none"/>
              </w:rPr>
              <w:t>，位于TD-46-02/01地块。</w:t>
            </w:r>
            <w:r>
              <w:rPr>
                <w:rFonts w:hint="eastAsia"/>
                <w:strike w:val="0"/>
                <w:dstrike w:val="0"/>
                <w:color w:val="auto"/>
                <w:sz w:val="24"/>
                <w:szCs w:val="32"/>
                <w:highlight w:val="none"/>
                <w:lang w:val="en-US" w:eastAsia="zh-CN"/>
              </w:rPr>
              <w:t>2024年2月8日，本项目取得重庆市合川区规划和自然资源局颁发的土地产权证，产权证中明确本项目</w:t>
            </w:r>
            <w:r>
              <w:rPr>
                <w:rFonts w:hint="eastAsia"/>
                <w:strike w:val="0"/>
                <w:dstrike w:val="0"/>
                <w:color w:val="auto"/>
                <w:sz w:val="24"/>
                <w:szCs w:val="24"/>
                <w:highlight w:val="none"/>
                <w:lang w:val="en-US" w:eastAsia="zh-CN"/>
              </w:rPr>
              <w:t>所在地的土地用途为</w:t>
            </w:r>
            <w:r>
              <w:rPr>
                <w:strike w:val="0"/>
                <w:dstrike w:val="0"/>
                <w:color w:val="auto"/>
                <w:sz w:val="24"/>
                <w:szCs w:val="24"/>
                <w:highlight w:val="none"/>
              </w:rPr>
              <w:t>B41</w:t>
            </w:r>
            <w:r>
              <w:rPr>
                <w:rFonts w:hint="eastAsia"/>
                <w:strike w:val="0"/>
                <w:dstrike w:val="0"/>
                <w:color w:val="auto"/>
                <w:sz w:val="24"/>
                <w:szCs w:val="24"/>
                <w:highlight w:val="none"/>
                <w:lang w:val="en-US" w:eastAsia="zh-CN"/>
              </w:rPr>
              <w:t>-加油加气站用地</w:t>
            </w:r>
            <w:r>
              <w:rPr>
                <w:strike w:val="0"/>
                <w:dstrike w:val="0"/>
                <w:color w:val="auto"/>
                <w:sz w:val="24"/>
                <w:szCs w:val="24"/>
                <w:highlight w:val="none"/>
              </w:rPr>
              <w:t>，符合用地规划。</w:t>
            </w:r>
            <w:r>
              <w:rPr>
                <w:rStyle w:val="29"/>
                <w:rFonts w:hint="eastAsia"/>
                <w:strike w:val="0"/>
                <w:dstrike w:val="0"/>
                <w:color w:val="auto"/>
                <w:kern w:val="0"/>
                <w:sz w:val="24"/>
                <w:szCs w:val="24"/>
                <w:highlight w:val="none"/>
                <w:lang w:val="en-US" w:eastAsia="zh-CN"/>
              </w:rPr>
              <w:t>土地产权证详见附件2。</w:t>
            </w:r>
          </w:p>
          <w:p w14:paraId="5272B7A9">
            <w:pPr>
              <w:spacing w:line="360" w:lineRule="auto"/>
              <w:rPr>
                <w:b/>
                <w:bCs/>
                <w:strike w:val="0"/>
                <w:dstrike w:val="0"/>
                <w:color w:val="auto"/>
                <w:sz w:val="24"/>
                <w:szCs w:val="32"/>
                <w:highlight w:val="none"/>
              </w:rPr>
            </w:pPr>
            <w:r>
              <w:rPr>
                <w:b/>
                <w:bCs/>
                <w:strike w:val="0"/>
                <w:dstrike w:val="0"/>
                <w:color w:val="auto"/>
                <w:sz w:val="24"/>
                <w:szCs w:val="32"/>
                <w:highlight w:val="none"/>
              </w:rPr>
              <w:t>1.2与《重庆市合川区土场镇、清平镇总体规划环境影响报告书》及审查意见的符合性分析</w:t>
            </w:r>
          </w:p>
          <w:p w14:paraId="4EF2FFB4">
            <w:pPr>
              <w:spacing w:line="360" w:lineRule="auto"/>
              <w:ind w:firstLine="480" w:firstLineChars="200"/>
              <w:rPr>
                <w:strike w:val="0"/>
                <w:dstrike w:val="0"/>
                <w:color w:val="auto"/>
                <w:kern w:val="0"/>
                <w:sz w:val="24"/>
                <w:highlight w:val="none"/>
              </w:rPr>
            </w:pPr>
            <w:r>
              <w:rPr>
                <w:strike w:val="0"/>
                <w:dstrike w:val="0"/>
                <w:color w:val="auto"/>
                <w:kern w:val="0"/>
                <w:sz w:val="24"/>
                <w:highlight w:val="none"/>
              </w:rPr>
              <w:t>（1）与《重庆市合川区土场镇、清平镇总体规划环境影响报告书》符合性分析</w:t>
            </w:r>
          </w:p>
          <w:p w14:paraId="5A907DD0">
            <w:pPr>
              <w:spacing w:line="360" w:lineRule="auto"/>
              <w:ind w:firstLine="480" w:firstLineChars="200"/>
              <w:rPr>
                <w:strike w:val="0"/>
                <w:dstrike w:val="0"/>
                <w:color w:val="auto"/>
                <w:sz w:val="24"/>
                <w:highlight w:val="none"/>
              </w:rPr>
            </w:pPr>
            <w:r>
              <w:rPr>
                <w:bCs/>
                <w:strike w:val="0"/>
                <w:dstrike w:val="0"/>
                <w:color w:val="auto"/>
                <w:sz w:val="24"/>
                <w:highlight w:val="none"/>
              </w:rPr>
              <w:t>根据《重庆市合川区土场镇、清平镇总体规划环境影响报告书》，</w:t>
            </w:r>
            <w:r>
              <w:rPr>
                <w:strike w:val="0"/>
                <w:dstrike w:val="0"/>
                <w:color w:val="auto"/>
                <w:sz w:val="24"/>
                <w:highlight w:val="none"/>
              </w:rPr>
              <w:t>土场镇是合川区东部经济走廊的核心重镇，是天顶工业园的</w:t>
            </w:r>
            <w:r>
              <w:rPr>
                <w:rFonts w:hint="eastAsia"/>
                <w:strike w:val="0"/>
                <w:dstrike w:val="0"/>
                <w:color w:val="auto"/>
                <w:sz w:val="24"/>
                <w:highlight w:val="none"/>
              </w:rPr>
              <w:t>重要</w:t>
            </w:r>
            <w:r>
              <w:rPr>
                <w:strike w:val="0"/>
                <w:dstrike w:val="0"/>
                <w:color w:val="auto"/>
                <w:sz w:val="24"/>
                <w:highlight w:val="none"/>
              </w:rPr>
              <w:t>组成部分，是以发展汽摩整车制造+装备配套为主导，协同发展商贸业和服务业的重庆汽摩产业新城。</w:t>
            </w:r>
            <w:r>
              <w:rPr>
                <w:rFonts w:hint="eastAsia"/>
                <w:strike w:val="0"/>
                <w:dstrike w:val="0"/>
                <w:color w:val="auto"/>
                <w:sz w:val="24"/>
                <w:highlight w:val="none"/>
                <w:lang w:eastAsia="zh-CN"/>
              </w:rPr>
              <w:t>本项目属于机动车燃油、燃气零售项目</w:t>
            </w:r>
            <w:r>
              <w:rPr>
                <w:strike w:val="0"/>
                <w:dstrike w:val="0"/>
                <w:color w:val="auto"/>
                <w:sz w:val="24"/>
                <w:highlight w:val="none"/>
              </w:rPr>
              <w:t>，与土场镇产业定位不冲突。项目与规划环评的符合性分析详见表1.2-1。</w:t>
            </w:r>
          </w:p>
          <w:p w14:paraId="54C88AF0">
            <w:pPr>
              <w:autoSpaceDE w:val="0"/>
              <w:autoSpaceDN w:val="0"/>
              <w:adjustRightInd w:val="0"/>
              <w:snapToGrid w:val="0"/>
              <w:jc w:val="center"/>
              <w:rPr>
                <w:b/>
                <w:bCs/>
                <w:strike w:val="0"/>
                <w:dstrike w:val="0"/>
                <w:color w:val="auto"/>
                <w:kern w:val="0"/>
                <w:sz w:val="24"/>
                <w:szCs w:val="32"/>
                <w:highlight w:val="none"/>
              </w:rPr>
            </w:pPr>
            <w:r>
              <w:rPr>
                <w:b/>
                <w:bCs/>
                <w:strike w:val="0"/>
                <w:dstrike w:val="0"/>
                <w:color w:val="auto"/>
                <w:kern w:val="0"/>
                <w:sz w:val="24"/>
                <w:szCs w:val="32"/>
                <w:highlight w:val="none"/>
              </w:rPr>
              <w:t>表1.2-1  与土场、清平镇规划环评的符合性分析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5059"/>
              <w:gridCol w:w="1387"/>
              <w:gridCol w:w="720"/>
            </w:tblGrid>
            <w:tr w14:paraId="2504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504" w:type="dxa"/>
                  <w:tcMar>
                    <w:left w:w="0" w:type="dxa"/>
                    <w:right w:w="0" w:type="dxa"/>
                  </w:tcMar>
                  <w:vAlign w:val="center"/>
                </w:tcPr>
                <w:p w14:paraId="3D3CFBF9">
                  <w:pPr>
                    <w:spacing w:line="320" w:lineRule="exact"/>
                    <w:jc w:val="center"/>
                    <w:rPr>
                      <w:b/>
                      <w:bCs/>
                      <w:strike w:val="0"/>
                      <w:dstrike w:val="0"/>
                      <w:color w:val="auto"/>
                      <w:szCs w:val="21"/>
                      <w:highlight w:val="none"/>
                    </w:rPr>
                  </w:pPr>
                  <w:r>
                    <w:rPr>
                      <w:b/>
                      <w:bCs/>
                      <w:strike w:val="0"/>
                      <w:dstrike w:val="0"/>
                      <w:color w:val="auto"/>
                      <w:szCs w:val="21"/>
                      <w:highlight w:val="none"/>
                    </w:rPr>
                    <w:t>分类</w:t>
                  </w:r>
                </w:p>
              </w:tc>
              <w:tc>
                <w:tcPr>
                  <w:tcW w:w="5059" w:type="dxa"/>
                  <w:vAlign w:val="center"/>
                </w:tcPr>
                <w:p w14:paraId="7343AB75">
                  <w:pPr>
                    <w:spacing w:line="320" w:lineRule="exact"/>
                    <w:jc w:val="center"/>
                    <w:rPr>
                      <w:b/>
                      <w:bCs/>
                      <w:strike w:val="0"/>
                      <w:dstrike w:val="0"/>
                      <w:color w:val="auto"/>
                      <w:szCs w:val="21"/>
                      <w:highlight w:val="none"/>
                    </w:rPr>
                  </w:pPr>
                  <w:r>
                    <w:rPr>
                      <w:b/>
                      <w:bCs/>
                      <w:strike w:val="0"/>
                      <w:dstrike w:val="0"/>
                      <w:color w:val="auto"/>
                      <w:szCs w:val="21"/>
                      <w:highlight w:val="none"/>
                    </w:rPr>
                    <w:t>规划环评内容</w:t>
                  </w:r>
                </w:p>
              </w:tc>
              <w:tc>
                <w:tcPr>
                  <w:tcW w:w="1387" w:type="dxa"/>
                  <w:vAlign w:val="center"/>
                </w:tcPr>
                <w:p w14:paraId="1D2FE9BA">
                  <w:pPr>
                    <w:spacing w:line="320" w:lineRule="exact"/>
                    <w:jc w:val="center"/>
                    <w:rPr>
                      <w:b/>
                      <w:bCs/>
                      <w:strike w:val="0"/>
                      <w:dstrike w:val="0"/>
                      <w:color w:val="auto"/>
                      <w:szCs w:val="21"/>
                      <w:highlight w:val="none"/>
                    </w:rPr>
                  </w:pPr>
                  <w:r>
                    <w:rPr>
                      <w:b/>
                      <w:bCs/>
                      <w:strike w:val="0"/>
                      <w:dstrike w:val="0"/>
                      <w:color w:val="auto"/>
                      <w:szCs w:val="21"/>
                      <w:highlight w:val="none"/>
                    </w:rPr>
                    <w:t>本项目情况</w:t>
                  </w:r>
                </w:p>
              </w:tc>
              <w:tc>
                <w:tcPr>
                  <w:tcW w:w="720" w:type="dxa"/>
                  <w:vAlign w:val="center"/>
                </w:tcPr>
                <w:p w14:paraId="6F7D6D1F">
                  <w:pPr>
                    <w:spacing w:line="320" w:lineRule="exact"/>
                    <w:jc w:val="center"/>
                    <w:rPr>
                      <w:b/>
                      <w:bCs/>
                      <w:strike w:val="0"/>
                      <w:dstrike w:val="0"/>
                      <w:color w:val="auto"/>
                      <w:szCs w:val="21"/>
                      <w:highlight w:val="none"/>
                    </w:rPr>
                  </w:pPr>
                  <w:r>
                    <w:rPr>
                      <w:b/>
                      <w:bCs/>
                      <w:strike w:val="0"/>
                      <w:dstrike w:val="0"/>
                      <w:color w:val="auto"/>
                      <w:szCs w:val="21"/>
                      <w:highlight w:val="none"/>
                    </w:rPr>
                    <w:t>符合性</w:t>
                  </w:r>
                </w:p>
              </w:tc>
            </w:tr>
            <w:tr w14:paraId="335A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dxa"/>
                  <w:tcMar>
                    <w:left w:w="0" w:type="dxa"/>
                    <w:right w:w="0" w:type="dxa"/>
                  </w:tcMar>
                  <w:vAlign w:val="center"/>
                </w:tcPr>
                <w:p w14:paraId="48F5CCA4">
                  <w:pPr>
                    <w:spacing w:line="320" w:lineRule="exact"/>
                    <w:jc w:val="center"/>
                    <w:rPr>
                      <w:strike w:val="0"/>
                      <w:dstrike w:val="0"/>
                      <w:color w:val="auto"/>
                      <w:szCs w:val="21"/>
                      <w:highlight w:val="none"/>
                    </w:rPr>
                  </w:pPr>
                  <w:r>
                    <w:rPr>
                      <w:strike w:val="0"/>
                      <w:dstrike w:val="0"/>
                      <w:color w:val="auto"/>
                      <w:szCs w:val="21"/>
                      <w:highlight w:val="none"/>
                    </w:rPr>
                    <w:t>产业禁止准入类</w:t>
                  </w:r>
                </w:p>
              </w:tc>
              <w:tc>
                <w:tcPr>
                  <w:tcW w:w="5059" w:type="dxa"/>
                  <w:vAlign w:val="center"/>
                </w:tcPr>
                <w:p w14:paraId="22FA2835">
                  <w:pPr>
                    <w:spacing w:line="0" w:lineRule="atLeast"/>
                    <w:jc w:val="left"/>
                    <w:rPr>
                      <w:strike w:val="0"/>
                      <w:dstrike w:val="0"/>
                      <w:color w:val="auto"/>
                      <w:szCs w:val="21"/>
                      <w:highlight w:val="none"/>
                    </w:rPr>
                  </w:pPr>
                  <w:r>
                    <w:rPr>
                      <w:strike w:val="0"/>
                      <w:dstrike w:val="0"/>
                      <w:color w:val="auto"/>
                      <w:szCs w:val="21"/>
                      <w:highlight w:val="none"/>
                    </w:rPr>
                    <w:t>1、《产业结构调整指导目录（2019年本）》淘汰类中落后生产工艺装备、落后产品。</w:t>
                  </w:r>
                </w:p>
                <w:p w14:paraId="27E5DA00">
                  <w:pPr>
                    <w:spacing w:line="0" w:lineRule="atLeast"/>
                    <w:jc w:val="left"/>
                    <w:rPr>
                      <w:strike w:val="0"/>
                      <w:dstrike w:val="0"/>
                      <w:color w:val="auto"/>
                      <w:szCs w:val="21"/>
                      <w:highlight w:val="none"/>
                    </w:rPr>
                  </w:pPr>
                  <w:r>
                    <w:rPr>
                      <w:strike w:val="0"/>
                      <w:dstrike w:val="0"/>
                      <w:color w:val="auto"/>
                      <w:szCs w:val="21"/>
                      <w:highlight w:val="none"/>
                    </w:rPr>
                    <w:t>2、《市场准入负面清单（2020年版）》中禁止准入类。</w:t>
                  </w:r>
                </w:p>
                <w:p w14:paraId="6529FCD7">
                  <w:pPr>
                    <w:spacing w:line="0" w:lineRule="atLeast"/>
                    <w:jc w:val="left"/>
                    <w:rPr>
                      <w:strike w:val="0"/>
                      <w:dstrike w:val="0"/>
                      <w:color w:val="auto"/>
                      <w:szCs w:val="21"/>
                      <w:highlight w:val="none"/>
                    </w:rPr>
                  </w:pPr>
                  <w:r>
                    <w:rPr>
                      <w:strike w:val="0"/>
                      <w:dstrike w:val="0"/>
                      <w:color w:val="auto"/>
                      <w:szCs w:val="21"/>
                      <w:highlight w:val="none"/>
                    </w:rPr>
                    <w:t>3、《重庆市产业投资准入手册》（渝发改投[2018]541号）不予准入类产业。</w:t>
                  </w:r>
                </w:p>
                <w:p w14:paraId="4B095D2C">
                  <w:pPr>
                    <w:spacing w:line="0" w:lineRule="atLeast"/>
                    <w:jc w:val="left"/>
                    <w:rPr>
                      <w:strike w:val="0"/>
                      <w:dstrike w:val="0"/>
                      <w:color w:val="auto"/>
                      <w:szCs w:val="21"/>
                      <w:highlight w:val="none"/>
                    </w:rPr>
                  </w:pPr>
                  <w:r>
                    <w:rPr>
                      <w:strike w:val="0"/>
                      <w:dstrike w:val="0"/>
                      <w:color w:val="auto"/>
                      <w:szCs w:val="21"/>
                      <w:highlight w:val="none"/>
                    </w:rPr>
                    <w:t>4、《合川区三江流域环境保护负面清单（修订）》中禁止类项目。</w:t>
                  </w:r>
                </w:p>
                <w:p w14:paraId="0138313B">
                  <w:pPr>
                    <w:spacing w:line="0" w:lineRule="atLeast"/>
                    <w:jc w:val="left"/>
                    <w:rPr>
                      <w:strike w:val="0"/>
                      <w:dstrike w:val="0"/>
                      <w:color w:val="auto"/>
                      <w:szCs w:val="21"/>
                      <w:highlight w:val="none"/>
                    </w:rPr>
                  </w:pPr>
                  <w:r>
                    <w:rPr>
                      <w:strike w:val="0"/>
                      <w:dstrike w:val="0"/>
                      <w:color w:val="auto"/>
                      <w:szCs w:val="21"/>
                      <w:highlight w:val="none"/>
                    </w:rPr>
                    <w:t>5、嘉陵江及其一级支流汇入口上游20公里、集中式饮用水水源取水口上游20公里范围内的沿岸地区，禁止新建、扩建排放重金属、剧毒物质和持久性有机污染物的工业项目以及存在严重环境安全风险的工业项目。</w:t>
                  </w:r>
                </w:p>
                <w:p w14:paraId="2B2D8602">
                  <w:pPr>
                    <w:spacing w:line="0" w:lineRule="atLeast"/>
                    <w:jc w:val="left"/>
                    <w:rPr>
                      <w:strike w:val="0"/>
                      <w:dstrike w:val="0"/>
                      <w:color w:val="auto"/>
                      <w:szCs w:val="21"/>
                      <w:highlight w:val="none"/>
                    </w:rPr>
                  </w:pPr>
                  <w:r>
                    <w:rPr>
                      <w:strike w:val="0"/>
                      <w:dstrike w:val="0"/>
                      <w:color w:val="auto"/>
                      <w:szCs w:val="21"/>
                      <w:highlight w:val="none"/>
                    </w:rPr>
                    <w:t>6、在嘉陵江流域及重要功能湖库周边，工业园区各组团，禁止新建、扩建化工、造纸、印染、化学原料药、电镀、铅酸电池、危险废物利用和处置、排放重金属的工业项目。</w:t>
                  </w:r>
                </w:p>
                <w:p w14:paraId="50EA6C70">
                  <w:pPr>
                    <w:spacing w:line="0" w:lineRule="atLeast"/>
                    <w:jc w:val="left"/>
                    <w:rPr>
                      <w:strike w:val="0"/>
                      <w:dstrike w:val="0"/>
                      <w:color w:val="auto"/>
                      <w:szCs w:val="21"/>
                      <w:highlight w:val="none"/>
                    </w:rPr>
                  </w:pPr>
                  <w:r>
                    <w:rPr>
                      <w:strike w:val="0"/>
                      <w:dstrike w:val="0"/>
                      <w:color w:val="auto"/>
                      <w:szCs w:val="21"/>
                      <w:highlight w:val="none"/>
                    </w:rPr>
                    <w:t>7、禁止新建、扩建、改建燃煤、重油等高污染工业项目。</w:t>
                  </w:r>
                </w:p>
                <w:p w14:paraId="23543E70">
                  <w:pPr>
                    <w:spacing w:line="0" w:lineRule="atLeast"/>
                    <w:jc w:val="left"/>
                    <w:rPr>
                      <w:strike w:val="0"/>
                      <w:dstrike w:val="0"/>
                      <w:color w:val="auto"/>
                      <w:szCs w:val="21"/>
                      <w:highlight w:val="none"/>
                    </w:rPr>
                  </w:pPr>
                  <w:r>
                    <w:rPr>
                      <w:strike w:val="0"/>
                      <w:dstrike w:val="0"/>
                      <w:color w:val="auto"/>
                      <w:szCs w:val="21"/>
                      <w:highlight w:val="none"/>
                    </w:rPr>
                    <w:t>8、禁止在“四山</w:t>
                  </w:r>
                  <w:r>
                    <w:rPr>
                      <w:rFonts w:hint="eastAsia"/>
                      <w:strike w:val="0"/>
                      <w:dstrike w:val="0"/>
                      <w:color w:val="auto"/>
                      <w:szCs w:val="21"/>
                      <w:highlight w:val="none"/>
                    </w:rPr>
                    <w:t>”</w:t>
                  </w:r>
                  <w:r>
                    <w:rPr>
                      <w:strike w:val="0"/>
                      <w:dstrike w:val="0"/>
                      <w:color w:val="auto"/>
                      <w:szCs w:val="21"/>
                      <w:highlight w:val="none"/>
                    </w:rPr>
                    <w:t>管制区（禁建区、重点控建区）内，新建、扩建采石、开矿、地产开发、工业企业等建设项目。</w:t>
                  </w:r>
                </w:p>
                <w:p w14:paraId="1712D1EC">
                  <w:pPr>
                    <w:spacing w:line="0" w:lineRule="atLeast"/>
                    <w:jc w:val="left"/>
                    <w:rPr>
                      <w:strike w:val="0"/>
                      <w:dstrike w:val="0"/>
                      <w:color w:val="auto"/>
                      <w:szCs w:val="21"/>
                      <w:highlight w:val="none"/>
                    </w:rPr>
                  </w:pPr>
                  <w:r>
                    <w:rPr>
                      <w:strike w:val="0"/>
                      <w:dstrike w:val="0"/>
                      <w:color w:val="auto"/>
                      <w:szCs w:val="21"/>
                      <w:highlight w:val="none"/>
                    </w:rPr>
                    <w:t>9、新建工业项目禁止配套建设自备燃煤热电联产项目。</w:t>
                  </w:r>
                </w:p>
                <w:p w14:paraId="3A9FD07E">
                  <w:pPr>
                    <w:spacing w:line="0" w:lineRule="atLeast"/>
                    <w:jc w:val="left"/>
                    <w:rPr>
                      <w:strike w:val="0"/>
                      <w:dstrike w:val="0"/>
                      <w:color w:val="auto"/>
                      <w:szCs w:val="21"/>
                      <w:highlight w:val="none"/>
                    </w:rPr>
                  </w:pPr>
                  <w:r>
                    <w:rPr>
                      <w:strike w:val="0"/>
                      <w:dstrike w:val="0"/>
                      <w:color w:val="auto"/>
                      <w:szCs w:val="21"/>
                      <w:highlight w:val="none"/>
                    </w:rPr>
                    <w:t>10、禁止使用含苯涂料、含苯稀释剂、含苯溶剂和含汞、砷、铅、镉、锑的车间底漆。</w:t>
                  </w:r>
                </w:p>
                <w:p w14:paraId="1105CE7D">
                  <w:pPr>
                    <w:spacing w:line="0" w:lineRule="atLeast"/>
                    <w:jc w:val="left"/>
                    <w:rPr>
                      <w:strike w:val="0"/>
                      <w:dstrike w:val="0"/>
                      <w:color w:val="auto"/>
                      <w:szCs w:val="21"/>
                      <w:highlight w:val="none"/>
                    </w:rPr>
                  </w:pPr>
                  <w:r>
                    <w:rPr>
                      <w:strike w:val="0"/>
                      <w:dstrike w:val="0"/>
                      <w:color w:val="auto"/>
                      <w:szCs w:val="21"/>
                      <w:highlight w:val="none"/>
                    </w:rPr>
                    <w:t>11、禁止以三氟三氯乙烷、甲基氯仿和四氯化碳为清洗剂或溶剂的生产工艺。</w:t>
                  </w:r>
                </w:p>
              </w:tc>
              <w:tc>
                <w:tcPr>
                  <w:tcW w:w="1387" w:type="dxa"/>
                  <w:vAlign w:val="center"/>
                </w:tcPr>
                <w:p w14:paraId="5EE351CD">
                  <w:pPr>
                    <w:spacing w:line="0" w:lineRule="atLeast"/>
                    <w:jc w:val="left"/>
                    <w:rPr>
                      <w:strike w:val="0"/>
                      <w:dstrike w:val="0"/>
                      <w:color w:val="auto"/>
                      <w:szCs w:val="21"/>
                      <w:highlight w:val="none"/>
                    </w:rPr>
                  </w:pPr>
                  <w:r>
                    <w:rPr>
                      <w:rFonts w:hint="eastAsia"/>
                      <w:strike w:val="0"/>
                      <w:dstrike w:val="0"/>
                      <w:color w:val="auto"/>
                      <w:szCs w:val="21"/>
                      <w:highlight w:val="none"/>
                      <w:lang w:eastAsia="zh-CN"/>
                    </w:rPr>
                    <w:t>本项目属于机动车燃油、燃气零售项目</w:t>
                  </w:r>
                  <w:r>
                    <w:rPr>
                      <w:strike w:val="0"/>
                      <w:dstrike w:val="0"/>
                      <w:color w:val="auto"/>
                      <w:szCs w:val="21"/>
                      <w:highlight w:val="none"/>
                    </w:rPr>
                    <w:t>，不属于上述文件中的禁止项目</w:t>
                  </w:r>
                </w:p>
              </w:tc>
              <w:tc>
                <w:tcPr>
                  <w:tcW w:w="720" w:type="dxa"/>
                  <w:vAlign w:val="center"/>
                </w:tcPr>
                <w:p w14:paraId="0776AC11">
                  <w:pPr>
                    <w:spacing w:line="0" w:lineRule="atLeast"/>
                    <w:jc w:val="center"/>
                    <w:rPr>
                      <w:strike w:val="0"/>
                      <w:dstrike w:val="0"/>
                      <w:color w:val="auto"/>
                      <w:szCs w:val="21"/>
                      <w:highlight w:val="none"/>
                    </w:rPr>
                  </w:pPr>
                  <w:r>
                    <w:rPr>
                      <w:strike w:val="0"/>
                      <w:dstrike w:val="0"/>
                      <w:color w:val="auto"/>
                      <w:szCs w:val="21"/>
                      <w:highlight w:val="none"/>
                    </w:rPr>
                    <w:t>符合</w:t>
                  </w:r>
                </w:p>
              </w:tc>
            </w:tr>
            <w:tr w14:paraId="68F1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dxa"/>
                  <w:tcMar>
                    <w:left w:w="0" w:type="dxa"/>
                    <w:right w:w="0" w:type="dxa"/>
                  </w:tcMar>
                  <w:vAlign w:val="center"/>
                </w:tcPr>
                <w:p w14:paraId="57427B34">
                  <w:pPr>
                    <w:spacing w:line="320" w:lineRule="exact"/>
                    <w:jc w:val="center"/>
                    <w:rPr>
                      <w:strike w:val="0"/>
                      <w:dstrike w:val="0"/>
                      <w:color w:val="auto"/>
                      <w:szCs w:val="21"/>
                      <w:highlight w:val="none"/>
                    </w:rPr>
                  </w:pPr>
                  <w:r>
                    <w:rPr>
                      <w:strike w:val="0"/>
                      <w:dstrike w:val="0"/>
                      <w:color w:val="auto"/>
                      <w:szCs w:val="21"/>
                      <w:highlight w:val="none"/>
                    </w:rPr>
                    <w:t>产业限制准入类</w:t>
                  </w:r>
                </w:p>
              </w:tc>
              <w:tc>
                <w:tcPr>
                  <w:tcW w:w="5059" w:type="dxa"/>
                  <w:vAlign w:val="center"/>
                </w:tcPr>
                <w:p w14:paraId="070F2D69">
                  <w:pPr>
                    <w:spacing w:line="0" w:lineRule="atLeast"/>
                    <w:jc w:val="left"/>
                    <w:rPr>
                      <w:strike w:val="0"/>
                      <w:dstrike w:val="0"/>
                      <w:color w:val="auto"/>
                      <w:szCs w:val="21"/>
                      <w:highlight w:val="none"/>
                    </w:rPr>
                  </w:pPr>
                  <w:r>
                    <w:rPr>
                      <w:strike w:val="0"/>
                      <w:dstrike w:val="0"/>
                      <w:color w:val="auto"/>
                      <w:szCs w:val="21"/>
                      <w:highlight w:val="none"/>
                    </w:rPr>
                    <w:t>1、《产业结构调整指导目录（2024年本）》限制类项目（不包括现有企业升级改造或异地置换）。</w:t>
                  </w:r>
                </w:p>
                <w:p w14:paraId="7532B201">
                  <w:pPr>
                    <w:spacing w:line="0" w:lineRule="atLeast"/>
                    <w:jc w:val="left"/>
                    <w:rPr>
                      <w:strike w:val="0"/>
                      <w:dstrike w:val="0"/>
                      <w:color w:val="auto"/>
                      <w:szCs w:val="21"/>
                      <w:highlight w:val="none"/>
                    </w:rPr>
                  </w:pPr>
                  <w:r>
                    <w:rPr>
                      <w:strike w:val="0"/>
                      <w:dstrike w:val="0"/>
                      <w:color w:val="auto"/>
                      <w:szCs w:val="21"/>
                      <w:highlight w:val="none"/>
                    </w:rPr>
                    <w:t>2、《重庆市产业投资准入手册》（渝发改投[2018]541号）限制准入类产业。</w:t>
                  </w:r>
                </w:p>
                <w:p w14:paraId="2CD61B75">
                  <w:pPr>
                    <w:spacing w:line="0" w:lineRule="atLeast"/>
                    <w:jc w:val="left"/>
                    <w:rPr>
                      <w:strike w:val="0"/>
                      <w:dstrike w:val="0"/>
                      <w:color w:val="auto"/>
                      <w:szCs w:val="21"/>
                      <w:highlight w:val="none"/>
                    </w:rPr>
                  </w:pPr>
                  <w:r>
                    <w:rPr>
                      <w:strike w:val="0"/>
                      <w:dstrike w:val="0"/>
                      <w:color w:val="auto"/>
                      <w:szCs w:val="21"/>
                      <w:highlight w:val="none"/>
                    </w:rPr>
                    <w:t>3、《合川区三江流域环境保护负面清单（修订）》中限制类项目。</w:t>
                  </w:r>
                </w:p>
                <w:p w14:paraId="6F67C428">
                  <w:pPr>
                    <w:spacing w:line="0" w:lineRule="atLeast"/>
                    <w:jc w:val="left"/>
                    <w:rPr>
                      <w:strike w:val="0"/>
                      <w:dstrike w:val="0"/>
                      <w:color w:val="auto"/>
                      <w:szCs w:val="21"/>
                      <w:highlight w:val="none"/>
                    </w:rPr>
                  </w:pPr>
                  <w:r>
                    <w:rPr>
                      <w:strike w:val="0"/>
                      <w:dstrike w:val="0"/>
                      <w:color w:val="auto"/>
                      <w:szCs w:val="21"/>
                      <w:highlight w:val="none"/>
                    </w:rPr>
                    <w:t>4、限制高能耗、高水耗及水污染物排放量大的工业项目。</w:t>
                  </w:r>
                </w:p>
                <w:p w14:paraId="087B530C">
                  <w:pPr>
                    <w:spacing w:line="0" w:lineRule="atLeast"/>
                    <w:jc w:val="left"/>
                    <w:rPr>
                      <w:strike w:val="0"/>
                      <w:dstrike w:val="0"/>
                      <w:color w:val="auto"/>
                      <w:szCs w:val="21"/>
                      <w:highlight w:val="none"/>
                    </w:rPr>
                  </w:pPr>
                  <w:r>
                    <w:rPr>
                      <w:strike w:val="0"/>
                      <w:dstrike w:val="0"/>
                      <w:color w:val="auto"/>
                      <w:szCs w:val="21"/>
                      <w:highlight w:val="none"/>
                    </w:rPr>
                    <w:t>5、限制在长江、嘉陵江主城区段及其上游沿岸新、改、扩建涉及重金属污染物排放的项目。</w:t>
                  </w:r>
                </w:p>
              </w:tc>
              <w:tc>
                <w:tcPr>
                  <w:tcW w:w="1387" w:type="dxa"/>
                  <w:vAlign w:val="center"/>
                </w:tcPr>
                <w:p w14:paraId="1A6753BD">
                  <w:pPr>
                    <w:spacing w:line="0" w:lineRule="atLeast"/>
                    <w:jc w:val="left"/>
                    <w:rPr>
                      <w:strike w:val="0"/>
                      <w:dstrike w:val="0"/>
                      <w:color w:val="auto"/>
                      <w:szCs w:val="21"/>
                      <w:highlight w:val="none"/>
                    </w:rPr>
                  </w:pPr>
                  <w:r>
                    <w:rPr>
                      <w:rFonts w:hint="eastAsia"/>
                      <w:strike w:val="0"/>
                      <w:dstrike w:val="0"/>
                      <w:color w:val="auto"/>
                      <w:szCs w:val="21"/>
                      <w:highlight w:val="none"/>
                      <w:lang w:eastAsia="zh-CN"/>
                    </w:rPr>
                    <w:t>本项目属于机动车燃油、燃气零售项目</w:t>
                  </w:r>
                  <w:r>
                    <w:rPr>
                      <w:strike w:val="0"/>
                      <w:dstrike w:val="0"/>
                      <w:color w:val="auto"/>
                      <w:szCs w:val="21"/>
                      <w:highlight w:val="none"/>
                    </w:rPr>
                    <w:t>，不属于上述文件中的限制类项目</w:t>
                  </w:r>
                </w:p>
              </w:tc>
              <w:tc>
                <w:tcPr>
                  <w:tcW w:w="720" w:type="dxa"/>
                  <w:vAlign w:val="center"/>
                </w:tcPr>
                <w:p w14:paraId="62EAA132">
                  <w:pPr>
                    <w:spacing w:line="0" w:lineRule="atLeast"/>
                    <w:jc w:val="left"/>
                    <w:rPr>
                      <w:strike w:val="0"/>
                      <w:dstrike w:val="0"/>
                      <w:color w:val="auto"/>
                      <w:szCs w:val="21"/>
                      <w:highlight w:val="none"/>
                    </w:rPr>
                  </w:pPr>
                  <w:r>
                    <w:rPr>
                      <w:strike w:val="0"/>
                      <w:dstrike w:val="0"/>
                      <w:color w:val="auto"/>
                      <w:szCs w:val="21"/>
                      <w:highlight w:val="none"/>
                    </w:rPr>
                    <w:t>符合</w:t>
                  </w:r>
                </w:p>
              </w:tc>
            </w:tr>
            <w:tr w14:paraId="5FDD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dxa"/>
                  <w:tcMar>
                    <w:left w:w="0" w:type="dxa"/>
                    <w:right w:w="0" w:type="dxa"/>
                  </w:tcMar>
                  <w:vAlign w:val="center"/>
                </w:tcPr>
                <w:p w14:paraId="145911D5">
                  <w:pPr>
                    <w:spacing w:line="380" w:lineRule="exact"/>
                    <w:jc w:val="center"/>
                    <w:rPr>
                      <w:strike w:val="0"/>
                      <w:dstrike w:val="0"/>
                      <w:color w:val="auto"/>
                      <w:szCs w:val="21"/>
                      <w:highlight w:val="none"/>
                    </w:rPr>
                  </w:pPr>
                  <w:r>
                    <w:rPr>
                      <w:strike w:val="0"/>
                      <w:dstrike w:val="0"/>
                      <w:color w:val="auto"/>
                      <w:szCs w:val="21"/>
                      <w:highlight w:val="none"/>
                    </w:rPr>
                    <w:t>空间布局约束</w:t>
                  </w:r>
                </w:p>
              </w:tc>
              <w:tc>
                <w:tcPr>
                  <w:tcW w:w="5059" w:type="dxa"/>
                  <w:vAlign w:val="center"/>
                </w:tcPr>
                <w:p w14:paraId="13C0494A">
                  <w:pPr>
                    <w:spacing w:line="0" w:lineRule="atLeast"/>
                    <w:jc w:val="left"/>
                    <w:rPr>
                      <w:strike w:val="0"/>
                      <w:dstrike w:val="0"/>
                      <w:color w:val="auto"/>
                      <w:szCs w:val="21"/>
                      <w:highlight w:val="none"/>
                    </w:rPr>
                  </w:pPr>
                  <w:r>
                    <w:rPr>
                      <w:strike w:val="0"/>
                      <w:dstrike w:val="0"/>
                      <w:color w:val="auto"/>
                      <w:szCs w:val="21"/>
                      <w:highlight w:val="none"/>
                    </w:rPr>
                    <w:t>1、优化环境防护距离设置，将环境防护距离优化控制在园区边界或用地红线以内。</w:t>
                  </w:r>
                </w:p>
                <w:p w14:paraId="136EF893">
                  <w:pPr>
                    <w:spacing w:line="0" w:lineRule="atLeast"/>
                    <w:jc w:val="left"/>
                    <w:rPr>
                      <w:strike w:val="0"/>
                      <w:dstrike w:val="0"/>
                      <w:color w:val="auto"/>
                      <w:szCs w:val="21"/>
                      <w:highlight w:val="none"/>
                    </w:rPr>
                  </w:pPr>
                  <w:r>
                    <w:rPr>
                      <w:strike w:val="0"/>
                      <w:dstrike w:val="0"/>
                      <w:color w:val="auto"/>
                      <w:szCs w:val="21"/>
                      <w:highlight w:val="none"/>
                    </w:rPr>
                    <w:t>2、临近居住用地的工业用地不宜布置环境空气影响相对较大的企业或生产车间；涉及环境防护距离的工业企业或项目，应通过选址或调整布局严格控制环境防护距离。</w:t>
                  </w:r>
                </w:p>
                <w:p w14:paraId="1142A7FD">
                  <w:pPr>
                    <w:spacing w:line="0" w:lineRule="atLeast"/>
                    <w:jc w:val="left"/>
                    <w:rPr>
                      <w:strike w:val="0"/>
                      <w:dstrike w:val="0"/>
                      <w:color w:val="auto"/>
                      <w:szCs w:val="21"/>
                      <w:highlight w:val="none"/>
                    </w:rPr>
                  </w:pPr>
                  <w:r>
                    <w:rPr>
                      <w:strike w:val="0"/>
                      <w:dstrike w:val="0"/>
                      <w:color w:val="auto"/>
                      <w:szCs w:val="21"/>
                      <w:highlight w:val="none"/>
                    </w:rPr>
                    <w:t>3、严格控制镇区边界，不得侵占生态保护红线、一般生态空间、“四山</w:t>
                  </w:r>
                  <w:r>
                    <w:rPr>
                      <w:rFonts w:hint="eastAsia"/>
                      <w:strike w:val="0"/>
                      <w:dstrike w:val="0"/>
                      <w:color w:val="auto"/>
                      <w:szCs w:val="21"/>
                      <w:highlight w:val="none"/>
                    </w:rPr>
                    <w:t>”</w:t>
                  </w:r>
                  <w:r>
                    <w:rPr>
                      <w:strike w:val="0"/>
                      <w:dstrike w:val="0"/>
                      <w:color w:val="auto"/>
                      <w:szCs w:val="21"/>
                      <w:highlight w:val="none"/>
                    </w:rPr>
                    <w:t>禁建区。</w:t>
                  </w:r>
                </w:p>
                <w:p w14:paraId="37834D6C">
                  <w:pPr>
                    <w:spacing w:line="0" w:lineRule="atLeast"/>
                    <w:jc w:val="left"/>
                    <w:rPr>
                      <w:strike w:val="0"/>
                      <w:dstrike w:val="0"/>
                      <w:color w:val="auto"/>
                      <w:szCs w:val="21"/>
                      <w:highlight w:val="none"/>
                    </w:rPr>
                  </w:pPr>
                  <w:r>
                    <w:rPr>
                      <w:strike w:val="0"/>
                      <w:dstrike w:val="0"/>
                      <w:color w:val="auto"/>
                      <w:szCs w:val="21"/>
                      <w:highlight w:val="none"/>
                    </w:rPr>
                    <w:t>4、生态保护红线内原则上禁止人为活动，其他区域严格禁止开发性、生产性建设活动，在符合现行法律法规前提下，除国家重大战略项目外，仅允许对生态功能不造成破坏的有限人为活动。</w:t>
                  </w:r>
                </w:p>
              </w:tc>
              <w:tc>
                <w:tcPr>
                  <w:tcW w:w="1387" w:type="dxa"/>
                  <w:vAlign w:val="center"/>
                </w:tcPr>
                <w:p w14:paraId="37CDBEE1">
                  <w:pPr>
                    <w:jc w:val="left"/>
                    <w:rPr>
                      <w:strike w:val="0"/>
                      <w:dstrike w:val="0"/>
                      <w:color w:val="auto"/>
                      <w:szCs w:val="21"/>
                      <w:highlight w:val="none"/>
                    </w:rPr>
                  </w:pPr>
                  <w:r>
                    <w:rPr>
                      <w:strike w:val="0"/>
                      <w:dstrike w:val="0"/>
                      <w:color w:val="auto"/>
                      <w:szCs w:val="21"/>
                      <w:highlight w:val="none"/>
                    </w:rPr>
                    <w:t>本项目不需设置环境防护距离。项目的废气、废水排放和噪声均能达标，对周围环境影响较小，项目不在四山管制区</w:t>
                  </w:r>
                </w:p>
              </w:tc>
              <w:tc>
                <w:tcPr>
                  <w:tcW w:w="720" w:type="dxa"/>
                  <w:vAlign w:val="center"/>
                </w:tcPr>
                <w:p w14:paraId="2A9F3423">
                  <w:pPr>
                    <w:jc w:val="left"/>
                    <w:rPr>
                      <w:strike w:val="0"/>
                      <w:dstrike w:val="0"/>
                      <w:color w:val="auto"/>
                      <w:szCs w:val="21"/>
                      <w:highlight w:val="none"/>
                    </w:rPr>
                  </w:pPr>
                  <w:r>
                    <w:rPr>
                      <w:strike w:val="0"/>
                      <w:dstrike w:val="0"/>
                      <w:color w:val="auto"/>
                      <w:szCs w:val="21"/>
                      <w:highlight w:val="none"/>
                    </w:rPr>
                    <w:t>符合</w:t>
                  </w:r>
                </w:p>
              </w:tc>
            </w:tr>
            <w:tr w14:paraId="7F4F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dxa"/>
                  <w:tcMar>
                    <w:left w:w="0" w:type="dxa"/>
                    <w:right w:w="0" w:type="dxa"/>
                  </w:tcMar>
                  <w:vAlign w:val="center"/>
                </w:tcPr>
                <w:p w14:paraId="69B7B0FE">
                  <w:pPr>
                    <w:spacing w:line="380" w:lineRule="exact"/>
                    <w:jc w:val="center"/>
                    <w:rPr>
                      <w:strike w:val="0"/>
                      <w:dstrike w:val="0"/>
                      <w:color w:val="auto"/>
                      <w:szCs w:val="21"/>
                      <w:highlight w:val="none"/>
                    </w:rPr>
                  </w:pPr>
                  <w:r>
                    <w:rPr>
                      <w:strike w:val="0"/>
                      <w:dstrike w:val="0"/>
                      <w:color w:val="auto"/>
                      <w:szCs w:val="21"/>
                      <w:highlight w:val="none"/>
                    </w:rPr>
                    <w:t>污染物排放管控</w:t>
                  </w:r>
                </w:p>
              </w:tc>
              <w:tc>
                <w:tcPr>
                  <w:tcW w:w="5059" w:type="dxa"/>
                  <w:vAlign w:val="center"/>
                </w:tcPr>
                <w:p w14:paraId="2B56DA6E">
                  <w:pPr>
                    <w:spacing w:line="0" w:lineRule="atLeast"/>
                    <w:jc w:val="left"/>
                    <w:rPr>
                      <w:strike w:val="0"/>
                      <w:dstrike w:val="0"/>
                      <w:color w:val="auto"/>
                      <w:szCs w:val="21"/>
                      <w:highlight w:val="none"/>
                    </w:rPr>
                  </w:pPr>
                  <w:r>
                    <w:rPr>
                      <w:strike w:val="0"/>
                      <w:dstrike w:val="0"/>
                      <w:color w:val="auto"/>
                      <w:szCs w:val="21"/>
                      <w:highlight w:val="none"/>
                    </w:rPr>
                    <w:t>1、加快建设微车基地污水处理厂，确保与服务范围的工业项目建设相衔接，确保规划区生活污水和工业废水能得到完全接纳。</w:t>
                  </w:r>
                </w:p>
                <w:p w14:paraId="15D4F98D">
                  <w:pPr>
                    <w:spacing w:line="0" w:lineRule="atLeast"/>
                    <w:jc w:val="left"/>
                    <w:rPr>
                      <w:strike w:val="0"/>
                      <w:dstrike w:val="0"/>
                      <w:color w:val="auto"/>
                      <w:szCs w:val="21"/>
                      <w:highlight w:val="none"/>
                    </w:rPr>
                  </w:pPr>
                  <w:r>
                    <w:rPr>
                      <w:strike w:val="0"/>
                      <w:dstrike w:val="0"/>
                      <w:color w:val="auto"/>
                      <w:szCs w:val="21"/>
                      <w:highlight w:val="none"/>
                    </w:rPr>
                    <w:t>2、适时启动清平生活污水处理厂、土场生活污水处理厂、银翔新城污水污水处理厂的扩建及提标，确保区域生活污水和工业废水处理率100%。</w:t>
                  </w:r>
                </w:p>
                <w:p w14:paraId="678D3EA4">
                  <w:pPr>
                    <w:spacing w:line="0" w:lineRule="atLeast"/>
                    <w:jc w:val="left"/>
                    <w:rPr>
                      <w:strike w:val="0"/>
                      <w:dstrike w:val="0"/>
                      <w:color w:val="auto"/>
                      <w:szCs w:val="21"/>
                      <w:highlight w:val="none"/>
                    </w:rPr>
                  </w:pPr>
                  <w:r>
                    <w:rPr>
                      <w:strike w:val="0"/>
                      <w:dstrike w:val="0"/>
                      <w:color w:val="auto"/>
                      <w:szCs w:val="21"/>
                      <w:highlight w:val="none"/>
                    </w:rPr>
                    <w:t>3、（城乡污水管网配套建设）强化城中村、老旧城区和城乡结合部污水的截流、收集。现有合流制排水系统应加快实施雨污分流改造，难以改造的应采取截流、调蓄和治理等措施。新建污水处理设施的配套管网应同步设计、同步建设、同步投运。城镇新区建设均应实行雨污分流。</w:t>
                  </w:r>
                </w:p>
                <w:p w14:paraId="4BA3A235">
                  <w:pPr>
                    <w:spacing w:line="0" w:lineRule="atLeast"/>
                    <w:jc w:val="left"/>
                    <w:rPr>
                      <w:strike w:val="0"/>
                      <w:dstrike w:val="0"/>
                      <w:color w:val="auto"/>
                      <w:kern w:val="0"/>
                      <w:szCs w:val="21"/>
                      <w:highlight w:val="none"/>
                    </w:rPr>
                  </w:pPr>
                  <w:r>
                    <w:rPr>
                      <w:strike w:val="0"/>
                      <w:dstrike w:val="0"/>
                      <w:color w:val="auto"/>
                      <w:szCs w:val="21"/>
                      <w:highlight w:val="none"/>
                    </w:rPr>
                    <w:t>4、完成全部玻璃企业环境专项整治工作，促进氮氧化物等废气稳定达标排</w:t>
                  </w:r>
                  <w:r>
                    <w:rPr>
                      <w:strike w:val="0"/>
                      <w:dstrike w:val="0"/>
                      <w:color w:val="auto"/>
                      <w:kern w:val="0"/>
                      <w:szCs w:val="21"/>
                      <w:highlight w:val="none"/>
                    </w:rPr>
                    <w:t>放。</w:t>
                  </w:r>
                </w:p>
                <w:p w14:paraId="59F63A36">
                  <w:pPr>
                    <w:spacing w:line="0" w:lineRule="atLeast"/>
                    <w:jc w:val="left"/>
                    <w:rPr>
                      <w:strike w:val="0"/>
                      <w:dstrike w:val="0"/>
                      <w:color w:val="auto"/>
                      <w:szCs w:val="21"/>
                      <w:highlight w:val="none"/>
                    </w:rPr>
                  </w:pPr>
                  <w:r>
                    <w:rPr>
                      <w:strike w:val="0"/>
                      <w:dstrike w:val="0"/>
                      <w:color w:val="auto"/>
                      <w:szCs w:val="21"/>
                      <w:highlight w:val="none"/>
                    </w:rPr>
                    <w:t>5、合川区2018-2020年为环境空气质量不达标，严格控制新增大气污染物排放的开发建设活动。</w:t>
                  </w:r>
                </w:p>
                <w:p w14:paraId="4D662D83">
                  <w:pPr>
                    <w:spacing w:line="0" w:lineRule="atLeast"/>
                    <w:jc w:val="left"/>
                    <w:rPr>
                      <w:strike w:val="0"/>
                      <w:dstrike w:val="0"/>
                      <w:color w:val="auto"/>
                      <w:szCs w:val="21"/>
                      <w:highlight w:val="none"/>
                    </w:rPr>
                  </w:pPr>
                  <w:r>
                    <w:rPr>
                      <w:strike w:val="0"/>
                      <w:dstrike w:val="0"/>
                      <w:color w:val="auto"/>
                      <w:szCs w:val="21"/>
                      <w:highlight w:val="none"/>
                    </w:rPr>
                    <w:t>6、新建、改建、扩建“两高</w:t>
                  </w:r>
                  <w:r>
                    <w:rPr>
                      <w:rFonts w:hint="eastAsia"/>
                      <w:strike w:val="0"/>
                      <w:dstrike w:val="0"/>
                      <w:color w:val="auto"/>
                      <w:szCs w:val="21"/>
                      <w:highlight w:val="none"/>
                    </w:rPr>
                    <w:t>”</w:t>
                  </w:r>
                  <w:r>
                    <w:rPr>
                      <w:strike w:val="0"/>
                      <w:dstrike w:val="0"/>
                      <w:color w:val="auto"/>
                      <w:szCs w:val="21"/>
                      <w:highlight w:val="none"/>
                    </w:rPr>
                    <w:t>项目须符合生态环境保护法律法规和相关法定规划，满足重点污染物排放总量控制、碳排放达峰目标、生态环境准入清单、相关规划环评和相应行业建设项目环境准入条件、环评文件审批原则要求。</w:t>
                  </w:r>
                </w:p>
                <w:p w14:paraId="2D3DCA17">
                  <w:pPr>
                    <w:spacing w:line="0" w:lineRule="atLeast"/>
                    <w:jc w:val="left"/>
                    <w:rPr>
                      <w:strike w:val="0"/>
                      <w:dstrike w:val="0"/>
                      <w:color w:val="auto"/>
                      <w:szCs w:val="21"/>
                      <w:highlight w:val="none"/>
                    </w:rPr>
                  </w:pPr>
                  <w:r>
                    <w:rPr>
                      <w:strike w:val="0"/>
                      <w:dstrike w:val="0"/>
                      <w:color w:val="auto"/>
                      <w:szCs w:val="21"/>
                      <w:highlight w:val="none"/>
                    </w:rPr>
                    <w:t>7、新建“两高</w:t>
                  </w:r>
                  <w:r>
                    <w:rPr>
                      <w:rFonts w:hint="eastAsia"/>
                      <w:strike w:val="0"/>
                      <w:dstrike w:val="0"/>
                      <w:color w:val="auto"/>
                      <w:szCs w:val="21"/>
                      <w:highlight w:val="none"/>
                    </w:rPr>
                    <w:t>”</w:t>
                  </w:r>
                  <w:r>
                    <w:rPr>
                      <w:strike w:val="0"/>
                      <w:dstrike w:val="0"/>
                      <w:color w:val="auto"/>
                      <w:szCs w:val="21"/>
                      <w:highlight w:val="none"/>
                    </w:rPr>
                    <w:t>项目应按照《关于加强重点行业建设项目区域削减措施监督管理的通知》要求，依据区域环境质量改善目标，制定配套区域污染物削减方案，采取有效的污染物区域削减措施，腾出足够的环境容量。</w:t>
                  </w:r>
                </w:p>
              </w:tc>
              <w:tc>
                <w:tcPr>
                  <w:tcW w:w="1387" w:type="dxa"/>
                  <w:vAlign w:val="center"/>
                </w:tcPr>
                <w:p w14:paraId="63D4FBCC">
                  <w:pPr>
                    <w:spacing w:line="0" w:lineRule="atLeast"/>
                    <w:jc w:val="both"/>
                    <w:rPr>
                      <w:strike w:val="0"/>
                      <w:dstrike w:val="0"/>
                      <w:color w:val="auto"/>
                      <w:szCs w:val="21"/>
                      <w:highlight w:val="none"/>
                    </w:rPr>
                  </w:pPr>
                  <w:r>
                    <w:rPr>
                      <w:strike w:val="0"/>
                      <w:dstrike w:val="0"/>
                      <w:color w:val="auto"/>
                      <w:szCs w:val="21"/>
                      <w:highlight w:val="none"/>
                    </w:rPr>
                    <w:t>本项目废水排入</w:t>
                  </w:r>
                  <w:r>
                    <w:rPr>
                      <w:rFonts w:hint="eastAsia"/>
                      <w:strike w:val="0"/>
                      <w:dstrike w:val="0"/>
                      <w:color w:val="auto"/>
                      <w:szCs w:val="21"/>
                      <w:highlight w:val="none"/>
                      <w:lang w:eastAsia="zh-CN"/>
                    </w:rPr>
                    <w:t>微车基地污水处理厂</w:t>
                  </w:r>
                  <w:r>
                    <w:rPr>
                      <w:strike w:val="0"/>
                      <w:dstrike w:val="0"/>
                      <w:color w:val="auto"/>
                      <w:szCs w:val="21"/>
                      <w:highlight w:val="none"/>
                    </w:rPr>
                    <w:t>处理，满足重点污染物排放总量控制要求</w:t>
                  </w:r>
                </w:p>
              </w:tc>
              <w:tc>
                <w:tcPr>
                  <w:tcW w:w="720" w:type="dxa"/>
                  <w:vAlign w:val="center"/>
                </w:tcPr>
                <w:p w14:paraId="50D39C72">
                  <w:pPr>
                    <w:spacing w:line="0" w:lineRule="atLeast"/>
                    <w:jc w:val="center"/>
                    <w:rPr>
                      <w:strike w:val="0"/>
                      <w:dstrike w:val="0"/>
                      <w:color w:val="auto"/>
                      <w:szCs w:val="21"/>
                      <w:highlight w:val="none"/>
                    </w:rPr>
                  </w:pPr>
                  <w:r>
                    <w:rPr>
                      <w:strike w:val="0"/>
                      <w:dstrike w:val="0"/>
                      <w:color w:val="auto"/>
                      <w:szCs w:val="21"/>
                      <w:highlight w:val="none"/>
                    </w:rPr>
                    <w:t>符合</w:t>
                  </w:r>
                </w:p>
              </w:tc>
            </w:tr>
            <w:tr w14:paraId="5E10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dxa"/>
                  <w:tcMar>
                    <w:left w:w="0" w:type="dxa"/>
                    <w:right w:w="0" w:type="dxa"/>
                  </w:tcMar>
                  <w:vAlign w:val="center"/>
                </w:tcPr>
                <w:p w14:paraId="6BB724C8">
                  <w:pPr>
                    <w:spacing w:line="380" w:lineRule="exact"/>
                    <w:jc w:val="center"/>
                    <w:rPr>
                      <w:strike w:val="0"/>
                      <w:dstrike w:val="0"/>
                      <w:color w:val="auto"/>
                      <w:szCs w:val="21"/>
                      <w:highlight w:val="none"/>
                    </w:rPr>
                  </w:pPr>
                  <w:r>
                    <w:rPr>
                      <w:strike w:val="0"/>
                      <w:dstrike w:val="0"/>
                      <w:color w:val="auto"/>
                      <w:szCs w:val="21"/>
                      <w:highlight w:val="none"/>
                    </w:rPr>
                    <w:t>环境风险防控</w:t>
                  </w:r>
                </w:p>
              </w:tc>
              <w:tc>
                <w:tcPr>
                  <w:tcW w:w="5059" w:type="dxa"/>
                  <w:vAlign w:val="center"/>
                </w:tcPr>
                <w:p w14:paraId="61146415">
                  <w:pPr>
                    <w:spacing w:line="0" w:lineRule="atLeast"/>
                    <w:jc w:val="left"/>
                    <w:rPr>
                      <w:strike w:val="0"/>
                      <w:dstrike w:val="0"/>
                      <w:color w:val="auto"/>
                      <w:szCs w:val="21"/>
                      <w:highlight w:val="none"/>
                    </w:rPr>
                  </w:pPr>
                  <w:r>
                    <w:rPr>
                      <w:strike w:val="0"/>
                      <w:dstrike w:val="0"/>
                      <w:color w:val="auto"/>
                      <w:szCs w:val="21"/>
                      <w:highlight w:val="none"/>
                    </w:rPr>
                    <w:t>1、</w:t>
                  </w:r>
                  <w:r>
                    <w:rPr>
                      <w:rFonts w:hint="eastAsia"/>
                      <w:strike w:val="0"/>
                      <w:dstrike w:val="0"/>
                      <w:color w:val="auto"/>
                      <w:szCs w:val="21"/>
                      <w:highlight w:val="none"/>
                    </w:rPr>
                    <w:t>天顶组团</w:t>
                  </w:r>
                  <w:r>
                    <w:rPr>
                      <w:strike w:val="0"/>
                      <w:dstrike w:val="0"/>
                      <w:color w:val="auto"/>
                      <w:szCs w:val="21"/>
                      <w:highlight w:val="none"/>
                    </w:rPr>
                    <w:t>目前已编制应急预案，应加强对企业环境风险源的监督管理，建立园区级风险防控体系，完善环境风险防范措施。</w:t>
                  </w:r>
                </w:p>
                <w:p w14:paraId="6556E1DC">
                  <w:pPr>
                    <w:spacing w:line="0" w:lineRule="atLeast"/>
                    <w:jc w:val="left"/>
                    <w:rPr>
                      <w:strike w:val="0"/>
                      <w:dstrike w:val="0"/>
                      <w:color w:val="auto"/>
                      <w:szCs w:val="21"/>
                      <w:highlight w:val="none"/>
                    </w:rPr>
                  </w:pPr>
                  <w:r>
                    <w:rPr>
                      <w:strike w:val="0"/>
                      <w:dstrike w:val="0"/>
                      <w:color w:val="auto"/>
                      <w:szCs w:val="21"/>
                      <w:highlight w:val="none"/>
                    </w:rPr>
                    <w:t>2、</w:t>
                  </w:r>
                  <w:r>
                    <w:rPr>
                      <w:strike w:val="0"/>
                      <w:dstrike w:val="0"/>
                      <w:color w:val="auto"/>
                      <w:kern w:val="0"/>
                      <w:szCs w:val="21"/>
                      <w:highlight w:val="none"/>
                    </w:rPr>
                    <w:t>加快布局分散的企业向园区集中，按要求设置生态隔离带，建设相应的防护工程。严格新（改、扩）建生产有毒有害化学品项目的审批。</w:t>
                  </w:r>
                </w:p>
              </w:tc>
              <w:tc>
                <w:tcPr>
                  <w:tcW w:w="1387" w:type="dxa"/>
                  <w:vAlign w:val="center"/>
                </w:tcPr>
                <w:p w14:paraId="55EB4969">
                  <w:pPr>
                    <w:spacing w:line="0" w:lineRule="atLeast"/>
                    <w:jc w:val="center"/>
                    <w:rPr>
                      <w:strike w:val="0"/>
                      <w:dstrike w:val="0"/>
                      <w:color w:val="auto"/>
                      <w:szCs w:val="21"/>
                      <w:highlight w:val="none"/>
                    </w:rPr>
                  </w:pPr>
                  <w:r>
                    <w:rPr>
                      <w:strike w:val="0"/>
                      <w:dstrike w:val="0"/>
                      <w:color w:val="auto"/>
                      <w:szCs w:val="21"/>
                      <w:highlight w:val="none"/>
                    </w:rPr>
                    <w:t>企业将按照环评相关要求，完善相应的风险防范措施，本项目不涉及有毒有害化学品</w:t>
                  </w:r>
                </w:p>
              </w:tc>
              <w:tc>
                <w:tcPr>
                  <w:tcW w:w="720" w:type="dxa"/>
                  <w:vAlign w:val="center"/>
                </w:tcPr>
                <w:p w14:paraId="0182D892">
                  <w:pPr>
                    <w:spacing w:line="0" w:lineRule="atLeast"/>
                    <w:jc w:val="center"/>
                    <w:rPr>
                      <w:strike w:val="0"/>
                      <w:dstrike w:val="0"/>
                      <w:color w:val="auto"/>
                      <w:szCs w:val="21"/>
                      <w:highlight w:val="none"/>
                    </w:rPr>
                  </w:pPr>
                  <w:r>
                    <w:rPr>
                      <w:strike w:val="0"/>
                      <w:dstrike w:val="0"/>
                      <w:color w:val="auto"/>
                      <w:szCs w:val="21"/>
                      <w:highlight w:val="none"/>
                    </w:rPr>
                    <w:t>符合</w:t>
                  </w:r>
                </w:p>
              </w:tc>
            </w:tr>
            <w:tr w14:paraId="1A18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dxa"/>
                  <w:tcMar>
                    <w:left w:w="0" w:type="dxa"/>
                    <w:right w:w="0" w:type="dxa"/>
                  </w:tcMar>
                  <w:vAlign w:val="center"/>
                </w:tcPr>
                <w:p w14:paraId="4AD109E8">
                  <w:pPr>
                    <w:spacing w:line="380" w:lineRule="exact"/>
                    <w:jc w:val="center"/>
                    <w:rPr>
                      <w:strike w:val="0"/>
                      <w:dstrike w:val="0"/>
                      <w:color w:val="auto"/>
                      <w:szCs w:val="21"/>
                      <w:highlight w:val="none"/>
                    </w:rPr>
                  </w:pPr>
                  <w:r>
                    <w:rPr>
                      <w:strike w:val="0"/>
                      <w:dstrike w:val="0"/>
                      <w:color w:val="auto"/>
                      <w:szCs w:val="21"/>
                      <w:highlight w:val="none"/>
                    </w:rPr>
                    <w:t>资源开发利用要求</w:t>
                  </w:r>
                </w:p>
              </w:tc>
              <w:tc>
                <w:tcPr>
                  <w:tcW w:w="5059" w:type="dxa"/>
                  <w:vAlign w:val="center"/>
                </w:tcPr>
                <w:p w14:paraId="547184D9">
                  <w:pPr>
                    <w:spacing w:line="0" w:lineRule="atLeast"/>
                    <w:jc w:val="left"/>
                    <w:rPr>
                      <w:strike w:val="0"/>
                      <w:dstrike w:val="0"/>
                      <w:color w:val="auto"/>
                      <w:szCs w:val="21"/>
                      <w:highlight w:val="none"/>
                    </w:rPr>
                  </w:pPr>
                  <w:r>
                    <w:rPr>
                      <w:strike w:val="0"/>
                      <w:dstrike w:val="0"/>
                      <w:color w:val="auto"/>
                      <w:szCs w:val="21"/>
                      <w:highlight w:val="none"/>
                    </w:rPr>
                    <w:t>1、资源环境绩效水平不超过《重庆市工业项目环境准入规定》（渝办发[2012]142号）限值。汽车制造行业(涂装)：单位产品新鲜用水量不超过0.1t/m</w:t>
                  </w:r>
                  <w:r>
                    <w:rPr>
                      <w:strike w:val="0"/>
                      <w:dstrike w:val="0"/>
                      <w:color w:val="auto"/>
                      <w:szCs w:val="21"/>
                      <w:highlight w:val="none"/>
                      <w:vertAlign w:val="superscript"/>
                    </w:rPr>
                    <w:t>2</w:t>
                  </w:r>
                  <w:r>
                    <w:rPr>
                      <w:strike w:val="0"/>
                      <w:dstrike w:val="0"/>
                      <w:color w:val="auto"/>
                      <w:szCs w:val="21"/>
                      <w:highlight w:val="none"/>
                    </w:rPr>
                    <w:t>，单位产品COD排放量不超过8.5g/m</w:t>
                  </w:r>
                  <w:r>
                    <w:rPr>
                      <w:strike w:val="0"/>
                      <w:dstrike w:val="0"/>
                      <w:color w:val="auto"/>
                      <w:szCs w:val="21"/>
                      <w:highlight w:val="none"/>
                      <w:vertAlign w:val="superscript"/>
                    </w:rPr>
                    <w:t>2</w:t>
                  </w:r>
                  <w:r>
                    <w:rPr>
                      <w:strike w:val="0"/>
                      <w:dstrike w:val="0"/>
                      <w:color w:val="auto"/>
                      <w:szCs w:val="21"/>
                      <w:highlight w:val="none"/>
                    </w:rPr>
                    <w:t>，单位产品NH</w:t>
                  </w:r>
                  <w:r>
                    <w:rPr>
                      <w:strike w:val="0"/>
                      <w:dstrike w:val="0"/>
                      <w:color w:val="auto"/>
                      <w:szCs w:val="21"/>
                      <w:highlight w:val="none"/>
                      <w:vertAlign w:val="subscript"/>
                    </w:rPr>
                    <w:t>3</w:t>
                  </w:r>
                  <w:r>
                    <w:rPr>
                      <w:strike w:val="0"/>
                      <w:dstrike w:val="0"/>
                      <w:color w:val="auto"/>
                      <w:szCs w:val="21"/>
                      <w:highlight w:val="none"/>
                    </w:rPr>
                    <w:t>-N排放量不超过1.275g/m</w:t>
                  </w:r>
                  <w:r>
                    <w:rPr>
                      <w:strike w:val="0"/>
                      <w:dstrike w:val="0"/>
                      <w:color w:val="auto"/>
                      <w:szCs w:val="21"/>
                      <w:highlight w:val="none"/>
                      <w:vertAlign w:val="superscript"/>
                    </w:rPr>
                    <w:t>2</w:t>
                  </w:r>
                  <w:r>
                    <w:rPr>
                      <w:strike w:val="0"/>
                      <w:dstrike w:val="0"/>
                      <w:color w:val="auto"/>
                      <w:szCs w:val="21"/>
                      <w:highlight w:val="none"/>
                    </w:rPr>
                    <w:t>，单位产品有机废气排放量2C2B不超过30g/m</w:t>
                  </w:r>
                  <w:r>
                    <w:rPr>
                      <w:strike w:val="0"/>
                      <w:dstrike w:val="0"/>
                      <w:color w:val="auto"/>
                      <w:szCs w:val="21"/>
                      <w:highlight w:val="none"/>
                      <w:vertAlign w:val="superscript"/>
                    </w:rPr>
                    <w:t>2</w:t>
                  </w:r>
                  <w:r>
                    <w:rPr>
                      <w:strike w:val="0"/>
                      <w:dstrike w:val="0"/>
                      <w:color w:val="auto"/>
                      <w:szCs w:val="21"/>
                      <w:highlight w:val="none"/>
                    </w:rPr>
                    <w:t>，3C3B不超过40g/m</w:t>
                  </w:r>
                  <w:r>
                    <w:rPr>
                      <w:strike w:val="0"/>
                      <w:dstrike w:val="0"/>
                      <w:color w:val="auto"/>
                      <w:szCs w:val="21"/>
                      <w:highlight w:val="none"/>
                      <w:vertAlign w:val="superscript"/>
                    </w:rPr>
                    <w:t>2</w:t>
                  </w:r>
                  <w:r>
                    <w:rPr>
                      <w:strike w:val="0"/>
                      <w:dstrike w:val="0"/>
                      <w:color w:val="auto"/>
                      <w:szCs w:val="21"/>
                      <w:highlight w:val="none"/>
                    </w:rPr>
                    <w:t>，4C4B不超过50g/m</w:t>
                  </w:r>
                  <w:r>
                    <w:rPr>
                      <w:strike w:val="0"/>
                      <w:dstrike w:val="0"/>
                      <w:color w:val="auto"/>
                      <w:szCs w:val="21"/>
                      <w:highlight w:val="none"/>
                      <w:vertAlign w:val="superscript"/>
                    </w:rPr>
                    <w:t>2</w:t>
                  </w:r>
                  <w:r>
                    <w:rPr>
                      <w:strike w:val="0"/>
                      <w:dstrike w:val="0"/>
                      <w:color w:val="auto"/>
                      <w:szCs w:val="21"/>
                      <w:highlight w:val="none"/>
                    </w:rPr>
                    <w:t>，5C5B不超过60g/m</w:t>
                  </w:r>
                  <w:r>
                    <w:rPr>
                      <w:strike w:val="0"/>
                      <w:dstrike w:val="0"/>
                      <w:color w:val="auto"/>
                      <w:szCs w:val="21"/>
                      <w:highlight w:val="none"/>
                      <w:vertAlign w:val="superscript"/>
                    </w:rPr>
                    <w:t>2</w:t>
                  </w:r>
                  <w:r>
                    <w:rPr>
                      <w:strike w:val="0"/>
                      <w:dstrike w:val="0"/>
                      <w:color w:val="auto"/>
                      <w:szCs w:val="21"/>
                      <w:highlight w:val="none"/>
                    </w:rPr>
                    <w:t>。</w:t>
                  </w:r>
                </w:p>
                <w:p w14:paraId="4451D569">
                  <w:pPr>
                    <w:spacing w:line="0" w:lineRule="atLeast"/>
                    <w:jc w:val="left"/>
                    <w:rPr>
                      <w:strike w:val="0"/>
                      <w:dstrike w:val="0"/>
                      <w:color w:val="auto"/>
                      <w:szCs w:val="21"/>
                      <w:highlight w:val="none"/>
                    </w:rPr>
                  </w:pPr>
                  <w:r>
                    <w:rPr>
                      <w:strike w:val="0"/>
                      <w:dstrike w:val="0"/>
                      <w:color w:val="auto"/>
                      <w:szCs w:val="21"/>
                      <w:highlight w:val="none"/>
                    </w:rPr>
                    <w:t>2、符合生态建设和环境保护规划区域布局规定的工业项目。</w:t>
                  </w:r>
                </w:p>
                <w:p w14:paraId="0155150E">
                  <w:pPr>
                    <w:spacing w:line="0" w:lineRule="atLeast"/>
                    <w:jc w:val="left"/>
                    <w:rPr>
                      <w:strike w:val="0"/>
                      <w:dstrike w:val="0"/>
                      <w:color w:val="auto"/>
                      <w:szCs w:val="21"/>
                      <w:highlight w:val="none"/>
                    </w:rPr>
                  </w:pPr>
                  <w:r>
                    <w:rPr>
                      <w:strike w:val="0"/>
                      <w:dstrike w:val="0"/>
                      <w:color w:val="auto"/>
                      <w:szCs w:val="21"/>
                      <w:highlight w:val="none"/>
                    </w:rPr>
                    <w:t>3、禁止使用煤和重油为燃料的工业项目。</w:t>
                  </w:r>
                </w:p>
                <w:p w14:paraId="4AB37B9B">
                  <w:pPr>
                    <w:spacing w:line="0" w:lineRule="atLeast"/>
                    <w:jc w:val="left"/>
                    <w:rPr>
                      <w:strike w:val="0"/>
                      <w:dstrike w:val="0"/>
                      <w:color w:val="auto"/>
                      <w:szCs w:val="21"/>
                      <w:highlight w:val="none"/>
                    </w:rPr>
                  </w:pPr>
                  <w:r>
                    <w:rPr>
                      <w:strike w:val="0"/>
                      <w:dstrike w:val="0"/>
                      <w:color w:val="auto"/>
                      <w:szCs w:val="21"/>
                      <w:highlight w:val="none"/>
                    </w:rPr>
                    <w:t>4、在划定的高污染燃料禁燃区内，禁止销售和使用原煤、煤矸石、重油、渣油、石油焦、木柴、秸秆等国家和本市规定的高污染燃料。现有使用高污染燃料的设施应当限期淘汰或者改用天然气、页岩气、液化石油气、电、风能等清洁能源。</w:t>
                  </w:r>
                </w:p>
              </w:tc>
              <w:tc>
                <w:tcPr>
                  <w:tcW w:w="1387" w:type="dxa"/>
                  <w:vAlign w:val="center"/>
                </w:tcPr>
                <w:p w14:paraId="4BD23EAB">
                  <w:pPr>
                    <w:jc w:val="left"/>
                    <w:rPr>
                      <w:strike w:val="0"/>
                      <w:dstrike w:val="0"/>
                      <w:color w:val="auto"/>
                      <w:szCs w:val="21"/>
                      <w:highlight w:val="none"/>
                    </w:rPr>
                  </w:pPr>
                  <w:r>
                    <w:rPr>
                      <w:strike w:val="0"/>
                      <w:dstrike w:val="0"/>
                      <w:color w:val="auto"/>
                      <w:szCs w:val="21"/>
                      <w:highlight w:val="none"/>
                    </w:rPr>
                    <w:t>本项目不属于汽车制造行业，不涉及燃煤和重油类等原辅料</w:t>
                  </w:r>
                </w:p>
              </w:tc>
              <w:tc>
                <w:tcPr>
                  <w:tcW w:w="720" w:type="dxa"/>
                  <w:vAlign w:val="center"/>
                </w:tcPr>
                <w:p w14:paraId="7872837D">
                  <w:pPr>
                    <w:jc w:val="left"/>
                    <w:rPr>
                      <w:strike w:val="0"/>
                      <w:dstrike w:val="0"/>
                      <w:color w:val="auto"/>
                      <w:szCs w:val="21"/>
                      <w:highlight w:val="none"/>
                    </w:rPr>
                  </w:pPr>
                  <w:r>
                    <w:rPr>
                      <w:strike w:val="0"/>
                      <w:dstrike w:val="0"/>
                      <w:color w:val="auto"/>
                      <w:szCs w:val="21"/>
                      <w:highlight w:val="none"/>
                    </w:rPr>
                    <w:t>符合</w:t>
                  </w:r>
                </w:p>
              </w:tc>
            </w:tr>
          </w:tbl>
          <w:p w14:paraId="0C87D923">
            <w:pPr>
              <w:autoSpaceDE w:val="0"/>
              <w:autoSpaceDN w:val="0"/>
              <w:spacing w:line="360" w:lineRule="auto"/>
              <w:ind w:firstLine="480" w:firstLineChars="200"/>
              <w:rPr>
                <w:strike w:val="0"/>
                <w:dstrike w:val="0"/>
                <w:color w:val="auto"/>
                <w:kern w:val="0"/>
                <w:sz w:val="24"/>
                <w:highlight w:val="none"/>
              </w:rPr>
            </w:pPr>
            <w:r>
              <w:rPr>
                <w:strike w:val="0"/>
                <w:dstrike w:val="0"/>
                <w:color w:val="auto"/>
                <w:kern w:val="0"/>
                <w:sz w:val="24"/>
                <w:highlight w:val="none"/>
              </w:rPr>
              <w:t>由上表可知，本项目不属于《重庆市合川区土场镇、清平镇总体规划环境影响报告书》中限制类和禁止类项目，符合土场镇规划环评准入清单中的准入要求。</w:t>
            </w:r>
          </w:p>
          <w:p w14:paraId="251BBC82">
            <w:pPr>
              <w:numPr>
                <w:ilvl w:val="0"/>
                <w:numId w:val="3"/>
              </w:numPr>
              <w:autoSpaceDE w:val="0"/>
              <w:autoSpaceDN w:val="0"/>
              <w:spacing w:line="360" w:lineRule="auto"/>
              <w:ind w:firstLine="480" w:firstLineChars="200"/>
              <w:rPr>
                <w:strike w:val="0"/>
                <w:dstrike w:val="0"/>
                <w:color w:val="auto"/>
                <w:kern w:val="0"/>
                <w:sz w:val="24"/>
                <w:highlight w:val="none"/>
              </w:rPr>
            </w:pPr>
            <w:r>
              <w:rPr>
                <w:strike w:val="0"/>
                <w:dstrike w:val="0"/>
                <w:color w:val="auto"/>
                <w:kern w:val="0"/>
                <w:sz w:val="24"/>
                <w:highlight w:val="none"/>
              </w:rPr>
              <w:t>与《重庆市合川区土场镇、清平镇总体规划环境影响报告书》审查意见的符合性分析</w:t>
            </w:r>
          </w:p>
          <w:p w14:paraId="4865EE70">
            <w:pPr>
              <w:autoSpaceDE w:val="0"/>
              <w:autoSpaceDN w:val="0"/>
              <w:spacing w:line="360" w:lineRule="auto"/>
              <w:ind w:firstLine="480" w:firstLineChars="200"/>
              <w:rPr>
                <w:rFonts w:eastAsia="微软雅黑 Regular"/>
                <w:strike w:val="0"/>
                <w:dstrike w:val="0"/>
                <w:color w:val="auto"/>
                <w:sz w:val="24"/>
                <w:highlight w:val="none"/>
              </w:rPr>
            </w:pPr>
            <w:r>
              <w:rPr>
                <w:strike w:val="0"/>
                <w:dstrike w:val="0"/>
                <w:color w:val="auto"/>
                <w:sz w:val="24"/>
                <w:highlight w:val="none"/>
              </w:rPr>
              <w:t>本项目</w:t>
            </w:r>
            <w:r>
              <w:rPr>
                <w:strike w:val="0"/>
                <w:dstrike w:val="0"/>
                <w:color w:val="auto"/>
                <w:kern w:val="0"/>
                <w:sz w:val="24"/>
                <w:highlight w:val="none"/>
              </w:rPr>
              <w:t>与《重庆市合川区土场镇、清平镇总体规划环境影响报告书》审查意见的符合性分析详见表1.2-2。</w:t>
            </w:r>
          </w:p>
          <w:p w14:paraId="49121A18">
            <w:pPr>
              <w:autoSpaceDE w:val="0"/>
              <w:autoSpaceDN w:val="0"/>
              <w:jc w:val="center"/>
              <w:rPr>
                <w:b/>
                <w:strike w:val="0"/>
                <w:dstrike w:val="0"/>
                <w:color w:val="auto"/>
                <w:kern w:val="0"/>
                <w:sz w:val="24"/>
                <w:highlight w:val="none"/>
              </w:rPr>
            </w:pPr>
            <w:r>
              <w:rPr>
                <w:b/>
                <w:strike w:val="0"/>
                <w:dstrike w:val="0"/>
                <w:color w:val="auto"/>
                <w:kern w:val="0"/>
                <w:sz w:val="24"/>
                <w:highlight w:val="none"/>
              </w:rPr>
              <w:t>表1.2-2  与《重庆市合川区土场镇、清平镇总体规划环境影响报告书》审查意见的符合性分析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4085"/>
              <w:gridCol w:w="1800"/>
              <w:gridCol w:w="720"/>
            </w:tblGrid>
            <w:tr w14:paraId="621D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blHeader/>
                <w:jc w:val="center"/>
              </w:trPr>
              <w:tc>
                <w:tcPr>
                  <w:tcW w:w="1065" w:type="dxa"/>
                  <w:vAlign w:val="center"/>
                </w:tcPr>
                <w:p w14:paraId="7F32B9AD">
                  <w:pPr>
                    <w:jc w:val="center"/>
                    <w:rPr>
                      <w:b/>
                      <w:strike w:val="0"/>
                      <w:dstrike w:val="0"/>
                      <w:color w:val="auto"/>
                      <w:szCs w:val="21"/>
                      <w:highlight w:val="none"/>
                    </w:rPr>
                  </w:pPr>
                  <w:r>
                    <w:rPr>
                      <w:b/>
                      <w:strike w:val="0"/>
                      <w:dstrike w:val="0"/>
                      <w:color w:val="auto"/>
                      <w:szCs w:val="21"/>
                      <w:highlight w:val="none"/>
                    </w:rPr>
                    <w:t>项目</w:t>
                  </w:r>
                </w:p>
              </w:tc>
              <w:tc>
                <w:tcPr>
                  <w:tcW w:w="4085" w:type="dxa"/>
                  <w:vAlign w:val="center"/>
                </w:tcPr>
                <w:p w14:paraId="168DADF4">
                  <w:pPr>
                    <w:jc w:val="center"/>
                    <w:rPr>
                      <w:b/>
                      <w:strike w:val="0"/>
                      <w:dstrike w:val="0"/>
                      <w:color w:val="auto"/>
                      <w:szCs w:val="21"/>
                      <w:highlight w:val="none"/>
                    </w:rPr>
                  </w:pPr>
                  <w:r>
                    <w:rPr>
                      <w:b/>
                      <w:strike w:val="0"/>
                      <w:dstrike w:val="0"/>
                      <w:color w:val="auto"/>
                      <w:szCs w:val="21"/>
                      <w:highlight w:val="none"/>
                    </w:rPr>
                    <w:t>管控要求</w:t>
                  </w:r>
                </w:p>
              </w:tc>
              <w:tc>
                <w:tcPr>
                  <w:tcW w:w="1800" w:type="dxa"/>
                  <w:vAlign w:val="center"/>
                </w:tcPr>
                <w:p w14:paraId="380FA7B2">
                  <w:pPr>
                    <w:spacing w:line="320" w:lineRule="exact"/>
                    <w:jc w:val="center"/>
                    <w:rPr>
                      <w:b/>
                      <w:bCs/>
                      <w:strike w:val="0"/>
                      <w:dstrike w:val="0"/>
                      <w:color w:val="auto"/>
                      <w:szCs w:val="21"/>
                      <w:highlight w:val="none"/>
                    </w:rPr>
                  </w:pPr>
                  <w:r>
                    <w:rPr>
                      <w:b/>
                      <w:bCs/>
                      <w:strike w:val="0"/>
                      <w:dstrike w:val="0"/>
                      <w:color w:val="auto"/>
                      <w:szCs w:val="21"/>
                      <w:highlight w:val="none"/>
                    </w:rPr>
                    <w:t>本项目情况</w:t>
                  </w:r>
                </w:p>
              </w:tc>
              <w:tc>
                <w:tcPr>
                  <w:tcW w:w="720" w:type="dxa"/>
                  <w:vAlign w:val="center"/>
                </w:tcPr>
                <w:p w14:paraId="345E24B3">
                  <w:pPr>
                    <w:spacing w:line="320" w:lineRule="exact"/>
                    <w:jc w:val="center"/>
                    <w:rPr>
                      <w:b/>
                      <w:bCs/>
                      <w:strike w:val="0"/>
                      <w:dstrike w:val="0"/>
                      <w:color w:val="auto"/>
                      <w:szCs w:val="21"/>
                      <w:highlight w:val="none"/>
                    </w:rPr>
                  </w:pPr>
                  <w:r>
                    <w:rPr>
                      <w:b/>
                      <w:bCs/>
                      <w:strike w:val="0"/>
                      <w:dstrike w:val="0"/>
                      <w:color w:val="auto"/>
                      <w:szCs w:val="21"/>
                      <w:highlight w:val="none"/>
                    </w:rPr>
                    <w:t>符合性</w:t>
                  </w:r>
                </w:p>
              </w:tc>
            </w:tr>
            <w:tr w14:paraId="6F58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065" w:type="dxa"/>
                  <w:vAlign w:val="center"/>
                </w:tcPr>
                <w:p w14:paraId="33E6F53C">
                  <w:pPr>
                    <w:pStyle w:val="33"/>
                    <w:shd w:val="clear" w:color="auto" w:fill="auto"/>
                    <w:spacing w:line="240" w:lineRule="auto"/>
                    <w:ind w:firstLine="0"/>
                    <w:jc w:val="center"/>
                    <w:rPr>
                      <w:rFonts w:ascii="Times New Roman" w:hAnsi="Times New Roman" w:eastAsia="宋体"/>
                      <w:b w:val="0"/>
                      <w:strike w:val="0"/>
                      <w:dstrike w:val="0"/>
                      <w:color w:val="auto"/>
                      <w:sz w:val="21"/>
                      <w:szCs w:val="21"/>
                      <w:highlight w:val="none"/>
                    </w:rPr>
                  </w:pPr>
                  <w:r>
                    <w:rPr>
                      <w:rStyle w:val="34"/>
                      <w:rFonts w:ascii="Times New Roman" w:hAnsi="Times New Roman" w:eastAsia="宋体" w:cs="Times New Roman"/>
                      <w:b w:val="0"/>
                      <w:bCs/>
                      <w:strike w:val="0"/>
                      <w:dstrike w:val="0"/>
                      <w:color w:val="auto"/>
                      <w:sz w:val="21"/>
                      <w:szCs w:val="21"/>
                      <w:highlight w:val="none"/>
                      <w:lang w:val="zh-TW"/>
                    </w:rPr>
                    <w:t>(</w:t>
                  </w:r>
                  <w:r>
                    <w:rPr>
                      <w:rFonts w:ascii="Times New Roman" w:hAnsi="Times New Roman" w:eastAsia="宋体"/>
                      <w:b w:val="0"/>
                      <w:strike w:val="0"/>
                      <w:dstrike w:val="0"/>
                      <w:color w:val="auto"/>
                      <w:sz w:val="21"/>
                      <w:szCs w:val="21"/>
                      <w:highlight w:val="none"/>
                      <w:lang w:val="zh-TW"/>
                    </w:rPr>
                    <w:t>一）强化空间管控，优化布局</w:t>
                  </w:r>
                </w:p>
              </w:tc>
              <w:tc>
                <w:tcPr>
                  <w:tcW w:w="4085" w:type="dxa"/>
                  <w:vAlign w:val="center"/>
                </w:tcPr>
                <w:p w14:paraId="39D3A64A">
                  <w:pPr>
                    <w:jc w:val="left"/>
                    <w:rPr>
                      <w:bCs/>
                      <w:strike w:val="0"/>
                      <w:dstrike w:val="0"/>
                      <w:color w:val="auto"/>
                      <w:szCs w:val="21"/>
                      <w:highlight w:val="none"/>
                      <w:lang w:val="zh-TW"/>
                    </w:rPr>
                  </w:pPr>
                  <w:r>
                    <w:rPr>
                      <w:bCs/>
                      <w:strike w:val="0"/>
                      <w:dstrike w:val="0"/>
                      <w:color w:val="auto"/>
                      <w:szCs w:val="21"/>
                      <w:highlight w:val="none"/>
                      <w:lang w:val="zh-TW"/>
                    </w:rPr>
                    <w:t>优化环境防护距离设置，将环境防护距离优化控制在工业片区边界或用地红线以内。临近居住用地的工业用地不宜布置环境空气影响相对较大的企业或生产车间；涉及环境防护距离的工业企业或项目，应通过选址或调整布局严格控制环境防护距离。严格控制镇区边界，不得侵占生态保护红线、一般生态空间、“四山</w:t>
                  </w:r>
                  <w:r>
                    <w:rPr>
                      <w:rFonts w:hint="eastAsia"/>
                      <w:bCs/>
                      <w:strike w:val="0"/>
                      <w:dstrike w:val="0"/>
                      <w:color w:val="auto"/>
                      <w:szCs w:val="21"/>
                      <w:highlight w:val="none"/>
                      <w:lang w:val="zh-TW"/>
                    </w:rPr>
                    <w:t>”</w:t>
                  </w:r>
                  <w:r>
                    <w:rPr>
                      <w:bCs/>
                      <w:strike w:val="0"/>
                      <w:dstrike w:val="0"/>
                      <w:color w:val="auto"/>
                      <w:szCs w:val="21"/>
                      <w:highlight w:val="none"/>
                      <w:lang w:val="zh-TW"/>
                    </w:rPr>
                    <w:t>禁建区。</w:t>
                  </w:r>
                </w:p>
                <w:p w14:paraId="439C89A3">
                  <w:pPr>
                    <w:jc w:val="left"/>
                    <w:rPr>
                      <w:bCs/>
                      <w:strike w:val="0"/>
                      <w:dstrike w:val="0"/>
                      <w:color w:val="auto"/>
                      <w:szCs w:val="21"/>
                      <w:highlight w:val="none"/>
                    </w:rPr>
                  </w:pPr>
                  <w:r>
                    <w:rPr>
                      <w:bCs/>
                      <w:strike w:val="0"/>
                      <w:dstrike w:val="0"/>
                      <w:color w:val="auto"/>
                      <w:szCs w:val="21"/>
                      <w:highlight w:val="none"/>
                    </w:rPr>
                    <w:t>土场镇严格控制坝子居住用地TC-18-01/01容积率和教育用地TC-18-02/01规模，周边工业用地新增产生大气污染的项目时需满足环境防护距离要求。为减轻TD-92-04/01、TD-92-05/01二类居住用地所受影响，应将该地块涉及的防护距离范围内用地调整为非居住用地。非规划工业用地内的现有工业企业应适时搬迁，与居住用地相邻的工业用地宜布局一类工业项目。</w:t>
                  </w:r>
                </w:p>
              </w:tc>
              <w:tc>
                <w:tcPr>
                  <w:tcW w:w="1800" w:type="dxa"/>
                  <w:vAlign w:val="center"/>
                </w:tcPr>
                <w:p w14:paraId="7965B299">
                  <w:pPr>
                    <w:rPr>
                      <w:rFonts w:hint="default" w:eastAsia="宋体"/>
                      <w:bCs/>
                      <w:strike w:val="0"/>
                      <w:dstrike w:val="0"/>
                      <w:color w:val="auto"/>
                      <w:szCs w:val="21"/>
                      <w:highlight w:val="none"/>
                      <w:lang w:val="en-US" w:eastAsia="zh-CN"/>
                    </w:rPr>
                  </w:pPr>
                  <w:r>
                    <w:rPr>
                      <w:strike w:val="0"/>
                      <w:dstrike w:val="0"/>
                      <w:color w:val="auto"/>
                      <w:szCs w:val="21"/>
                      <w:highlight w:val="none"/>
                    </w:rPr>
                    <w:t>本项目不需设置环境防护距离，</w:t>
                  </w:r>
                  <w:r>
                    <w:rPr>
                      <w:bCs/>
                      <w:strike w:val="0"/>
                      <w:dstrike w:val="0"/>
                      <w:color w:val="auto"/>
                      <w:szCs w:val="21"/>
                      <w:highlight w:val="none"/>
                      <w:lang w:val="zh-TW"/>
                    </w:rPr>
                    <w:t>不涉及生态红线。项目</w:t>
                  </w:r>
                  <w:r>
                    <w:rPr>
                      <w:strike w:val="0"/>
                      <w:dstrike w:val="0"/>
                      <w:color w:val="auto"/>
                      <w:szCs w:val="21"/>
                      <w:highlight w:val="none"/>
                    </w:rPr>
                    <w:t>位于TD-46-02/01地块，不在生态红线、</w:t>
                  </w:r>
                  <w:r>
                    <w:rPr>
                      <w:strike w:val="0"/>
                      <w:dstrike w:val="0"/>
                      <w:color w:val="auto"/>
                      <w:szCs w:val="21"/>
                      <w:highlight w:val="none"/>
                      <w:lang w:val="zh-TW"/>
                    </w:rPr>
                    <w:t>一般生态空间、“四山</w:t>
                  </w:r>
                  <w:r>
                    <w:rPr>
                      <w:rFonts w:hint="eastAsia"/>
                      <w:strike w:val="0"/>
                      <w:dstrike w:val="0"/>
                      <w:color w:val="auto"/>
                      <w:szCs w:val="21"/>
                      <w:highlight w:val="none"/>
                      <w:lang w:val="zh-TW"/>
                    </w:rPr>
                    <w:t>”</w:t>
                  </w:r>
                  <w:r>
                    <w:rPr>
                      <w:strike w:val="0"/>
                      <w:dstrike w:val="0"/>
                      <w:color w:val="auto"/>
                      <w:szCs w:val="21"/>
                      <w:highlight w:val="none"/>
                      <w:lang w:val="zh-TW"/>
                    </w:rPr>
                    <w:t>禁建区</w:t>
                  </w:r>
                  <w:r>
                    <w:rPr>
                      <w:strike w:val="0"/>
                      <w:dstrike w:val="0"/>
                      <w:color w:val="auto"/>
                      <w:szCs w:val="21"/>
                      <w:highlight w:val="none"/>
                    </w:rPr>
                    <w:t>范围内</w:t>
                  </w:r>
                  <w:r>
                    <w:rPr>
                      <w:rFonts w:hint="eastAsia"/>
                      <w:strike w:val="0"/>
                      <w:dstrike w:val="0"/>
                      <w:color w:val="auto"/>
                      <w:szCs w:val="21"/>
                      <w:highlight w:val="none"/>
                      <w:lang w:eastAsia="zh-CN"/>
                    </w:rPr>
                    <w:t>，</w:t>
                  </w:r>
                  <w:r>
                    <w:rPr>
                      <w:rFonts w:hint="eastAsia"/>
                      <w:strike w:val="0"/>
                      <w:dstrike w:val="0"/>
                      <w:color w:val="auto"/>
                      <w:szCs w:val="21"/>
                      <w:highlight w:val="none"/>
                      <w:lang w:val="en-US" w:eastAsia="zh-CN"/>
                    </w:rPr>
                    <w:t>不在管控要求所列地块内</w:t>
                  </w:r>
                </w:p>
              </w:tc>
              <w:tc>
                <w:tcPr>
                  <w:tcW w:w="720" w:type="dxa"/>
                  <w:vAlign w:val="center"/>
                </w:tcPr>
                <w:p w14:paraId="73B9CDDD">
                  <w:pPr>
                    <w:jc w:val="center"/>
                    <w:rPr>
                      <w:strike w:val="0"/>
                      <w:dstrike w:val="0"/>
                      <w:color w:val="auto"/>
                      <w:szCs w:val="21"/>
                      <w:highlight w:val="none"/>
                    </w:rPr>
                  </w:pPr>
                  <w:r>
                    <w:rPr>
                      <w:strike w:val="0"/>
                      <w:dstrike w:val="0"/>
                      <w:color w:val="auto"/>
                      <w:szCs w:val="21"/>
                      <w:highlight w:val="none"/>
                    </w:rPr>
                    <w:t>符合</w:t>
                  </w:r>
                </w:p>
              </w:tc>
            </w:tr>
            <w:tr w14:paraId="5A1C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065" w:type="dxa"/>
                  <w:vAlign w:val="center"/>
                </w:tcPr>
                <w:p w14:paraId="4C98BADB">
                  <w:pPr>
                    <w:pStyle w:val="33"/>
                    <w:shd w:val="clear" w:color="auto" w:fill="auto"/>
                    <w:spacing w:line="240" w:lineRule="auto"/>
                    <w:ind w:firstLine="0"/>
                    <w:jc w:val="center"/>
                    <w:rPr>
                      <w:rFonts w:ascii="Times New Roman" w:hAnsi="Times New Roman" w:eastAsia="宋体"/>
                      <w:bCs w:val="0"/>
                      <w:strike w:val="0"/>
                      <w:dstrike w:val="0"/>
                      <w:color w:val="auto"/>
                      <w:sz w:val="21"/>
                      <w:szCs w:val="21"/>
                      <w:highlight w:val="none"/>
                    </w:rPr>
                  </w:pPr>
                  <w:r>
                    <w:rPr>
                      <w:rStyle w:val="34"/>
                      <w:rFonts w:ascii="Times New Roman" w:hAnsi="Times New Roman" w:eastAsia="宋体" w:cs="Times New Roman"/>
                      <w:b w:val="0"/>
                      <w:bCs/>
                      <w:strike w:val="0"/>
                      <w:dstrike w:val="0"/>
                      <w:color w:val="auto"/>
                      <w:sz w:val="21"/>
                      <w:szCs w:val="21"/>
                      <w:highlight w:val="none"/>
                      <w:lang w:val="zh-TW"/>
                    </w:rPr>
                    <w:t>(</w:t>
                  </w:r>
                  <w:r>
                    <w:rPr>
                      <w:rFonts w:ascii="Times New Roman" w:hAnsi="Times New Roman" w:eastAsia="宋体"/>
                      <w:b w:val="0"/>
                      <w:strike w:val="0"/>
                      <w:dstrike w:val="0"/>
                      <w:color w:val="auto"/>
                      <w:sz w:val="21"/>
                      <w:szCs w:val="21"/>
                      <w:highlight w:val="none"/>
                      <w:lang w:val="zh-TW"/>
                    </w:rPr>
                    <w:t>二）严格建设项目环境准入</w:t>
                  </w:r>
                </w:p>
              </w:tc>
              <w:tc>
                <w:tcPr>
                  <w:tcW w:w="4085" w:type="dxa"/>
                  <w:vAlign w:val="center"/>
                </w:tcPr>
                <w:p w14:paraId="5FD62B69">
                  <w:pPr>
                    <w:jc w:val="left"/>
                    <w:rPr>
                      <w:bCs/>
                      <w:strike w:val="0"/>
                      <w:dstrike w:val="0"/>
                      <w:color w:val="auto"/>
                      <w:szCs w:val="21"/>
                      <w:highlight w:val="none"/>
                    </w:rPr>
                  </w:pPr>
                  <w:r>
                    <w:rPr>
                      <w:bCs/>
                      <w:strike w:val="0"/>
                      <w:dstrike w:val="0"/>
                      <w:color w:val="auto"/>
                      <w:szCs w:val="21"/>
                      <w:highlight w:val="none"/>
                      <w:lang w:val="zh-TW"/>
                    </w:rPr>
                    <w:t>强化规划环评与合川区“三线一单</w:t>
                  </w:r>
                  <w:r>
                    <w:rPr>
                      <w:rFonts w:hint="eastAsia"/>
                      <w:bCs/>
                      <w:strike w:val="0"/>
                      <w:dstrike w:val="0"/>
                      <w:color w:val="auto"/>
                      <w:szCs w:val="21"/>
                      <w:highlight w:val="none"/>
                      <w:lang w:val="zh-TW"/>
                    </w:rPr>
                    <w:t>”</w:t>
                  </w:r>
                  <w:r>
                    <w:rPr>
                      <w:bCs/>
                      <w:strike w:val="0"/>
                      <w:dstrike w:val="0"/>
                      <w:color w:val="auto"/>
                      <w:szCs w:val="21"/>
                      <w:highlight w:val="none"/>
                      <w:lang w:val="zh-TW"/>
                    </w:rPr>
                    <w:t>的联动，规划区应优化产业发展方向，落实环境准入清单，严格建设项目环境准入。坚持源头防控，倡导循环经济，提高清洁生产水平，从源头控制和减少污染物的产生量和排放量，按照清洁生产标准要求，不断提升工业企业的清洁生产水平，新建、改扩建项目清洁生产水平应达到国内先进水平。</w:t>
                  </w:r>
                </w:p>
              </w:tc>
              <w:tc>
                <w:tcPr>
                  <w:tcW w:w="1800" w:type="dxa"/>
                  <w:vAlign w:val="center"/>
                </w:tcPr>
                <w:p w14:paraId="13BA6D22">
                  <w:pPr>
                    <w:pStyle w:val="44"/>
                    <w:jc w:val="both"/>
                    <w:rPr>
                      <w:strike w:val="0"/>
                      <w:dstrike w:val="0"/>
                      <w:color w:val="auto"/>
                      <w:sz w:val="21"/>
                      <w:szCs w:val="21"/>
                      <w:highlight w:val="none"/>
                    </w:rPr>
                  </w:pPr>
                  <w:r>
                    <w:rPr>
                      <w:strike w:val="0"/>
                      <w:dstrike w:val="0"/>
                      <w:color w:val="auto"/>
                      <w:sz w:val="21"/>
                      <w:szCs w:val="21"/>
                      <w:highlight w:val="none"/>
                    </w:rPr>
                    <w:t>项目不属于工业企业，</w:t>
                  </w:r>
                  <w:r>
                    <w:rPr>
                      <w:rFonts w:hint="eastAsia"/>
                      <w:strike w:val="0"/>
                      <w:dstrike w:val="0"/>
                      <w:color w:val="auto"/>
                      <w:sz w:val="21"/>
                      <w:szCs w:val="21"/>
                      <w:highlight w:val="none"/>
                      <w:lang w:eastAsia="zh-CN"/>
                    </w:rPr>
                    <w:t>属于机动车燃油、燃气零售项目</w:t>
                  </w:r>
                  <w:r>
                    <w:rPr>
                      <w:strike w:val="0"/>
                      <w:dstrike w:val="0"/>
                      <w:color w:val="auto"/>
                      <w:sz w:val="21"/>
                      <w:szCs w:val="21"/>
                      <w:highlight w:val="none"/>
                    </w:rPr>
                    <w:t>，符合规划环评生态环境准入清单</w:t>
                  </w:r>
                </w:p>
              </w:tc>
              <w:tc>
                <w:tcPr>
                  <w:tcW w:w="720" w:type="dxa"/>
                  <w:vAlign w:val="center"/>
                </w:tcPr>
                <w:p w14:paraId="4AFBED81">
                  <w:pPr>
                    <w:jc w:val="center"/>
                    <w:rPr>
                      <w:strike w:val="0"/>
                      <w:dstrike w:val="0"/>
                      <w:color w:val="auto"/>
                      <w:highlight w:val="none"/>
                    </w:rPr>
                  </w:pPr>
                  <w:r>
                    <w:rPr>
                      <w:strike w:val="0"/>
                      <w:dstrike w:val="0"/>
                      <w:color w:val="auto"/>
                      <w:szCs w:val="21"/>
                      <w:highlight w:val="none"/>
                    </w:rPr>
                    <w:t>符合</w:t>
                  </w:r>
                </w:p>
              </w:tc>
            </w:tr>
            <w:tr w14:paraId="003C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065" w:type="dxa"/>
                  <w:vAlign w:val="center"/>
                </w:tcPr>
                <w:p w14:paraId="24F5384F">
                  <w:pPr>
                    <w:pStyle w:val="33"/>
                    <w:shd w:val="clear" w:color="auto" w:fill="auto"/>
                    <w:spacing w:line="240" w:lineRule="auto"/>
                    <w:ind w:firstLine="0"/>
                    <w:jc w:val="center"/>
                    <w:rPr>
                      <w:rFonts w:ascii="Times New Roman" w:hAnsi="Times New Roman" w:eastAsia="宋体"/>
                      <w:b w:val="0"/>
                      <w:strike w:val="0"/>
                      <w:dstrike w:val="0"/>
                      <w:color w:val="auto"/>
                      <w:sz w:val="21"/>
                      <w:szCs w:val="21"/>
                      <w:highlight w:val="none"/>
                    </w:rPr>
                  </w:pPr>
                  <w:r>
                    <w:rPr>
                      <w:rStyle w:val="34"/>
                      <w:rFonts w:ascii="Times New Roman" w:hAnsi="Times New Roman" w:eastAsia="宋体" w:cs="Times New Roman"/>
                      <w:b w:val="0"/>
                      <w:bCs/>
                      <w:strike w:val="0"/>
                      <w:dstrike w:val="0"/>
                      <w:color w:val="auto"/>
                      <w:sz w:val="21"/>
                      <w:szCs w:val="21"/>
                      <w:highlight w:val="none"/>
                      <w:lang w:val="zh-TW"/>
                    </w:rPr>
                    <w:t>(</w:t>
                  </w:r>
                  <w:r>
                    <w:rPr>
                      <w:rFonts w:ascii="Times New Roman" w:hAnsi="Times New Roman" w:eastAsia="宋体"/>
                      <w:b w:val="0"/>
                      <w:strike w:val="0"/>
                      <w:dstrike w:val="0"/>
                      <w:color w:val="auto"/>
                      <w:sz w:val="21"/>
                      <w:szCs w:val="21"/>
                      <w:highlight w:val="none"/>
                      <w:lang w:val="zh-TW"/>
                    </w:rPr>
                    <w:t>三）加强大气污染防治。</w:t>
                  </w:r>
                </w:p>
              </w:tc>
              <w:tc>
                <w:tcPr>
                  <w:tcW w:w="4085" w:type="dxa"/>
                  <w:vAlign w:val="center"/>
                </w:tcPr>
                <w:p w14:paraId="1DC2E5EC">
                  <w:pPr>
                    <w:jc w:val="left"/>
                    <w:rPr>
                      <w:bCs/>
                      <w:strike w:val="0"/>
                      <w:dstrike w:val="0"/>
                      <w:color w:val="auto"/>
                      <w:szCs w:val="21"/>
                      <w:highlight w:val="none"/>
                    </w:rPr>
                  </w:pPr>
                  <w:r>
                    <w:rPr>
                      <w:bCs/>
                      <w:strike w:val="0"/>
                      <w:dstrike w:val="0"/>
                      <w:color w:val="auto"/>
                      <w:szCs w:val="21"/>
                      <w:highlight w:val="none"/>
                      <w:lang w:val="zh-TW"/>
                    </w:rPr>
                    <w:t>入区项目严格落实清洁能源计划和源头控制，禁止燃煤，推动燃气锅炉低氮改造。加强垃圾转运站恶臭废气治理，提高垃圾转运频率，减少垃圾滞留时间，开展转运站及垃圾运输车冲洗保洁；加强VOCs排放项目的源头控制，使用低（无）VOCs含量的原辅料，加强废气收集，安装高效治理设施；严格落实氟化物等废气治理措施；废气排放达标率100%。严格控制无组织排放，杜绝臭气扰民。</w:t>
                  </w:r>
                </w:p>
              </w:tc>
              <w:tc>
                <w:tcPr>
                  <w:tcW w:w="1800" w:type="dxa"/>
                  <w:vAlign w:val="center"/>
                </w:tcPr>
                <w:p w14:paraId="443BDBBD">
                  <w:pPr>
                    <w:rPr>
                      <w:bCs/>
                      <w:strike w:val="0"/>
                      <w:dstrike w:val="0"/>
                      <w:color w:val="auto"/>
                      <w:szCs w:val="21"/>
                      <w:highlight w:val="none"/>
                    </w:rPr>
                  </w:pPr>
                  <w:r>
                    <w:rPr>
                      <w:rFonts w:hint="eastAsia"/>
                      <w:bCs/>
                      <w:strike w:val="0"/>
                      <w:dstrike w:val="0"/>
                      <w:color w:val="auto"/>
                      <w:szCs w:val="21"/>
                      <w:highlight w:val="none"/>
                      <w:lang w:eastAsia="zh-CN"/>
                    </w:rPr>
                    <w:t>本项目属于机动车燃油、燃气零售项目</w:t>
                  </w:r>
                  <w:r>
                    <w:rPr>
                      <w:strike w:val="0"/>
                      <w:dstrike w:val="0"/>
                      <w:color w:val="auto"/>
                      <w:szCs w:val="21"/>
                      <w:highlight w:val="none"/>
                    </w:rPr>
                    <w:t>，</w:t>
                  </w:r>
                  <w:r>
                    <w:rPr>
                      <w:bCs/>
                      <w:strike w:val="0"/>
                      <w:dstrike w:val="0"/>
                      <w:color w:val="auto"/>
                      <w:szCs w:val="21"/>
                      <w:highlight w:val="none"/>
                    </w:rPr>
                    <w:t>产生的废气经油气回收装置处理达标后排放</w:t>
                  </w:r>
                </w:p>
              </w:tc>
              <w:tc>
                <w:tcPr>
                  <w:tcW w:w="720" w:type="dxa"/>
                  <w:vAlign w:val="center"/>
                </w:tcPr>
                <w:p w14:paraId="5267B6FB">
                  <w:pPr>
                    <w:jc w:val="center"/>
                    <w:rPr>
                      <w:bCs/>
                      <w:strike w:val="0"/>
                      <w:dstrike w:val="0"/>
                      <w:color w:val="auto"/>
                      <w:szCs w:val="21"/>
                      <w:highlight w:val="none"/>
                    </w:rPr>
                  </w:pPr>
                  <w:r>
                    <w:rPr>
                      <w:strike w:val="0"/>
                      <w:dstrike w:val="0"/>
                      <w:color w:val="auto"/>
                      <w:szCs w:val="21"/>
                      <w:highlight w:val="none"/>
                    </w:rPr>
                    <w:t>符合</w:t>
                  </w:r>
                </w:p>
              </w:tc>
            </w:tr>
            <w:tr w14:paraId="7332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065" w:type="dxa"/>
                  <w:vAlign w:val="center"/>
                </w:tcPr>
                <w:p w14:paraId="06DE0687">
                  <w:pPr>
                    <w:pStyle w:val="33"/>
                    <w:shd w:val="clear" w:color="auto" w:fill="auto"/>
                    <w:spacing w:line="240" w:lineRule="auto"/>
                    <w:ind w:firstLine="0"/>
                    <w:jc w:val="center"/>
                    <w:rPr>
                      <w:rFonts w:ascii="Times New Roman" w:hAnsi="Times New Roman" w:eastAsia="宋体"/>
                      <w:b w:val="0"/>
                      <w:strike w:val="0"/>
                      <w:dstrike w:val="0"/>
                      <w:color w:val="auto"/>
                      <w:sz w:val="21"/>
                      <w:szCs w:val="21"/>
                      <w:highlight w:val="none"/>
                    </w:rPr>
                  </w:pPr>
                  <w:r>
                    <w:rPr>
                      <w:rStyle w:val="34"/>
                      <w:rFonts w:ascii="Times New Roman" w:hAnsi="Times New Roman" w:eastAsia="宋体" w:cs="Times New Roman"/>
                      <w:b w:val="0"/>
                      <w:bCs/>
                      <w:strike w:val="0"/>
                      <w:dstrike w:val="0"/>
                      <w:color w:val="auto"/>
                      <w:sz w:val="21"/>
                      <w:szCs w:val="21"/>
                      <w:highlight w:val="none"/>
                    </w:rPr>
                    <w:t>(</w:t>
                  </w:r>
                  <w:r>
                    <w:rPr>
                      <w:rFonts w:ascii="Times New Roman" w:hAnsi="Times New Roman" w:eastAsia="宋体"/>
                      <w:b w:val="0"/>
                      <w:strike w:val="0"/>
                      <w:dstrike w:val="0"/>
                      <w:color w:val="auto"/>
                      <w:sz w:val="21"/>
                      <w:szCs w:val="21"/>
                      <w:highlight w:val="none"/>
                      <w:lang w:val="zh-TW"/>
                    </w:rPr>
                    <w:t>四</w:t>
                  </w:r>
                  <w:r>
                    <w:rPr>
                      <w:rFonts w:ascii="Times New Roman" w:hAnsi="Times New Roman" w:eastAsia="宋体"/>
                      <w:b w:val="0"/>
                      <w:strike w:val="0"/>
                      <w:dstrike w:val="0"/>
                      <w:color w:val="auto"/>
                      <w:sz w:val="21"/>
                      <w:szCs w:val="21"/>
                      <w:highlight w:val="none"/>
                    </w:rPr>
                    <w:t>）</w:t>
                  </w:r>
                  <w:r>
                    <w:rPr>
                      <w:rFonts w:ascii="Times New Roman" w:hAnsi="Times New Roman" w:eastAsia="宋体"/>
                      <w:b w:val="0"/>
                      <w:strike w:val="0"/>
                      <w:dstrike w:val="0"/>
                      <w:color w:val="auto"/>
                      <w:sz w:val="21"/>
                      <w:szCs w:val="21"/>
                      <w:highlight w:val="none"/>
                      <w:lang w:val="zh-TW"/>
                    </w:rPr>
                    <w:t>抓好水污染防治</w:t>
                  </w:r>
                </w:p>
              </w:tc>
              <w:tc>
                <w:tcPr>
                  <w:tcW w:w="4085" w:type="dxa"/>
                  <w:vAlign w:val="center"/>
                </w:tcPr>
                <w:p w14:paraId="2E75D59F">
                  <w:pPr>
                    <w:rPr>
                      <w:bCs/>
                      <w:strike w:val="0"/>
                      <w:dstrike w:val="0"/>
                      <w:color w:val="auto"/>
                      <w:szCs w:val="21"/>
                      <w:highlight w:val="none"/>
                    </w:rPr>
                  </w:pPr>
                  <w:r>
                    <w:rPr>
                      <w:bCs/>
                      <w:strike w:val="0"/>
                      <w:dstrike w:val="0"/>
                      <w:color w:val="auto"/>
                      <w:szCs w:val="21"/>
                      <w:highlight w:val="none"/>
                    </w:rPr>
                    <w:t>加快实施流域综合整治工程，确保柏水溪满足相应标准要求。加快银翔新城污水处理厂提标改造工程的建设，争取早日投运；加快微车基地污水处理厂及管网建设，该污水处理厂投运前其服务范围内新、改、扩建项目禁止投运；视实际开发情况适时启动银翔新城污水处理厂、微车基地污水处理厂的扩建，根据地表水水质实际状况和环境质量底线，适时决定银翔新城污水处理厂、微车基地污水处理厂是否按准《地表水环境质量标准》(GB3838-2002) )Ⅳ类标准进行提标改造。根据实际开发情况、地表水水质实际状况和环境质量底线适时启动土场生活污水处理厂、清平生活污水处理厂的扩建及提标改造工程。</w:t>
                  </w:r>
                </w:p>
              </w:tc>
              <w:tc>
                <w:tcPr>
                  <w:tcW w:w="1800" w:type="dxa"/>
                  <w:vAlign w:val="center"/>
                </w:tcPr>
                <w:p w14:paraId="1C03DDBA">
                  <w:pPr>
                    <w:rPr>
                      <w:rFonts w:hint="eastAsia" w:eastAsia="宋体"/>
                      <w:bCs/>
                      <w:strike w:val="0"/>
                      <w:dstrike w:val="0"/>
                      <w:color w:val="auto"/>
                      <w:szCs w:val="21"/>
                      <w:highlight w:val="none"/>
                      <w:lang w:eastAsia="zh-CN"/>
                    </w:rPr>
                  </w:pPr>
                  <w:r>
                    <w:rPr>
                      <w:bCs/>
                      <w:strike w:val="0"/>
                      <w:dstrike w:val="0"/>
                      <w:color w:val="auto"/>
                      <w:szCs w:val="21"/>
                      <w:highlight w:val="none"/>
                    </w:rPr>
                    <w:t>本项目</w:t>
                  </w:r>
                  <w:r>
                    <w:rPr>
                      <w:bCs/>
                      <w:strike w:val="0"/>
                      <w:dstrike w:val="0"/>
                      <w:color w:val="auto"/>
                      <w:szCs w:val="21"/>
                      <w:highlight w:val="none"/>
                      <w:lang w:val="zh-TW"/>
                    </w:rPr>
                    <w:t>废水经处理后</w:t>
                  </w:r>
                  <w:r>
                    <w:rPr>
                      <w:strike w:val="0"/>
                      <w:dstrike w:val="0"/>
                      <w:color w:val="auto"/>
                      <w:szCs w:val="21"/>
                      <w:highlight w:val="none"/>
                    </w:rPr>
                    <w:t>排入</w:t>
                  </w:r>
                  <w:r>
                    <w:rPr>
                      <w:rFonts w:hint="eastAsia"/>
                      <w:strike w:val="0"/>
                      <w:dstrike w:val="0"/>
                      <w:color w:val="auto"/>
                      <w:szCs w:val="21"/>
                      <w:highlight w:val="none"/>
                      <w:lang w:eastAsia="zh-CN"/>
                    </w:rPr>
                    <w:t>微车基地污水处理厂</w:t>
                  </w:r>
                </w:p>
              </w:tc>
              <w:tc>
                <w:tcPr>
                  <w:tcW w:w="720" w:type="dxa"/>
                  <w:vAlign w:val="center"/>
                </w:tcPr>
                <w:p w14:paraId="3296F86B">
                  <w:pPr>
                    <w:jc w:val="center"/>
                    <w:rPr>
                      <w:bCs/>
                      <w:strike w:val="0"/>
                      <w:dstrike w:val="0"/>
                      <w:color w:val="auto"/>
                      <w:szCs w:val="21"/>
                      <w:highlight w:val="none"/>
                    </w:rPr>
                  </w:pPr>
                  <w:r>
                    <w:rPr>
                      <w:strike w:val="0"/>
                      <w:dstrike w:val="0"/>
                      <w:color w:val="auto"/>
                      <w:szCs w:val="21"/>
                      <w:highlight w:val="none"/>
                    </w:rPr>
                    <w:t>符合</w:t>
                  </w:r>
                </w:p>
              </w:tc>
            </w:tr>
            <w:tr w14:paraId="0AAE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065" w:type="dxa"/>
                  <w:vAlign w:val="center"/>
                </w:tcPr>
                <w:p w14:paraId="343BD451">
                  <w:pPr>
                    <w:pStyle w:val="33"/>
                    <w:shd w:val="clear" w:color="auto" w:fill="auto"/>
                    <w:spacing w:line="240" w:lineRule="auto"/>
                    <w:ind w:firstLine="0"/>
                    <w:jc w:val="center"/>
                    <w:rPr>
                      <w:rFonts w:ascii="Times New Roman" w:hAnsi="Times New Roman" w:eastAsia="宋体"/>
                      <w:b w:val="0"/>
                      <w:strike w:val="0"/>
                      <w:dstrike w:val="0"/>
                      <w:color w:val="auto"/>
                      <w:sz w:val="21"/>
                      <w:szCs w:val="21"/>
                      <w:highlight w:val="none"/>
                    </w:rPr>
                  </w:pPr>
                  <w:r>
                    <w:rPr>
                      <w:rStyle w:val="34"/>
                      <w:rFonts w:ascii="Times New Roman" w:hAnsi="Times New Roman" w:eastAsia="宋体" w:cs="Times New Roman"/>
                      <w:b w:val="0"/>
                      <w:bCs/>
                      <w:strike w:val="0"/>
                      <w:dstrike w:val="0"/>
                      <w:color w:val="auto"/>
                      <w:sz w:val="21"/>
                      <w:szCs w:val="21"/>
                      <w:highlight w:val="none"/>
                      <w:lang w:val="zh-TW"/>
                    </w:rPr>
                    <w:t>(</w:t>
                  </w:r>
                  <w:r>
                    <w:rPr>
                      <w:rFonts w:ascii="Times New Roman" w:hAnsi="Times New Roman" w:eastAsia="宋体"/>
                      <w:b w:val="0"/>
                      <w:strike w:val="0"/>
                      <w:dstrike w:val="0"/>
                      <w:color w:val="auto"/>
                      <w:sz w:val="21"/>
                      <w:szCs w:val="21"/>
                      <w:highlight w:val="none"/>
                      <w:lang w:val="zh-TW"/>
                    </w:rPr>
                    <w:t>五）做好固体废物及土壤污染防控。</w:t>
                  </w:r>
                </w:p>
              </w:tc>
              <w:tc>
                <w:tcPr>
                  <w:tcW w:w="4085" w:type="dxa"/>
                  <w:vAlign w:val="center"/>
                </w:tcPr>
                <w:p w14:paraId="2B56D6BF">
                  <w:pPr>
                    <w:jc w:val="left"/>
                    <w:rPr>
                      <w:bCs/>
                      <w:strike w:val="0"/>
                      <w:dstrike w:val="0"/>
                      <w:color w:val="auto"/>
                      <w:szCs w:val="21"/>
                      <w:highlight w:val="none"/>
                    </w:rPr>
                  </w:pPr>
                  <w:r>
                    <w:rPr>
                      <w:bCs/>
                      <w:strike w:val="0"/>
                      <w:dstrike w:val="0"/>
                      <w:color w:val="auto"/>
                      <w:szCs w:val="21"/>
                      <w:highlight w:val="none"/>
                    </w:rPr>
                    <w:t>一般工业固体废物以综合利用为主。危险废物应当委托具有相应危险废物经营资质的单位进行处置，并严格按照危险废物管理有关规定进行收集和贮存。对可能造成土壤环境影响的企业要严格按照“土十条</w:t>
                  </w:r>
                  <w:r>
                    <w:rPr>
                      <w:rFonts w:hint="eastAsia"/>
                      <w:bCs/>
                      <w:strike w:val="0"/>
                      <w:dstrike w:val="0"/>
                      <w:color w:val="auto"/>
                      <w:szCs w:val="21"/>
                      <w:highlight w:val="none"/>
                    </w:rPr>
                    <w:t>”</w:t>
                  </w:r>
                  <w:r>
                    <w:rPr>
                      <w:bCs/>
                      <w:strike w:val="0"/>
                      <w:dstrike w:val="0"/>
                      <w:color w:val="auto"/>
                      <w:szCs w:val="21"/>
                      <w:highlight w:val="none"/>
                    </w:rPr>
                    <w:t>要求落实污染防治措施，避免对土壤和地下水造成污染。规划区工业企业关闭或搬迁，土地再开发利用前，应按照国家和我市有关规定开展场地环境风险调查评估，并视评估结果，实施污染场地治理修复工作。</w:t>
                  </w:r>
                </w:p>
              </w:tc>
              <w:tc>
                <w:tcPr>
                  <w:tcW w:w="1800" w:type="dxa"/>
                  <w:vAlign w:val="center"/>
                </w:tcPr>
                <w:p w14:paraId="43928F2B">
                  <w:pPr>
                    <w:rPr>
                      <w:bCs/>
                      <w:strike w:val="0"/>
                      <w:dstrike w:val="0"/>
                      <w:color w:val="auto"/>
                      <w:szCs w:val="21"/>
                      <w:highlight w:val="none"/>
                    </w:rPr>
                  </w:pPr>
                  <w:r>
                    <w:rPr>
                      <w:bCs/>
                      <w:strike w:val="0"/>
                      <w:dstrike w:val="0"/>
                      <w:color w:val="auto"/>
                      <w:szCs w:val="21"/>
                      <w:highlight w:val="none"/>
                      <w:lang w:val="zh-TW"/>
                    </w:rPr>
                    <w:t>本项目产生的危废交给有资质单位</w:t>
                  </w:r>
                  <w:r>
                    <w:rPr>
                      <w:bCs/>
                      <w:strike w:val="0"/>
                      <w:dstrike w:val="0"/>
                      <w:color w:val="auto"/>
                      <w:szCs w:val="21"/>
                      <w:highlight w:val="none"/>
                    </w:rPr>
                    <w:t>处置</w:t>
                  </w:r>
                  <w:r>
                    <w:rPr>
                      <w:rFonts w:hint="eastAsia"/>
                      <w:bCs/>
                      <w:strike w:val="0"/>
                      <w:dstrike w:val="0"/>
                      <w:color w:val="auto"/>
                      <w:szCs w:val="21"/>
                      <w:highlight w:val="none"/>
                      <w:lang w:val="zh-TW"/>
                    </w:rPr>
                    <w:t>，</w:t>
                  </w:r>
                  <w:r>
                    <w:rPr>
                      <w:strike w:val="0"/>
                      <w:dstrike w:val="0"/>
                      <w:color w:val="auto"/>
                      <w:szCs w:val="21"/>
                      <w:highlight w:val="none"/>
                    </w:rPr>
                    <w:t>过滤</w:t>
                  </w:r>
                  <w:r>
                    <w:rPr>
                      <w:strike w:val="0"/>
                      <w:dstrike w:val="0"/>
                      <w:color w:val="auto"/>
                      <w:kern w:val="0"/>
                      <w:szCs w:val="21"/>
                      <w:highlight w:val="none"/>
                    </w:rPr>
                    <w:t>杂质</w:t>
                  </w:r>
                  <w:r>
                    <w:rPr>
                      <w:strike w:val="0"/>
                      <w:dstrike w:val="0"/>
                      <w:color w:val="auto"/>
                      <w:szCs w:val="21"/>
                      <w:highlight w:val="none"/>
                    </w:rPr>
                    <w:t>由环卫部门清运，</w:t>
                  </w:r>
                  <w:r>
                    <w:rPr>
                      <w:rStyle w:val="29"/>
                      <w:strike w:val="0"/>
                      <w:dstrike w:val="0"/>
                      <w:color w:val="auto"/>
                      <w:kern w:val="0"/>
                      <w:szCs w:val="21"/>
                      <w:highlight w:val="none"/>
                    </w:rPr>
                    <w:t>生化池</w:t>
                  </w:r>
                  <w:r>
                    <w:rPr>
                      <w:rStyle w:val="29"/>
                      <w:rFonts w:hint="eastAsia"/>
                      <w:strike w:val="0"/>
                      <w:dstrike w:val="0"/>
                      <w:color w:val="auto"/>
                      <w:kern w:val="0"/>
                      <w:szCs w:val="21"/>
                      <w:highlight w:val="none"/>
                    </w:rPr>
                    <w:t>污泥</w:t>
                  </w:r>
                  <w:r>
                    <w:rPr>
                      <w:rFonts w:hint="eastAsia"/>
                      <w:strike w:val="0"/>
                      <w:dstrike w:val="0"/>
                      <w:color w:val="auto"/>
                      <w:szCs w:val="21"/>
                      <w:highlight w:val="none"/>
                    </w:rPr>
                    <w:t>委托专业单位定期清掏处置，生活垃圾</w:t>
                  </w:r>
                  <w:r>
                    <w:rPr>
                      <w:strike w:val="0"/>
                      <w:dstrike w:val="0"/>
                      <w:color w:val="auto"/>
                      <w:szCs w:val="21"/>
                      <w:highlight w:val="none"/>
                    </w:rPr>
                    <w:t>交由环卫部门清运处理</w:t>
                  </w:r>
                  <w:r>
                    <w:rPr>
                      <w:rFonts w:hint="eastAsia"/>
                      <w:bCs/>
                      <w:strike w:val="0"/>
                      <w:dstrike w:val="0"/>
                      <w:color w:val="auto"/>
                      <w:szCs w:val="21"/>
                      <w:highlight w:val="none"/>
                      <w:lang w:val="zh-TW"/>
                    </w:rPr>
                    <w:t>；</w:t>
                  </w:r>
                  <w:r>
                    <w:rPr>
                      <w:bCs/>
                      <w:strike w:val="0"/>
                      <w:dstrike w:val="0"/>
                      <w:color w:val="auto"/>
                      <w:szCs w:val="21"/>
                      <w:highlight w:val="none"/>
                      <w:lang w:val="zh-TW"/>
                    </w:rPr>
                    <w:t>对固体废物进行分</w:t>
                  </w:r>
                  <w:r>
                    <w:rPr>
                      <w:bCs/>
                      <w:strike w:val="0"/>
                      <w:dstrike w:val="0"/>
                      <w:color w:val="auto"/>
                      <w:szCs w:val="21"/>
                      <w:highlight w:val="none"/>
                    </w:rPr>
                    <w:t>类</w:t>
                  </w:r>
                  <w:r>
                    <w:rPr>
                      <w:bCs/>
                      <w:strike w:val="0"/>
                      <w:dstrike w:val="0"/>
                      <w:color w:val="auto"/>
                      <w:szCs w:val="21"/>
                      <w:highlight w:val="none"/>
                      <w:lang w:val="zh-TW"/>
                    </w:rPr>
                    <w:t>收集，分</w:t>
                  </w:r>
                  <w:r>
                    <w:rPr>
                      <w:bCs/>
                      <w:strike w:val="0"/>
                      <w:dstrike w:val="0"/>
                      <w:color w:val="auto"/>
                      <w:szCs w:val="21"/>
                      <w:highlight w:val="none"/>
                    </w:rPr>
                    <w:t>类</w:t>
                  </w:r>
                  <w:r>
                    <w:rPr>
                      <w:bCs/>
                      <w:strike w:val="0"/>
                      <w:dstrike w:val="0"/>
                      <w:color w:val="auto"/>
                      <w:szCs w:val="21"/>
                      <w:highlight w:val="none"/>
                      <w:lang w:val="zh-TW"/>
                    </w:rPr>
                    <w:t>处置，满足相关要求</w:t>
                  </w:r>
                </w:p>
              </w:tc>
              <w:tc>
                <w:tcPr>
                  <w:tcW w:w="720" w:type="dxa"/>
                  <w:vAlign w:val="center"/>
                </w:tcPr>
                <w:p w14:paraId="1596B036">
                  <w:pPr>
                    <w:jc w:val="center"/>
                    <w:rPr>
                      <w:bCs/>
                      <w:strike w:val="0"/>
                      <w:dstrike w:val="0"/>
                      <w:color w:val="auto"/>
                      <w:szCs w:val="21"/>
                      <w:highlight w:val="none"/>
                      <w:lang w:val="zh-TW"/>
                    </w:rPr>
                  </w:pPr>
                  <w:r>
                    <w:rPr>
                      <w:strike w:val="0"/>
                      <w:dstrike w:val="0"/>
                      <w:color w:val="auto"/>
                      <w:szCs w:val="21"/>
                      <w:highlight w:val="none"/>
                    </w:rPr>
                    <w:t>符合</w:t>
                  </w:r>
                </w:p>
              </w:tc>
            </w:tr>
            <w:tr w14:paraId="19FA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065" w:type="dxa"/>
                  <w:vAlign w:val="center"/>
                </w:tcPr>
                <w:p w14:paraId="2AC44ABF">
                  <w:pPr>
                    <w:pStyle w:val="33"/>
                    <w:shd w:val="clear" w:color="auto" w:fill="auto"/>
                    <w:spacing w:line="240" w:lineRule="auto"/>
                    <w:ind w:firstLine="0"/>
                    <w:jc w:val="center"/>
                    <w:rPr>
                      <w:rFonts w:ascii="Times New Roman" w:hAnsi="Times New Roman" w:eastAsia="宋体"/>
                      <w:b w:val="0"/>
                      <w:strike w:val="0"/>
                      <w:dstrike w:val="0"/>
                      <w:color w:val="auto"/>
                      <w:sz w:val="21"/>
                      <w:szCs w:val="21"/>
                      <w:highlight w:val="none"/>
                    </w:rPr>
                  </w:pPr>
                  <w:r>
                    <w:rPr>
                      <w:rStyle w:val="34"/>
                      <w:rFonts w:ascii="Times New Roman" w:hAnsi="Times New Roman" w:eastAsia="宋体" w:cs="Times New Roman"/>
                      <w:b w:val="0"/>
                      <w:bCs/>
                      <w:strike w:val="0"/>
                      <w:dstrike w:val="0"/>
                      <w:color w:val="auto"/>
                      <w:sz w:val="21"/>
                      <w:szCs w:val="21"/>
                      <w:highlight w:val="none"/>
                      <w:lang w:val="zh-TW"/>
                    </w:rPr>
                    <w:t>(</w:t>
                  </w:r>
                  <w:r>
                    <w:rPr>
                      <w:rFonts w:ascii="Times New Roman" w:hAnsi="Times New Roman" w:eastAsia="宋体"/>
                      <w:b w:val="0"/>
                      <w:strike w:val="0"/>
                      <w:dstrike w:val="0"/>
                      <w:color w:val="auto"/>
                      <w:sz w:val="21"/>
                      <w:szCs w:val="21"/>
                      <w:highlight w:val="none"/>
                      <w:lang w:val="zh-TW"/>
                    </w:rPr>
                    <w:t>六）强化噪声污染防控。</w:t>
                  </w:r>
                </w:p>
              </w:tc>
              <w:tc>
                <w:tcPr>
                  <w:tcW w:w="4085" w:type="dxa"/>
                  <w:vAlign w:val="center"/>
                </w:tcPr>
                <w:p w14:paraId="7A8DE30C">
                  <w:pPr>
                    <w:jc w:val="left"/>
                    <w:rPr>
                      <w:bCs/>
                      <w:strike w:val="0"/>
                      <w:dstrike w:val="0"/>
                      <w:color w:val="auto"/>
                      <w:szCs w:val="21"/>
                      <w:highlight w:val="none"/>
                    </w:rPr>
                  </w:pPr>
                  <w:r>
                    <w:rPr>
                      <w:bCs/>
                      <w:strike w:val="0"/>
                      <w:dstrike w:val="0"/>
                      <w:color w:val="auto"/>
                      <w:szCs w:val="21"/>
                      <w:highlight w:val="none"/>
                      <w:lang w:val="zh-TW"/>
                    </w:rPr>
                    <w:t>合理布局噪声源，加强规划区企业噪声治理，采用低噪声设备，采取消声、隔声、</w:t>
                  </w:r>
                  <w:r>
                    <w:rPr>
                      <w:rFonts w:hint="eastAsia"/>
                      <w:bCs/>
                      <w:strike w:val="0"/>
                      <w:dstrike w:val="0"/>
                      <w:color w:val="auto"/>
                      <w:szCs w:val="21"/>
                      <w:highlight w:val="none"/>
                      <w:lang w:val="zh-TW" w:eastAsia="zh-CN"/>
                    </w:rPr>
                    <w:t>减振</w:t>
                  </w:r>
                  <w:r>
                    <w:rPr>
                      <w:bCs/>
                      <w:strike w:val="0"/>
                      <w:dstrike w:val="0"/>
                      <w:color w:val="auto"/>
                      <w:szCs w:val="21"/>
                      <w:highlight w:val="none"/>
                      <w:lang w:val="zh-TW"/>
                    </w:rPr>
                    <w:t>等措施，确保厂界噪声达标，尽量减少对周边居民的影响。</w:t>
                  </w:r>
                </w:p>
              </w:tc>
              <w:tc>
                <w:tcPr>
                  <w:tcW w:w="1800" w:type="dxa"/>
                  <w:vAlign w:val="center"/>
                </w:tcPr>
                <w:p w14:paraId="2FC85B59">
                  <w:pPr>
                    <w:rPr>
                      <w:bCs/>
                      <w:strike w:val="0"/>
                      <w:dstrike w:val="0"/>
                      <w:color w:val="auto"/>
                      <w:szCs w:val="21"/>
                      <w:highlight w:val="none"/>
                    </w:rPr>
                  </w:pPr>
                  <w:r>
                    <w:rPr>
                      <w:bCs/>
                      <w:strike w:val="0"/>
                      <w:dstrike w:val="0"/>
                      <w:color w:val="auto"/>
                      <w:szCs w:val="21"/>
                      <w:highlight w:val="none"/>
                    </w:rPr>
                    <w:t>本</w:t>
                  </w:r>
                  <w:r>
                    <w:rPr>
                      <w:bCs/>
                      <w:strike w:val="0"/>
                      <w:dstrike w:val="0"/>
                      <w:color w:val="auto"/>
                      <w:szCs w:val="21"/>
                      <w:highlight w:val="none"/>
                      <w:lang w:val="zh-TW"/>
                    </w:rPr>
                    <w:t>项目采取隔声、减振等措施，确保厂界噪声达标</w:t>
                  </w:r>
                </w:p>
              </w:tc>
              <w:tc>
                <w:tcPr>
                  <w:tcW w:w="720" w:type="dxa"/>
                  <w:vAlign w:val="center"/>
                </w:tcPr>
                <w:p w14:paraId="6CB21403">
                  <w:pPr>
                    <w:jc w:val="center"/>
                    <w:rPr>
                      <w:bCs/>
                      <w:strike w:val="0"/>
                      <w:dstrike w:val="0"/>
                      <w:color w:val="auto"/>
                      <w:szCs w:val="21"/>
                      <w:highlight w:val="none"/>
                      <w:lang w:val="zh-TW"/>
                    </w:rPr>
                  </w:pPr>
                  <w:r>
                    <w:rPr>
                      <w:strike w:val="0"/>
                      <w:dstrike w:val="0"/>
                      <w:color w:val="auto"/>
                      <w:szCs w:val="21"/>
                      <w:highlight w:val="none"/>
                    </w:rPr>
                    <w:t>符合</w:t>
                  </w:r>
                </w:p>
              </w:tc>
            </w:tr>
            <w:tr w14:paraId="613D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065" w:type="dxa"/>
                  <w:vAlign w:val="center"/>
                </w:tcPr>
                <w:p w14:paraId="4AC0403B">
                  <w:pPr>
                    <w:pStyle w:val="33"/>
                    <w:shd w:val="clear" w:color="auto" w:fill="auto"/>
                    <w:spacing w:line="240" w:lineRule="auto"/>
                    <w:ind w:firstLine="0"/>
                    <w:jc w:val="center"/>
                    <w:rPr>
                      <w:rFonts w:ascii="Times New Roman" w:hAnsi="Times New Roman" w:eastAsia="宋体"/>
                      <w:b w:val="0"/>
                      <w:strike w:val="0"/>
                      <w:dstrike w:val="0"/>
                      <w:color w:val="auto"/>
                      <w:sz w:val="21"/>
                      <w:szCs w:val="21"/>
                      <w:highlight w:val="none"/>
                    </w:rPr>
                  </w:pPr>
                  <w:r>
                    <w:rPr>
                      <w:rStyle w:val="34"/>
                      <w:rFonts w:ascii="Times New Roman" w:hAnsi="Times New Roman" w:eastAsia="宋体" w:cs="Times New Roman"/>
                      <w:b w:val="0"/>
                      <w:bCs/>
                      <w:strike w:val="0"/>
                      <w:dstrike w:val="0"/>
                      <w:color w:val="auto"/>
                      <w:sz w:val="21"/>
                      <w:szCs w:val="21"/>
                      <w:highlight w:val="none"/>
                      <w:lang w:val="zh-TW"/>
                    </w:rPr>
                    <w:t>(</w:t>
                  </w:r>
                  <w:r>
                    <w:rPr>
                      <w:rFonts w:ascii="Times New Roman" w:hAnsi="Times New Roman" w:eastAsia="宋体"/>
                      <w:b w:val="0"/>
                      <w:strike w:val="0"/>
                      <w:dstrike w:val="0"/>
                      <w:color w:val="auto"/>
                      <w:sz w:val="21"/>
                      <w:szCs w:val="21"/>
                      <w:highlight w:val="none"/>
                      <w:lang w:val="zh-TW"/>
                    </w:rPr>
                    <w:t>七）强化环境风险防控。</w:t>
                  </w:r>
                </w:p>
              </w:tc>
              <w:tc>
                <w:tcPr>
                  <w:tcW w:w="4085" w:type="dxa"/>
                  <w:vAlign w:val="center"/>
                </w:tcPr>
                <w:p w14:paraId="2EBBFA61">
                  <w:pPr>
                    <w:jc w:val="left"/>
                    <w:rPr>
                      <w:bCs/>
                      <w:strike w:val="0"/>
                      <w:dstrike w:val="0"/>
                      <w:color w:val="auto"/>
                      <w:szCs w:val="21"/>
                      <w:highlight w:val="none"/>
                    </w:rPr>
                  </w:pPr>
                  <w:r>
                    <w:rPr>
                      <w:bCs/>
                      <w:strike w:val="0"/>
                      <w:dstrike w:val="0"/>
                      <w:color w:val="auto"/>
                      <w:szCs w:val="21"/>
                      <w:highlight w:val="none"/>
                      <w:lang w:val="zh-TW"/>
                    </w:rPr>
                    <w:t>相关企业尤其是涉及危化品的企业应严格落实各项环境风险防范措施，防范突发性环境风险事故发生。园区及其他工业片区应建立环境风险应急机制，制定环境风险应急预案，加强对企业环境风险源的监督管理。</w:t>
                  </w:r>
                </w:p>
              </w:tc>
              <w:tc>
                <w:tcPr>
                  <w:tcW w:w="1800" w:type="dxa"/>
                  <w:vAlign w:val="center"/>
                </w:tcPr>
                <w:p w14:paraId="14F30CDB">
                  <w:pPr>
                    <w:rPr>
                      <w:bCs/>
                      <w:strike w:val="0"/>
                      <w:dstrike w:val="0"/>
                      <w:color w:val="auto"/>
                      <w:szCs w:val="21"/>
                      <w:highlight w:val="none"/>
                    </w:rPr>
                  </w:pPr>
                  <w:r>
                    <w:rPr>
                      <w:bCs/>
                      <w:strike w:val="0"/>
                      <w:dstrike w:val="0"/>
                      <w:color w:val="auto"/>
                      <w:szCs w:val="21"/>
                      <w:highlight w:val="none"/>
                    </w:rPr>
                    <w:t>本项目</w:t>
                  </w:r>
                  <w:r>
                    <w:rPr>
                      <w:bCs/>
                      <w:strike w:val="0"/>
                      <w:dstrike w:val="0"/>
                      <w:color w:val="auto"/>
                      <w:szCs w:val="21"/>
                      <w:highlight w:val="none"/>
                      <w:lang w:val="zh-TW"/>
                    </w:rPr>
                    <w:t>严格落实各项环境风险防范措施，制定环境风险应急预案，加强环境风险源的监督管理，环境风险可控</w:t>
                  </w:r>
                </w:p>
              </w:tc>
              <w:tc>
                <w:tcPr>
                  <w:tcW w:w="720" w:type="dxa"/>
                  <w:vAlign w:val="center"/>
                </w:tcPr>
                <w:p w14:paraId="36A22DC7">
                  <w:pPr>
                    <w:jc w:val="center"/>
                    <w:rPr>
                      <w:bCs/>
                      <w:strike w:val="0"/>
                      <w:dstrike w:val="0"/>
                      <w:color w:val="auto"/>
                      <w:szCs w:val="21"/>
                      <w:highlight w:val="none"/>
                      <w:lang w:val="zh-TW"/>
                    </w:rPr>
                  </w:pPr>
                  <w:r>
                    <w:rPr>
                      <w:strike w:val="0"/>
                      <w:dstrike w:val="0"/>
                      <w:color w:val="auto"/>
                      <w:szCs w:val="21"/>
                      <w:highlight w:val="none"/>
                    </w:rPr>
                    <w:t>符合</w:t>
                  </w:r>
                </w:p>
              </w:tc>
            </w:tr>
          </w:tbl>
          <w:p w14:paraId="24D76A51">
            <w:pPr>
              <w:spacing w:line="360" w:lineRule="auto"/>
              <w:ind w:firstLine="480" w:firstLineChars="200"/>
              <w:rPr>
                <w:strike w:val="0"/>
                <w:dstrike w:val="0"/>
                <w:color w:val="auto"/>
                <w:highlight w:val="none"/>
              </w:rPr>
            </w:pPr>
            <w:r>
              <w:rPr>
                <w:strike w:val="0"/>
                <w:dstrike w:val="0"/>
                <w:color w:val="auto"/>
                <w:kern w:val="24"/>
                <w:sz w:val="24"/>
                <w:highlight w:val="none"/>
              </w:rPr>
              <w:t>由上表可知，本项目符合《重庆市合川区土场镇、清平镇总体规划环境影响报告书》审查意见的相关要求。</w:t>
            </w:r>
          </w:p>
        </w:tc>
      </w:tr>
      <w:tr w14:paraId="24F17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7" w:hRule="atLeast"/>
          <w:jc w:val="center"/>
        </w:trPr>
        <w:tc>
          <w:tcPr>
            <w:tcW w:w="262" w:type="pct"/>
            <w:vAlign w:val="center"/>
          </w:tcPr>
          <w:p w14:paraId="6C5F4373">
            <w:pPr>
              <w:autoSpaceDE w:val="0"/>
              <w:autoSpaceDN w:val="0"/>
              <w:adjustRightInd w:val="0"/>
              <w:snapToGrid w:val="0"/>
              <w:jc w:val="center"/>
              <w:rPr>
                <w:strike w:val="0"/>
                <w:dstrike w:val="0"/>
                <w:color w:val="auto"/>
                <w:kern w:val="0"/>
                <w:sz w:val="24"/>
                <w:highlight w:val="none"/>
              </w:rPr>
            </w:pPr>
            <w:r>
              <w:rPr>
                <w:strike w:val="0"/>
                <w:dstrike w:val="0"/>
                <w:color w:val="auto"/>
                <w:kern w:val="0"/>
                <w:sz w:val="24"/>
                <w:highlight w:val="none"/>
              </w:rPr>
              <w:t>其他符合性分析</w:t>
            </w:r>
          </w:p>
        </w:tc>
        <w:tc>
          <w:tcPr>
            <w:tcW w:w="4737" w:type="pct"/>
            <w:gridSpan w:val="4"/>
            <w:vAlign w:val="center"/>
          </w:tcPr>
          <w:p w14:paraId="68AB0CCD">
            <w:pPr>
              <w:spacing w:line="360" w:lineRule="auto"/>
              <w:jc w:val="left"/>
              <w:rPr>
                <w:b/>
                <w:strike w:val="0"/>
                <w:dstrike w:val="0"/>
                <w:color w:val="auto"/>
                <w:sz w:val="24"/>
                <w:highlight w:val="none"/>
              </w:rPr>
            </w:pPr>
            <w:r>
              <w:rPr>
                <w:b/>
                <w:strike w:val="0"/>
                <w:dstrike w:val="0"/>
                <w:color w:val="auto"/>
                <w:kern w:val="0"/>
                <w:sz w:val="24"/>
                <w:highlight w:val="none"/>
              </w:rPr>
              <w:t>1.3</w:t>
            </w:r>
            <w:r>
              <w:rPr>
                <w:b/>
                <w:strike w:val="0"/>
                <w:dstrike w:val="0"/>
                <w:color w:val="auto"/>
                <w:sz w:val="24"/>
                <w:highlight w:val="none"/>
              </w:rPr>
              <w:t>与国家产业政策符合性分析</w:t>
            </w:r>
          </w:p>
          <w:p w14:paraId="78D4B4F2">
            <w:pPr>
              <w:autoSpaceDE w:val="0"/>
              <w:autoSpaceDN w:val="0"/>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对照《国民经济行业分类》（GB/T4754-2017）（按第1号修改单修订），项目应属于“F5265机动车燃油零售、F5266机动车燃气零售</w:t>
            </w:r>
            <w:r>
              <w:rPr>
                <w:rFonts w:hint="eastAsia"/>
                <w:strike w:val="0"/>
                <w:dstrike w:val="0"/>
                <w:color w:val="auto"/>
                <w:sz w:val="24"/>
                <w:highlight w:val="none"/>
              </w:rPr>
              <w:t>”</w:t>
            </w:r>
            <w:r>
              <w:rPr>
                <w:strike w:val="0"/>
                <w:dstrike w:val="0"/>
                <w:color w:val="auto"/>
                <w:sz w:val="24"/>
                <w:highlight w:val="none"/>
              </w:rPr>
              <w:t>。</w:t>
            </w:r>
          </w:p>
          <w:p w14:paraId="2B1459AB">
            <w:pPr>
              <w:spacing w:line="360" w:lineRule="auto"/>
              <w:ind w:firstLine="480" w:firstLineChars="200"/>
              <w:rPr>
                <w:b/>
                <w:strike w:val="0"/>
                <w:dstrike w:val="0"/>
                <w:color w:val="auto"/>
                <w:kern w:val="0"/>
                <w:sz w:val="24"/>
                <w:highlight w:val="none"/>
              </w:rPr>
            </w:pPr>
            <w:r>
              <w:rPr>
                <w:strike w:val="0"/>
                <w:dstrike w:val="0"/>
                <w:color w:val="auto"/>
                <w:sz w:val="24"/>
                <w:highlight w:val="none"/>
              </w:rPr>
              <w:t>本项目为加油加气站建设项目，对照《产业结构调整指导目录》</w:t>
            </w:r>
            <w:bookmarkStart w:id="3" w:name="OLE_LINK51"/>
            <w:r>
              <w:rPr>
                <w:strike w:val="0"/>
                <w:dstrike w:val="0"/>
                <w:color w:val="auto"/>
                <w:sz w:val="24"/>
                <w:highlight w:val="none"/>
              </w:rPr>
              <w:t>（2024年本）</w:t>
            </w:r>
            <w:bookmarkEnd w:id="3"/>
            <w:r>
              <w:rPr>
                <w:strike w:val="0"/>
                <w:dstrike w:val="0"/>
                <w:color w:val="auto"/>
                <w:sz w:val="24"/>
                <w:highlight w:val="none"/>
              </w:rPr>
              <w:t>，本项目不属于限制类和淘汰类，视为允许类。故项目视为允许类项目。</w:t>
            </w:r>
            <w:r>
              <w:rPr>
                <w:rFonts w:hint="eastAsia"/>
                <w:strike w:val="0"/>
                <w:dstrike w:val="0"/>
                <w:color w:val="auto"/>
                <w:sz w:val="24"/>
                <w:highlight w:val="none"/>
              </w:rPr>
              <w:t>同时，</w:t>
            </w:r>
            <w:r>
              <w:rPr>
                <w:strike w:val="0"/>
                <w:dstrike w:val="0"/>
                <w:color w:val="auto"/>
                <w:sz w:val="24"/>
                <w:szCs w:val="32"/>
                <w:highlight w:val="none"/>
              </w:rPr>
              <w:t>重庆市合川区发展和改革委员会</w:t>
            </w:r>
            <w:r>
              <w:rPr>
                <w:strike w:val="0"/>
                <w:dstrike w:val="0"/>
                <w:color w:val="auto"/>
                <w:sz w:val="24"/>
                <w:highlight w:val="none"/>
              </w:rPr>
              <w:t>以“项目代码：2109-500117-04-05-913805</w:t>
            </w:r>
            <w:r>
              <w:rPr>
                <w:rFonts w:hint="eastAsia"/>
                <w:strike w:val="0"/>
                <w:dstrike w:val="0"/>
                <w:color w:val="auto"/>
                <w:sz w:val="24"/>
                <w:highlight w:val="none"/>
              </w:rPr>
              <w:t>”</w:t>
            </w:r>
            <w:r>
              <w:rPr>
                <w:strike w:val="0"/>
                <w:dstrike w:val="0"/>
                <w:color w:val="auto"/>
                <w:sz w:val="24"/>
                <w:highlight w:val="none"/>
              </w:rPr>
              <w:t>对项目予以备案</w:t>
            </w:r>
            <w:r>
              <w:rPr>
                <w:rFonts w:hint="eastAsia"/>
                <w:strike w:val="0"/>
                <w:dstrike w:val="0"/>
                <w:color w:val="auto"/>
                <w:sz w:val="24"/>
                <w:highlight w:val="none"/>
              </w:rPr>
              <w:t>，详见附件1</w:t>
            </w:r>
            <w:r>
              <w:rPr>
                <w:strike w:val="0"/>
                <w:dstrike w:val="0"/>
                <w:color w:val="auto"/>
                <w:sz w:val="24"/>
                <w:highlight w:val="none"/>
              </w:rPr>
              <w:t>。因此</w:t>
            </w:r>
            <w:r>
              <w:rPr>
                <w:strike w:val="0"/>
                <w:dstrike w:val="0"/>
                <w:color w:val="auto"/>
                <w:highlight w:val="none"/>
              </w:rPr>
              <w:t>，</w:t>
            </w:r>
            <w:r>
              <w:rPr>
                <w:strike w:val="0"/>
                <w:dstrike w:val="0"/>
                <w:color w:val="auto"/>
                <w:sz w:val="24"/>
                <w:highlight w:val="none"/>
              </w:rPr>
              <w:t>项目建设符合国家产业政策要求。</w:t>
            </w:r>
          </w:p>
          <w:p w14:paraId="11B36358">
            <w:pPr>
              <w:autoSpaceDE w:val="0"/>
              <w:autoSpaceDN w:val="0"/>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1.4与“三线一单</w:t>
            </w:r>
            <w:r>
              <w:rPr>
                <w:rFonts w:hint="eastAsia"/>
                <w:b/>
                <w:strike w:val="0"/>
                <w:dstrike w:val="0"/>
                <w:color w:val="auto"/>
                <w:kern w:val="0"/>
                <w:sz w:val="24"/>
                <w:highlight w:val="none"/>
              </w:rPr>
              <w:t>”</w:t>
            </w:r>
            <w:r>
              <w:rPr>
                <w:b/>
                <w:strike w:val="0"/>
                <w:dstrike w:val="0"/>
                <w:color w:val="auto"/>
                <w:kern w:val="0"/>
                <w:sz w:val="24"/>
                <w:highlight w:val="none"/>
              </w:rPr>
              <w:t>的符合性</w:t>
            </w:r>
          </w:p>
          <w:p w14:paraId="68F7F4AC">
            <w:pPr>
              <w:spacing w:line="360" w:lineRule="auto"/>
              <w:ind w:firstLine="480" w:firstLineChars="200"/>
              <w:rPr>
                <w:strike w:val="0"/>
                <w:dstrike w:val="0"/>
                <w:color w:val="auto"/>
                <w:sz w:val="24"/>
                <w:highlight w:val="none"/>
              </w:rPr>
            </w:pPr>
            <w:r>
              <w:rPr>
                <w:strike w:val="0"/>
                <w:dstrike w:val="0"/>
                <w:color w:val="auto"/>
                <w:sz w:val="24"/>
                <w:highlight w:val="none"/>
              </w:rPr>
              <w:t>根据重庆市生态环境局关于印发《重庆市“三线一单</w:t>
            </w:r>
            <w:r>
              <w:rPr>
                <w:rFonts w:hint="eastAsia"/>
                <w:strike w:val="0"/>
                <w:dstrike w:val="0"/>
                <w:color w:val="auto"/>
                <w:sz w:val="24"/>
                <w:highlight w:val="none"/>
              </w:rPr>
              <w:t>”</w:t>
            </w:r>
            <w:r>
              <w:rPr>
                <w:strike w:val="0"/>
                <w:dstrike w:val="0"/>
                <w:color w:val="auto"/>
                <w:sz w:val="24"/>
                <w:highlight w:val="none"/>
              </w:rPr>
              <w:t>生态环境分区管控调整方案（2023年）》的通知（渝环规[2024]2号），本项目“三线一单</w:t>
            </w:r>
            <w:r>
              <w:rPr>
                <w:rFonts w:hint="eastAsia"/>
                <w:strike w:val="0"/>
                <w:dstrike w:val="0"/>
                <w:color w:val="auto"/>
                <w:sz w:val="24"/>
                <w:highlight w:val="none"/>
              </w:rPr>
              <w:t>”</w:t>
            </w:r>
            <w:r>
              <w:rPr>
                <w:strike w:val="0"/>
                <w:dstrike w:val="0"/>
                <w:color w:val="auto"/>
                <w:sz w:val="24"/>
                <w:highlight w:val="none"/>
              </w:rPr>
              <w:t>符合性分析如下。</w:t>
            </w:r>
          </w:p>
          <w:p w14:paraId="6A801BCE">
            <w:pPr>
              <w:spacing w:line="360" w:lineRule="auto"/>
              <w:ind w:firstLine="482" w:firstLineChars="200"/>
              <w:rPr>
                <w:strike w:val="0"/>
                <w:dstrike w:val="0"/>
                <w:color w:val="auto"/>
                <w:kern w:val="0"/>
                <w:sz w:val="24"/>
                <w:highlight w:val="none"/>
              </w:rPr>
            </w:pPr>
            <w:r>
              <w:rPr>
                <w:b/>
                <w:strike w:val="0"/>
                <w:dstrike w:val="0"/>
                <w:color w:val="auto"/>
                <w:sz w:val="24"/>
                <w:highlight w:val="none"/>
              </w:rPr>
              <w:t>（1）项目与环境管控单元位置关系</w:t>
            </w:r>
          </w:p>
          <w:p w14:paraId="59885083">
            <w:pPr>
              <w:spacing w:line="360" w:lineRule="auto"/>
              <w:ind w:firstLine="480" w:firstLineChars="200"/>
              <w:rPr>
                <w:strike w:val="0"/>
                <w:dstrike w:val="0"/>
                <w:color w:val="auto"/>
                <w:sz w:val="24"/>
                <w:highlight w:val="none"/>
              </w:rPr>
            </w:pPr>
            <w:r>
              <w:rPr>
                <w:strike w:val="0"/>
                <w:dstrike w:val="0"/>
                <w:color w:val="auto"/>
                <w:sz w:val="24"/>
                <w:highlight w:val="none"/>
              </w:rPr>
              <w:t>本项目位于重庆市合川区土场镇杨柳村三社。</w:t>
            </w:r>
            <w:r>
              <w:rPr>
                <w:strike w:val="0"/>
                <w:dstrike w:val="0"/>
                <w:color w:val="auto"/>
                <w:kern w:val="0"/>
                <w:sz w:val="24"/>
                <w:highlight w:val="none"/>
              </w:rPr>
              <w:t>对照重庆市合川区“三线一单</w:t>
            </w:r>
            <w:r>
              <w:rPr>
                <w:rFonts w:hint="eastAsia"/>
                <w:strike w:val="0"/>
                <w:dstrike w:val="0"/>
                <w:color w:val="auto"/>
                <w:kern w:val="0"/>
                <w:sz w:val="24"/>
                <w:highlight w:val="none"/>
              </w:rPr>
              <w:t>”</w:t>
            </w:r>
            <w:r>
              <w:rPr>
                <w:strike w:val="0"/>
                <w:dstrike w:val="0"/>
                <w:color w:val="auto"/>
                <w:kern w:val="0"/>
                <w:sz w:val="24"/>
                <w:highlight w:val="none"/>
              </w:rPr>
              <w:t>，本项目</w:t>
            </w:r>
            <w:r>
              <w:rPr>
                <w:strike w:val="0"/>
                <w:dstrike w:val="0"/>
                <w:color w:val="auto"/>
                <w:sz w:val="24"/>
                <w:highlight w:val="none"/>
              </w:rPr>
              <w:t>所在区域属于合川区工业城镇重点管控单元-天顶片区，（</w:t>
            </w:r>
            <w:r>
              <w:rPr>
                <w:strike w:val="0"/>
                <w:dstrike w:val="0"/>
                <w:color w:val="auto"/>
                <w:kern w:val="0"/>
                <w:sz w:val="24"/>
                <w:highlight w:val="none"/>
              </w:rPr>
              <w:t>环境管控单元编码：</w:t>
            </w:r>
            <w:r>
              <w:rPr>
                <w:strike w:val="0"/>
                <w:dstrike w:val="0"/>
                <w:color w:val="auto"/>
                <w:sz w:val="24"/>
                <w:highlight w:val="none"/>
              </w:rPr>
              <w:t>ZH50011720006）。本项目与合川</w:t>
            </w:r>
            <w:r>
              <w:rPr>
                <w:strike w:val="0"/>
                <w:dstrike w:val="0"/>
                <w:color w:val="auto"/>
                <w:kern w:val="0"/>
                <w:sz w:val="24"/>
                <w:highlight w:val="none"/>
              </w:rPr>
              <w:t>区环境管控单元关系图详见附图</w:t>
            </w:r>
            <w:r>
              <w:rPr>
                <w:rFonts w:hint="eastAsia"/>
                <w:strike w:val="0"/>
                <w:dstrike w:val="0"/>
                <w:color w:val="auto"/>
                <w:kern w:val="0"/>
                <w:sz w:val="24"/>
                <w:highlight w:val="none"/>
              </w:rPr>
              <w:t>5</w:t>
            </w:r>
            <w:r>
              <w:rPr>
                <w:strike w:val="0"/>
                <w:dstrike w:val="0"/>
                <w:color w:val="auto"/>
                <w:sz w:val="24"/>
                <w:highlight w:val="none"/>
              </w:rPr>
              <w:t>。</w:t>
            </w:r>
          </w:p>
          <w:p w14:paraId="320F6BBF">
            <w:pPr>
              <w:adjustRightInd w:val="0"/>
              <w:snapToGrid w:val="0"/>
              <w:spacing w:line="360" w:lineRule="auto"/>
              <w:ind w:firstLine="482" w:firstLineChars="200"/>
              <w:rPr>
                <w:b/>
                <w:strike w:val="0"/>
                <w:dstrike w:val="0"/>
                <w:color w:val="auto"/>
                <w:kern w:val="0"/>
                <w:sz w:val="24"/>
                <w:highlight w:val="none"/>
              </w:rPr>
            </w:pPr>
            <w:r>
              <w:rPr>
                <w:b/>
                <w:strike w:val="0"/>
                <w:dstrike w:val="0"/>
                <w:color w:val="auto"/>
                <w:kern w:val="0"/>
                <w:sz w:val="24"/>
                <w:highlight w:val="none"/>
              </w:rPr>
              <w:t>（2）符合性分析</w:t>
            </w:r>
          </w:p>
          <w:p w14:paraId="14C57CAB">
            <w:pPr>
              <w:autoSpaceDE w:val="0"/>
              <w:autoSpaceDN w:val="0"/>
              <w:adjustRightInd w:val="0"/>
              <w:snapToGrid w:val="0"/>
              <w:spacing w:line="360" w:lineRule="auto"/>
              <w:ind w:firstLine="480" w:firstLineChars="200"/>
              <w:rPr>
                <w:strike w:val="0"/>
                <w:dstrike w:val="0"/>
                <w:color w:val="auto"/>
                <w:kern w:val="0"/>
                <w:sz w:val="24"/>
                <w:highlight w:val="none"/>
              </w:rPr>
            </w:pPr>
            <w:r>
              <w:rPr>
                <w:strike w:val="0"/>
                <w:dstrike w:val="0"/>
                <w:color w:val="auto"/>
                <w:kern w:val="0"/>
                <w:sz w:val="24"/>
                <w:highlight w:val="none"/>
              </w:rPr>
              <w:t>结合重庆市、合川区“三线一单</w:t>
            </w:r>
            <w:r>
              <w:rPr>
                <w:rFonts w:hint="eastAsia"/>
                <w:strike w:val="0"/>
                <w:dstrike w:val="0"/>
                <w:color w:val="auto"/>
                <w:kern w:val="0"/>
                <w:sz w:val="24"/>
                <w:highlight w:val="none"/>
              </w:rPr>
              <w:t>”</w:t>
            </w:r>
            <w:r>
              <w:rPr>
                <w:strike w:val="0"/>
                <w:dstrike w:val="0"/>
                <w:color w:val="auto"/>
                <w:kern w:val="0"/>
                <w:sz w:val="24"/>
                <w:highlight w:val="none"/>
              </w:rPr>
              <w:t>分区管控要求，本</w:t>
            </w:r>
            <w:r>
              <w:rPr>
                <w:strike w:val="0"/>
                <w:dstrike w:val="0"/>
                <w:color w:val="auto"/>
                <w:sz w:val="24"/>
                <w:highlight w:val="none"/>
              </w:rPr>
              <w:t>项目</w:t>
            </w:r>
            <w:r>
              <w:rPr>
                <w:strike w:val="0"/>
                <w:dstrike w:val="0"/>
                <w:color w:val="auto"/>
                <w:kern w:val="0"/>
                <w:sz w:val="24"/>
                <w:highlight w:val="none"/>
              </w:rPr>
              <w:t>与“三线一单</w:t>
            </w:r>
            <w:r>
              <w:rPr>
                <w:rFonts w:hint="eastAsia"/>
                <w:strike w:val="0"/>
                <w:dstrike w:val="0"/>
                <w:color w:val="auto"/>
                <w:kern w:val="0"/>
                <w:sz w:val="24"/>
                <w:highlight w:val="none"/>
              </w:rPr>
              <w:t>”</w:t>
            </w:r>
            <w:r>
              <w:rPr>
                <w:strike w:val="0"/>
                <w:dstrike w:val="0"/>
                <w:color w:val="auto"/>
                <w:kern w:val="0"/>
                <w:sz w:val="24"/>
                <w:highlight w:val="none"/>
              </w:rPr>
              <w:t>管控要求的符合性分析见表1.4-1</w:t>
            </w:r>
            <w:r>
              <w:rPr>
                <w:strike w:val="0"/>
                <w:dstrike w:val="0"/>
                <w:color w:val="auto"/>
                <w:sz w:val="24"/>
                <w:szCs w:val="32"/>
                <w:highlight w:val="none"/>
              </w:rPr>
              <w:t>。</w:t>
            </w:r>
          </w:p>
          <w:p w14:paraId="20C21C7F">
            <w:pPr>
              <w:autoSpaceDE w:val="0"/>
              <w:autoSpaceDN w:val="0"/>
              <w:adjustRightInd w:val="0"/>
              <w:snapToGrid w:val="0"/>
              <w:jc w:val="center"/>
              <w:rPr>
                <w:b/>
                <w:strike w:val="0"/>
                <w:dstrike w:val="0"/>
                <w:color w:val="auto"/>
                <w:kern w:val="0"/>
                <w:sz w:val="24"/>
                <w:highlight w:val="none"/>
              </w:rPr>
            </w:pPr>
            <w:r>
              <w:rPr>
                <w:b/>
                <w:strike w:val="0"/>
                <w:dstrike w:val="0"/>
                <w:color w:val="auto"/>
                <w:kern w:val="0"/>
                <w:sz w:val="24"/>
                <w:highlight w:val="none"/>
              </w:rPr>
              <w:t xml:space="preserve">表1.4-1  </w:t>
            </w:r>
            <w:r>
              <w:rPr>
                <w:b/>
                <w:bCs/>
                <w:strike w:val="0"/>
                <w:dstrike w:val="0"/>
                <w:color w:val="auto"/>
                <w:sz w:val="24"/>
                <w:highlight w:val="none"/>
              </w:rPr>
              <w:t>项目与“三线一单</w:t>
            </w:r>
            <w:r>
              <w:rPr>
                <w:rFonts w:hint="eastAsia"/>
                <w:b/>
                <w:bCs/>
                <w:strike w:val="0"/>
                <w:dstrike w:val="0"/>
                <w:color w:val="auto"/>
                <w:sz w:val="24"/>
                <w:highlight w:val="none"/>
              </w:rPr>
              <w:t>”</w:t>
            </w:r>
            <w:r>
              <w:rPr>
                <w:b/>
                <w:bCs/>
                <w:strike w:val="0"/>
                <w:dstrike w:val="0"/>
                <w:color w:val="auto"/>
                <w:sz w:val="24"/>
                <w:highlight w:val="none"/>
              </w:rPr>
              <w:t>管控要求符合性分析一览表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12"/>
              <w:gridCol w:w="3731"/>
              <w:gridCol w:w="1466"/>
              <w:gridCol w:w="809"/>
            </w:tblGrid>
            <w:tr w14:paraId="7558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pct"/>
                  <w:gridSpan w:val="2"/>
                  <w:vAlign w:val="center"/>
                </w:tcPr>
                <w:p w14:paraId="4F2DA5AC">
                  <w:pPr>
                    <w:snapToGrid w:val="0"/>
                    <w:jc w:val="center"/>
                    <w:rPr>
                      <w:b/>
                      <w:bCs/>
                      <w:strike w:val="0"/>
                      <w:dstrike w:val="0"/>
                      <w:color w:val="auto"/>
                      <w:szCs w:val="21"/>
                      <w:highlight w:val="none"/>
                    </w:rPr>
                  </w:pPr>
                  <w:r>
                    <w:rPr>
                      <w:b/>
                      <w:bCs/>
                      <w:strike w:val="0"/>
                      <w:dstrike w:val="0"/>
                      <w:color w:val="auto"/>
                      <w:szCs w:val="21"/>
                      <w:highlight w:val="none"/>
                    </w:rPr>
                    <w:t>环境管控单元编码</w:t>
                  </w:r>
                </w:p>
              </w:tc>
              <w:tc>
                <w:tcPr>
                  <w:tcW w:w="2439" w:type="pct"/>
                  <w:vAlign w:val="center"/>
                </w:tcPr>
                <w:p w14:paraId="64AB800C">
                  <w:pPr>
                    <w:snapToGrid w:val="0"/>
                    <w:jc w:val="center"/>
                    <w:rPr>
                      <w:b/>
                      <w:bCs/>
                      <w:strike w:val="0"/>
                      <w:dstrike w:val="0"/>
                      <w:color w:val="auto"/>
                      <w:szCs w:val="21"/>
                      <w:highlight w:val="none"/>
                    </w:rPr>
                  </w:pPr>
                  <w:r>
                    <w:rPr>
                      <w:b/>
                      <w:bCs/>
                      <w:strike w:val="0"/>
                      <w:dstrike w:val="0"/>
                      <w:color w:val="auto"/>
                      <w:szCs w:val="21"/>
                      <w:highlight w:val="none"/>
                    </w:rPr>
                    <w:t>环境管控单元名称</w:t>
                  </w:r>
                </w:p>
              </w:tc>
              <w:tc>
                <w:tcPr>
                  <w:tcW w:w="1488" w:type="pct"/>
                  <w:gridSpan w:val="2"/>
                  <w:vAlign w:val="center"/>
                </w:tcPr>
                <w:p w14:paraId="1FD3E18A">
                  <w:pPr>
                    <w:snapToGrid w:val="0"/>
                    <w:jc w:val="center"/>
                    <w:rPr>
                      <w:b/>
                      <w:bCs/>
                      <w:strike w:val="0"/>
                      <w:dstrike w:val="0"/>
                      <w:color w:val="auto"/>
                      <w:szCs w:val="21"/>
                      <w:highlight w:val="none"/>
                    </w:rPr>
                  </w:pPr>
                  <w:r>
                    <w:rPr>
                      <w:b/>
                      <w:bCs/>
                      <w:strike w:val="0"/>
                      <w:dstrike w:val="0"/>
                      <w:color w:val="auto"/>
                      <w:szCs w:val="21"/>
                      <w:highlight w:val="none"/>
                    </w:rPr>
                    <w:t>环境管控单元类型</w:t>
                  </w:r>
                </w:p>
              </w:tc>
            </w:tr>
            <w:tr w14:paraId="5939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pct"/>
                  <w:gridSpan w:val="2"/>
                  <w:vAlign w:val="center"/>
                </w:tcPr>
                <w:p w14:paraId="34F4FC1A">
                  <w:pPr>
                    <w:snapToGrid w:val="0"/>
                    <w:jc w:val="center"/>
                    <w:rPr>
                      <w:bCs/>
                      <w:strike w:val="0"/>
                      <w:dstrike w:val="0"/>
                      <w:color w:val="auto"/>
                      <w:szCs w:val="21"/>
                      <w:highlight w:val="none"/>
                    </w:rPr>
                  </w:pPr>
                  <w:r>
                    <w:rPr>
                      <w:bCs/>
                      <w:strike w:val="0"/>
                      <w:dstrike w:val="0"/>
                      <w:color w:val="auto"/>
                      <w:szCs w:val="21"/>
                      <w:highlight w:val="none"/>
                    </w:rPr>
                    <w:t>ZH50011720006</w:t>
                  </w:r>
                </w:p>
              </w:tc>
              <w:tc>
                <w:tcPr>
                  <w:tcW w:w="2439" w:type="pct"/>
                  <w:vAlign w:val="center"/>
                </w:tcPr>
                <w:p w14:paraId="1311D038">
                  <w:pPr>
                    <w:snapToGrid w:val="0"/>
                    <w:jc w:val="center"/>
                    <w:rPr>
                      <w:bCs/>
                      <w:strike w:val="0"/>
                      <w:dstrike w:val="0"/>
                      <w:color w:val="auto"/>
                      <w:szCs w:val="21"/>
                      <w:highlight w:val="none"/>
                    </w:rPr>
                  </w:pPr>
                  <w:r>
                    <w:rPr>
                      <w:bCs/>
                      <w:strike w:val="0"/>
                      <w:dstrike w:val="0"/>
                      <w:color w:val="auto"/>
                      <w:szCs w:val="21"/>
                      <w:highlight w:val="none"/>
                    </w:rPr>
                    <w:t>合川区工业城镇重点管控单元-天顶片区</w:t>
                  </w:r>
                </w:p>
              </w:tc>
              <w:tc>
                <w:tcPr>
                  <w:tcW w:w="1488" w:type="pct"/>
                  <w:gridSpan w:val="2"/>
                  <w:vAlign w:val="center"/>
                </w:tcPr>
                <w:p w14:paraId="157E0CEB">
                  <w:pPr>
                    <w:snapToGrid w:val="0"/>
                    <w:jc w:val="center"/>
                    <w:rPr>
                      <w:bCs/>
                      <w:strike w:val="0"/>
                      <w:dstrike w:val="0"/>
                      <w:color w:val="auto"/>
                      <w:szCs w:val="21"/>
                      <w:highlight w:val="none"/>
                    </w:rPr>
                  </w:pPr>
                  <w:r>
                    <w:rPr>
                      <w:bCs/>
                      <w:strike w:val="0"/>
                      <w:dstrike w:val="0"/>
                      <w:color w:val="auto"/>
                      <w:szCs w:val="21"/>
                      <w:highlight w:val="none"/>
                    </w:rPr>
                    <w:t>重点管控单元</w:t>
                  </w:r>
                </w:p>
              </w:tc>
            </w:tr>
            <w:tr w14:paraId="653F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Align w:val="center"/>
                </w:tcPr>
                <w:p w14:paraId="00133D15">
                  <w:pPr>
                    <w:snapToGrid w:val="0"/>
                    <w:jc w:val="center"/>
                    <w:rPr>
                      <w:b/>
                      <w:bCs/>
                      <w:strike w:val="0"/>
                      <w:dstrike w:val="0"/>
                      <w:color w:val="auto"/>
                      <w:szCs w:val="21"/>
                      <w:highlight w:val="none"/>
                    </w:rPr>
                  </w:pPr>
                  <w:r>
                    <w:rPr>
                      <w:b/>
                      <w:bCs/>
                      <w:strike w:val="0"/>
                      <w:dstrike w:val="0"/>
                      <w:color w:val="auto"/>
                      <w:szCs w:val="21"/>
                      <w:highlight w:val="none"/>
                    </w:rPr>
                    <w:t>管控要求层级</w:t>
                  </w:r>
                </w:p>
              </w:tc>
              <w:tc>
                <w:tcPr>
                  <w:tcW w:w="531" w:type="pct"/>
                  <w:vAlign w:val="center"/>
                </w:tcPr>
                <w:p w14:paraId="2AC09486">
                  <w:pPr>
                    <w:snapToGrid w:val="0"/>
                    <w:jc w:val="center"/>
                    <w:rPr>
                      <w:b/>
                      <w:bCs/>
                      <w:strike w:val="0"/>
                      <w:dstrike w:val="0"/>
                      <w:color w:val="auto"/>
                      <w:szCs w:val="21"/>
                      <w:highlight w:val="none"/>
                    </w:rPr>
                  </w:pPr>
                  <w:r>
                    <w:rPr>
                      <w:b/>
                      <w:bCs/>
                      <w:strike w:val="0"/>
                      <w:dstrike w:val="0"/>
                      <w:color w:val="auto"/>
                      <w:szCs w:val="21"/>
                      <w:highlight w:val="none"/>
                    </w:rPr>
                    <w:t>管控类型</w:t>
                  </w:r>
                </w:p>
              </w:tc>
              <w:tc>
                <w:tcPr>
                  <w:tcW w:w="2439" w:type="pct"/>
                  <w:vAlign w:val="center"/>
                </w:tcPr>
                <w:p w14:paraId="776BF7DB">
                  <w:pPr>
                    <w:snapToGrid w:val="0"/>
                    <w:jc w:val="center"/>
                    <w:rPr>
                      <w:b/>
                      <w:bCs/>
                      <w:strike w:val="0"/>
                      <w:dstrike w:val="0"/>
                      <w:color w:val="auto"/>
                      <w:szCs w:val="21"/>
                      <w:highlight w:val="none"/>
                    </w:rPr>
                  </w:pPr>
                  <w:r>
                    <w:rPr>
                      <w:b/>
                      <w:bCs/>
                      <w:strike w:val="0"/>
                      <w:dstrike w:val="0"/>
                      <w:color w:val="auto"/>
                      <w:szCs w:val="21"/>
                      <w:highlight w:val="none"/>
                    </w:rPr>
                    <w:t>管控要求</w:t>
                  </w:r>
                </w:p>
              </w:tc>
              <w:tc>
                <w:tcPr>
                  <w:tcW w:w="959" w:type="pct"/>
                  <w:vAlign w:val="center"/>
                </w:tcPr>
                <w:p w14:paraId="51705E85">
                  <w:pPr>
                    <w:snapToGrid w:val="0"/>
                    <w:jc w:val="center"/>
                    <w:rPr>
                      <w:b/>
                      <w:bCs/>
                      <w:strike w:val="0"/>
                      <w:dstrike w:val="0"/>
                      <w:color w:val="auto"/>
                      <w:szCs w:val="21"/>
                      <w:highlight w:val="none"/>
                    </w:rPr>
                  </w:pPr>
                  <w:r>
                    <w:rPr>
                      <w:b/>
                      <w:bCs/>
                      <w:strike w:val="0"/>
                      <w:dstrike w:val="0"/>
                      <w:color w:val="auto"/>
                      <w:szCs w:val="21"/>
                      <w:highlight w:val="none"/>
                    </w:rPr>
                    <w:t>项目相关情况</w:t>
                  </w:r>
                </w:p>
              </w:tc>
              <w:tc>
                <w:tcPr>
                  <w:tcW w:w="529" w:type="pct"/>
                  <w:vAlign w:val="center"/>
                </w:tcPr>
                <w:p w14:paraId="4197E711">
                  <w:pPr>
                    <w:snapToGrid w:val="0"/>
                    <w:jc w:val="center"/>
                    <w:rPr>
                      <w:b/>
                      <w:bCs/>
                      <w:strike w:val="0"/>
                      <w:dstrike w:val="0"/>
                      <w:color w:val="auto"/>
                      <w:szCs w:val="21"/>
                      <w:highlight w:val="none"/>
                    </w:rPr>
                  </w:pPr>
                  <w:r>
                    <w:rPr>
                      <w:b/>
                      <w:bCs/>
                      <w:strike w:val="0"/>
                      <w:dstrike w:val="0"/>
                      <w:color w:val="auto"/>
                      <w:szCs w:val="21"/>
                      <w:highlight w:val="none"/>
                    </w:rPr>
                    <w:t>符合性分析</w:t>
                  </w:r>
                </w:p>
              </w:tc>
            </w:tr>
            <w:tr w14:paraId="1060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restart"/>
                  <w:vAlign w:val="center"/>
                </w:tcPr>
                <w:p w14:paraId="6BC7CBD1">
                  <w:pPr>
                    <w:snapToGrid w:val="0"/>
                    <w:rPr>
                      <w:strike w:val="0"/>
                      <w:dstrike w:val="0"/>
                      <w:color w:val="auto"/>
                      <w:szCs w:val="21"/>
                      <w:highlight w:val="none"/>
                    </w:rPr>
                  </w:pPr>
                  <w:r>
                    <w:rPr>
                      <w:strike w:val="0"/>
                      <w:dstrike w:val="0"/>
                      <w:color w:val="auto"/>
                      <w:szCs w:val="21"/>
                      <w:highlight w:val="none"/>
                    </w:rPr>
                    <w:t>重庆市总体管控要求</w:t>
                  </w:r>
                </w:p>
              </w:tc>
              <w:tc>
                <w:tcPr>
                  <w:tcW w:w="531" w:type="pct"/>
                  <w:vMerge w:val="restart"/>
                  <w:vAlign w:val="center"/>
                </w:tcPr>
                <w:p w14:paraId="6BF6AE89">
                  <w:pPr>
                    <w:snapToGrid w:val="0"/>
                    <w:rPr>
                      <w:strike w:val="0"/>
                      <w:dstrike w:val="0"/>
                      <w:color w:val="auto"/>
                      <w:szCs w:val="21"/>
                      <w:highlight w:val="none"/>
                    </w:rPr>
                  </w:pPr>
                  <w:r>
                    <w:rPr>
                      <w:strike w:val="0"/>
                      <w:dstrike w:val="0"/>
                      <w:color w:val="auto"/>
                      <w:szCs w:val="21"/>
                      <w:highlight w:val="none"/>
                    </w:rPr>
                    <w:t>空间布局约束</w:t>
                  </w:r>
                </w:p>
              </w:tc>
              <w:tc>
                <w:tcPr>
                  <w:tcW w:w="2439" w:type="pct"/>
                  <w:vAlign w:val="center"/>
                </w:tcPr>
                <w:p w14:paraId="6EDB92D1">
                  <w:pPr>
                    <w:rPr>
                      <w:strike w:val="0"/>
                      <w:dstrike w:val="0"/>
                      <w:color w:val="auto"/>
                      <w:szCs w:val="21"/>
                      <w:highlight w:val="none"/>
                    </w:rPr>
                  </w:pPr>
                  <w:r>
                    <w:rPr>
                      <w:strike w:val="0"/>
                      <w:dstrike w:val="0"/>
                      <w:color w:val="auto"/>
                      <w:kern w:val="0"/>
                      <w:szCs w:val="21"/>
                      <w:highlight w:val="none"/>
                      <w:lang w:bidi="ar"/>
                    </w:rPr>
                    <w:t>1.</w:t>
                  </w:r>
                  <w:r>
                    <w:rPr>
                      <w:strike w:val="0"/>
                      <w:dstrike w:val="0"/>
                      <w:color w:val="auto"/>
                      <w:szCs w:val="21"/>
                      <w:highlight w:val="none"/>
                    </w:rPr>
                    <w:t>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r>
                    <w:rPr>
                      <w:strike w:val="0"/>
                      <w:dstrike w:val="0"/>
                      <w:color w:val="auto"/>
                      <w:kern w:val="0"/>
                      <w:szCs w:val="21"/>
                      <w:highlight w:val="none"/>
                      <w:lang w:bidi="ar"/>
                    </w:rPr>
                    <w:t>。</w:t>
                  </w:r>
                </w:p>
              </w:tc>
              <w:tc>
                <w:tcPr>
                  <w:tcW w:w="959" w:type="pct"/>
                  <w:vMerge w:val="restart"/>
                  <w:vAlign w:val="center"/>
                </w:tcPr>
                <w:p w14:paraId="4C6F6110">
                  <w:pPr>
                    <w:rPr>
                      <w:strike w:val="0"/>
                      <w:dstrike w:val="0"/>
                      <w:color w:val="auto"/>
                      <w:szCs w:val="21"/>
                      <w:highlight w:val="none"/>
                    </w:rPr>
                  </w:pPr>
                  <w:r>
                    <w:rPr>
                      <w:strike w:val="0"/>
                      <w:dstrike w:val="0"/>
                      <w:color w:val="auto"/>
                      <w:szCs w:val="21"/>
                      <w:highlight w:val="none"/>
                    </w:rPr>
                    <w:t>项目位于合川区土场镇内，且不属于重化工、纺织、造纸等工业项目，不涉及重金属（铬、镉、汞、砷、铅等五类重金属）、剧毒物质和持久性有机污染物。</w:t>
                  </w:r>
                </w:p>
              </w:tc>
              <w:tc>
                <w:tcPr>
                  <w:tcW w:w="529" w:type="pct"/>
                  <w:vMerge w:val="restart"/>
                  <w:vAlign w:val="center"/>
                </w:tcPr>
                <w:p w14:paraId="5D2ECB05">
                  <w:pPr>
                    <w:snapToGrid w:val="0"/>
                    <w:rPr>
                      <w:strike w:val="0"/>
                      <w:dstrike w:val="0"/>
                      <w:color w:val="auto"/>
                      <w:szCs w:val="21"/>
                      <w:highlight w:val="none"/>
                    </w:rPr>
                  </w:pPr>
                  <w:r>
                    <w:rPr>
                      <w:strike w:val="0"/>
                      <w:dstrike w:val="0"/>
                      <w:color w:val="auto"/>
                      <w:szCs w:val="21"/>
                      <w:highlight w:val="none"/>
                    </w:rPr>
                    <w:t>符合</w:t>
                  </w:r>
                </w:p>
              </w:tc>
            </w:tr>
            <w:tr w14:paraId="765C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6B5FD408">
                  <w:pPr>
                    <w:snapToGrid w:val="0"/>
                    <w:rPr>
                      <w:strike w:val="0"/>
                      <w:dstrike w:val="0"/>
                      <w:color w:val="auto"/>
                      <w:szCs w:val="21"/>
                      <w:highlight w:val="none"/>
                    </w:rPr>
                  </w:pPr>
                </w:p>
              </w:tc>
              <w:tc>
                <w:tcPr>
                  <w:tcW w:w="531" w:type="pct"/>
                  <w:vMerge w:val="continue"/>
                  <w:vAlign w:val="center"/>
                </w:tcPr>
                <w:p w14:paraId="27E3A17A">
                  <w:pPr>
                    <w:snapToGrid w:val="0"/>
                    <w:rPr>
                      <w:strike w:val="0"/>
                      <w:dstrike w:val="0"/>
                      <w:color w:val="auto"/>
                      <w:szCs w:val="21"/>
                      <w:highlight w:val="none"/>
                    </w:rPr>
                  </w:pPr>
                </w:p>
              </w:tc>
              <w:tc>
                <w:tcPr>
                  <w:tcW w:w="2439" w:type="pct"/>
                  <w:vAlign w:val="center"/>
                </w:tcPr>
                <w:p w14:paraId="6653434E">
                  <w:pPr>
                    <w:rPr>
                      <w:strike w:val="0"/>
                      <w:dstrike w:val="0"/>
                      <w:color w:val="auto"/>
                      <w:szCs w:val="21"/>
                      <w:highlight w:val="none"/>
                    </w:rPr>
                  </w:pPr>
                  <w:r>
                    <w:rPr>
                      <w:strike w:val="0"/>
                      <w:dstrike w:val="0"/>
                      <w:color w:val="auto"/>
                      <w:kern w:val="0"/>
                      <w:szCs w:val="21"/>
                      <w:highlight w:val="none"/>
                      <w:lang w:bidi="ar"/>
                    </w:rPr>
                    <w:t>2.</w:t>
                  </w:r>
                  <w:r>
                    <w:rPr>
                      <w:strike w:val="0"/>
                      <w:dstrike w:val="0"/>
                      <w:color w:val="auto"/>
                      <w:szCs w:val="21"/>
                      <w:highlight w:val="none"/>
                    </w:rPr>
                    <w:t>禁止在长江干流及主要支流岸线</w:t>
                  </w:r>
                  <w:r>
                    <w:rPr>
                      <w:rFonts w:eastAsia="TimesNewRomanPSMT"/>
                      <w:strike w:val="0"/>
                      <w:dstrike w:val="0"/>
                      <w:color w:val="auto"/>
                      <w:szCs w:val="21"/>
                      <w:highlight w:val="none"/>
                    </w:rPr>
                    <w:t>1</w:t>
                  </w:r>
                  <w:r>
                    <w:rPr>
                      <w:strike w:val="0"/>
                      <w:dstrike w:val="0"/>
                      <w:color w:val="auto"/>
                      <w:szCs w:val="21"/>
                      <w:highlight w:val="none"/>
                    </w:rPr>
                    <w:t>公里范围内新建重化工、纺织、造纸等存在污染风险的工业项目，禁止在长江干支流</w:t>
                  </w:r>
                  <w:r>
                    <w:rPr>
                      <w:rFonts w:eastAsia="TimesNewRomanPSMT"/>
                      <w:strike w:val="0"/>
                      <w:dstrike w:val="0"/>
                      <w:color w:val="auto"/>
                      <w:szCs w:val="21"/>
                      <w:highlight w:val="none"/>
                    </w:rPr>
                    <w:t>1</w:t>
                  </w:r>
                  <w:r>
                    <w:rPr>
                      <w:strike w:val="0"/>
                      <w:dstrike w:val="0"/>
                      <w:color w:val="auto"/>
                      <w:szCs w:val="21"/>
                      <w:highlight w:val="none"/>
                    </w:rPr>
                    <w:t>公里范围内新建、扩建化工园区和化工项目。</w:t>
                  </w:r>
                  <w:r>
                    <w:rPr>
                      <w:rFonts w:eastAsia="TimesNewRomanPSMT"/>
                      <w:strike w:val="0"/>
                      <w:dstrike w:val="0"/>
                      <w:color w:val="auto"/>
                      <w:szCs w:val="21"/>
                      <w:highlight w:val="none"/>
                    </w:rPr>
                    <w:t>5</w:t>
                  </w:r>
                  <w:r>
                    <w:rPr>
                      <w:strike w:val="0"/>
                      <w:dstrike w:val="0"/>
                      <w:color w:val="auto"/>
                      <w:szCs w:val="21"/>
                      <w:highlight w:val="none"/>
                    </w:rPr>
                    <w:t>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r>
                    <w:rPr>
                      <w:strike w:val="0"/>
                      <w:dstrike w:val="0"/>
                      <w:color w:val="auto"/>
                      <w:kern w:val="0"/>
                      <w:szCs w:val="21"/>
                      <w:highlight w:val="none"/>
                      <w:lang w:bidi="ar"/>
                    </w:rPr>
                    <w:t>。</w:t>
                  </w:r>
                </w:p>
              </w:tc>
              <w:tc>
                <w:tcPr>
                  <w:tcW w:w="959" w:type="pct"/>
                  <w:vMerge w:val="continue"/>
                  <w:vAlign w:val="center"/>
                </w:tcPr>
                <w:p w14:paraId="05071A4D">
                  <w:pPr>
                    <w:snapToGrid w:val="0"/>
                    <w:rPr>
                      <w:strike w:val="0"/>
                      <w:dstrike w:val="0"/>
                      <w:color w:val="auto"/>
                      <w:szCs w:val="21"/>
                      <w:highlight w:val="none"/>
                    </w:rPr>
                  </w:pPr>
                </w:p>
              </w:tc>
              <w:tc>
                <w:tcPr>
                  <w:tcW w:w="529" w:type="pct"/>
                  <w:vMerge w:val="continue"/>
                  <w:vAlign w:val="center"/>
                </w:tcPr>
                <w:p w14:paraId="18695DB4">
                  <w:pPr>
                    <w:snapToGrid w:val="0"/>
                    <w:rPr>
                      <w:strike w:val="0"/>
                      <w:dstrike w:val="0"/>
                      <w:color w:val="auto"/>
                      <w:szCs w:val="21"/>
                      <w:highlight w:val="none"/>
                    </w:rPr>
                  </w:pPr>
                </w:p>
              </w:tc>
            </w:tr>
            <w:tr w14:paraId="37FB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12507F4F">
                  <w:pPr>
                    <w:snapToGrid w:val="0"/>
                    <w:rPr>
                      <w:strike w:val="0"/>
                      <w:dstrike w:val="0"/>
                      <w:color w:val="auto"/>
                      <w:szCs w:val="21"/>
                      <w:highlight w:val="none"/>
                    </w:rPr>
                  </w:pPr>
                </w:p>
              </w:tc>
              <w:tc>
                <w:tcPr>
                  <w:tcW w:w="531" w:type="pct"/>
                  <w:vMerge w:val="continue"/>
                  <w:vAlign w:val="center"/>
                </w:tcPr>
                <w:p w14:paraId="34E9D162">
                  <w:pPr>
                    <w:snapToGrid w:val="0"/>
                    <w:rPr>
                      <w:strike w:val="0"/>
                      <w:dstrike w:val="0"/>
                      <w:color w:val="auto"/>
                      <w:szCs w:val="21"/>
                      <w:highlight w:val="none"/>
                    </w:rPr>
                  </w:pPr>
                </w:p>
              </w:tc>
              <w:tc>
                <w:tcPr>
                  <w:tcW w:w="2439" w:type="pct"/>
                  <w:vAlign w:val="center"/>
                </w:tcPr>
                <w:p w14:paraId="47A9AC52">
                  <w:pPr>
                    <w:rPr>
                      <w:strike w:val="0"/>
                      <w:dstrike w:val="0"/>
                      <w:color w:val="auto"/>
                      <w:kern w:val="0"/>
                      <w:szCs w:val="21"/>
                      <w:highlight w:val="none"/>
                      <w:lang w:bidi="ar"/>
                    </w:rPr>
                  </w:pPr>
                  <w:r>
                    <w:rPr>
                      <w:strike w:val="0"/>
                      <w:dstrike w:val="0"/>
                      <w:color w:val="auto"/>
                      <w:kern w:val="0"/>
                      <w:szCs w:val="21"/>
                      <w:highlight w:val="none"/>
                      <w:lang w:bidi="ar"/>
                    </w:rPr>
                    <w:t>3.</w:t>
                  </w:r>
                  <w:r>
                    <w:rPr>
                      <w:strike w:val="0"/>
                      <w:dstrike w:val="0"/>
                      <w:color w:val="auto"/>
                      <w:szCs w:val="21"/>
                      <w:highlight w:val="none"/>
                    </w:rPr>
                    <w:t>在长江鱼嘴以上江段及其一级支流汇入口上游</w:t>
                  </w:r>
                  <w:r>
                    <w:rPr>
                      <w:rFonts w:eastAsia="TimesNewRomanPSMT"/>
                      <w:strike w:val="0"/>
                      <w:dstrike w:val="0"/>
                      <w:color w:val="auto"/>
                      <w:szCs w:val="21"/>
                      <w:highlight w:val="none"/>
                    </w:rPr>
                    <w:t>20</w:t>
                  </w:r>
                  <w:r>
                    <w:rPr>
                      <w:strike w:val="0"/>
                      <w:dstrike w:val="0"/>
                      <w:color w:val="auto"/>
                      <w:szCs w:val="21"/>
                      <w:highlight w:val="none"/>
                    </w:rPr>
                    <w:t>公里、嘉陵江及其一级支流汇入口上游</w:t>
                  </w:r>
                  <w:r>
                    <w:rPr>
                      <w:rFonts w:eastAsia="TimesNewRomanPSMT"/>
                      <w:strike w:val="0"/>
                      <w:dstrike w:val="0"/>
                      <w:color w:val="auto"/>
                      <w:szCs w:val="21"/>
                      <w:highlight w:val="none"/>
                    </w:rPr>
                    <w:t>20</w:t>
                  </w:r>
                  <w:r>
                    <w:rPr>
                      <w:strike w:val="0"/>
                      <w:dstrike w:val="0"/>
                      <w:color w:val="auto"/>
                      <w:szCs w:val="21"/>
                      <w:highlight w:val="none"/>
                    </w:rPr>
                    <w:t>公里、集中式饮用水水源取水口上游</w:t>
                  </w:r>
                  <w:r>
                    <w:rPr>
                      <w:rFonts w:eastAsia="TimesNewRomanPSMT"/>
                      <w:strike w:val="0"/>
                      <w:dstrike w:val="0"/>
                      <w:color w:val="auto"/>
                      <w:szCs w:val="21"/>
                      <w:highlight w:val="none"/>
                    </w:rPr>
                    <w:t>20</w:t>
                  </w:r>
                  <w:r>
                    <w:rPr>
                      <w:strike w:val="0"/>
                      <w:dstrike w:val="0"/>
                      <w:color w:val="auto"/>
                      <w:szCs w:val="21"/>
                      <w:highlight w:val="none"/>
                    </w:rPr>
                    <w:t>公里范围内的沿岸地区（江河</w:t>
                  </w:r>
                  <w:r>
                    <w:rPr>
                      <w:rFonts w:eastAsia="TimesNewRomanPSMT"/>
                      <w:strike w:val="0"/>
                      <w:dstrike w:val="0"/>
                      <w:color w:val="auto"/>
                      <w:szCs w:val="21"/>
                      <w:highlight w:val="none"/>
                    </w:rPr>
                    <w:t>50</w:t>
                  </w:r>
                  <w:r>
                    <w:rPr>
                      <w:strike w:val="0"/>
                      <w:dstrike w:val="0"/>
                      <w:color w:val="auto"/>
                      <w:szCs w:val="21"/>
                      <w:highlight w:val="none"/>
                    </w:rPr>
                    <w:t>年一遇洪水位向陆域一侧</w:t>
                  </w:r>
                  <w:r>
                    <w:rPr>
                      <w:rFonts w:eastAsia="TimesNewRomanPSMT"/>
                      <w:strike w:val="0"/>
                      <w:dstrike w:val="0"/>
                      <w:color w:val="auto"/>
                      <w:szCs w:val="21"/>
                      <w:highlight w:val="none"/>
                    </w:rPr>
                    <w:t>1</w:t>
                  </w:r>
                  <w:r>
                    <w:rPr>
                      <w:strike w:val="0"/>
                      <w:dstrike w:val="0"/>
                      <w:color w:val="auto"/>
                      <w:szCs w:val="21"/>
                      <w:highlight w:val="none"/>
                    </w:rPr>
                    <w:t>公里范围内），禁止新建、扩建排放重金属（铬、镉、汞、砷、铅等五类重金属）、剧毒物质和持久性有机污染物的工业项目</w:t>
                  </w:r>
                  <w:r>
                    <w:rPr>
                      <w:strike w:val="0"/>
                      <w:dstrike w:val="0"/>
                      <w:color w:val="auto"/>
                      <w:kern w:val="0"/>
                      <w:szCs w:val="21"/>
                      <w:highlight w:val="none"/>
                      <w:lang w:bidi="ar"/>
                    </w:rPr>
                    <w:t>。</w:t>
                  </w:r>
                </w:p>
              </w:tc>
              <w:tc>
                <w:tcPr>
                  <w:tcW w:w="959" w:type="pct"/>
                  <w:vMerge w:val="continue"/>
                  <w:vAlign w:val="center"/>
                </w:tcPr>
                <w:p w14:paraId="4CC950CA">
                  <w:pPr>
                    <w:snapToGrid w:val="0"/>
                    <w:rPr>
                      <w:strike w:val="0"/>
                      <w:dstrike w:val="0"/>
                      <w:color w:val="auto"/>
                      <w:szCs w:val="21"/>
                      <w:highlight w:val="none"/>
                    </w:rPr>
                  </w:pPr>
                </w:p>
              </w:tc>
              <w:tc>
                <w:tcPr>
                  <w:tcW w:w="529" w:type="pct"/>
                  <w:vMerge w:val="continue"/>
                  <w:vAlign w:val="center"/>
                </w:tcPr>
                <w:p w14:paraId="3913EBDB">
                  <w:pPr>
                    <w:snapToGrid w:val="0"/>
                    <w:rPr>
                      <w:strike w:val="0"/>
                      <w:dstrike w:val="0"/>
                      <w:color w:val="auto"/>
                      <w:szCs w:val="21"/>
                      <w:highlight w:val="none"/>
                    </w:rPr>
                  </w:pPr>
                </w:p>
              </w:tc>
            </w:tr>
            <w:tr w14:paraId="7953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2F930933">
                  <w:pPr>
                    <w:snapToGrid w:val="0"/>
                    <w:rPr>
                      <w:strike w:val="0"/>
                      <w:dstrike w:val="0"/>
                      <w:color w:val="auto"/>
                      <w:szCs w:val="21"/>
                      <w:highlight w:val="none"/>
                    </w:rPr>
                  </w:pPr>
                </w:p>
              </w:tc>
              <w:tc>
                <w:tcPr>
                  <w:tcW w:w="531" w:type="pct"/>
                  <w:vMerge w:val="continue"/>
                  <w:vAlign w:val="center"/>
                </w:tcPr>
                <w:p w14:paraId="6400D570">
                  <w:pPr>
                    <w:snapToGrid w:val="0"/>
                    <w:rPr>
                      <w:strike w:val="0"/>
                      <w:dstrike w:val="0"/>
                      <w:color w:val="auto"/>
                      <w:szCs w:val="21"/>
                      <w:highlight w:val="none"/>
                    </w:rPr>
                  </w:pPr>
                </w:p>
              </w:tc>
              <w:tc>
                <w:tcPr>
                  <w:tcW w:w="2439" w:type="pct"/>
                  <w:vAlign w:val="center"/>
                </w:tcPr>
                <w:p w14:paraId="17B0F21C">
                  <w:pPr>
                    <w:rPr>
                      <w:rFonts w:ascii="Times New Roman" w:hAnsi="Times New Roman" w:cs="Times New Roman"/>
                      <w:strike w:val="0"/>
                      <w:dstrike w:val="0"/>
                      <w:color w:val="auto"/>
                      <w:szCs w:val="21"/>
                      <w:highlight w:val="none"/>
                    </w:rPr>
                  </w:pPr>
                  <w:r>
                    <w:rPr>
                      <w:rFonts w:ascii="Times New Roman" w:hAnsi="Times New Roman" w:cs="Times New Roman"/>
                      <w:strike w:val="0"/>
                      <w:dstrike w:val="0"/>
                      <w:color w:val="auto"/>
                      <w:szCs w:val="21"/>
                      <w:highlight w:val="none"/>
                    </w:rPr>
                    <w:t>4.严格执行相关行业企业布局选址要求，优化环境防护距离设置，按要求设置生态隔离带，防范工业园区（工业集聚区）涉生态环境“邻避</w:t>
                  </w:r>
                  <w:r>
                    <w:rPr>
                      <w:rFonts w:hint="eastAsia" w:ascii="Times New Roman" w:hAnsi="Times New Roman" w:cs="Times New Roman"/>
                      <w:strike w:val="0"/>
                      <w:dstrike w:val="0"/>
                      <w:color w:val="auto"/>
                      <w:szCs w:val="21"/>
                      <w:highlight w:val="none"/>
                    </w:rPr>
                    <w:t>”</w:t>
                  </w:r>
                  <w:r>
                    <w:rPr>
                      <w:rFonts w:ascii="Times New Roman" w:hAnsi="Times New Roman" w:cs="Times New Roman"/>
                      <w:strike w:val="0"/>
                      <w:dstrike w:val="0"/>
                      <w:color w:val="auto"/>
                      <w:szCs w:val="21"/>
                      <w:highlight w:val="none"/>
                    </w:rPr>
                    <w:t>问题，将环境防护距离优化控制在园区边界或用地红线以内。</w:t>
                  </w:r>
                </w:p>
              </w:tc>
              <w:tc>
                <w:tcPr>
                  <w:tcW w:w="959" w:type="pct"/>
                  <w:vMerge w:val="continue"/>
                  <w:vAlign w:val="center"/>
                </w:tcPr>
                <w:p w14:paraId="159D9262">
                  <w:pPr>
                    <w:snapToGrid w:val="0"/>
                    <w:rPr>
                      <w:strike w:val="0"/>
                      <w:dstrike w:val="0"/>
                      <w:color w:val="auto"/>
                      <w:szCs w:val="21"/>
                      <w:highlight w:val="none"/>
                    </w:rPr>
                  </w:pPr>
                </w:p>
              </w:tc>
              <w:tc>
                <w:tcPr>
                  <w:tcW w:w="529" w:type="pct"/>
                  <w:vMerge w:val="continue"/>
                  <w:vAlign w:val="center"/>
                </w:tcPr>
                <w:p w14:paraId="4D2E8EDD">
                  <w:pPr>
                    <w:snapToGrid w:val="0"/>
                    <w:rPr>
                      <w:strike w:val="0"/>
                      <w:dstrike w:val="0"/>
                      <w:color w:val="auto"/>
                      <w:szCs w:val="21"/>
                      <w:highlight w:val="none"/>
                    </w:rPr>
                  </w:pPr>
                </w:p>
              </w:tc>
            </w:tr>
            <w:tr w14:paraId="084B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44C743E9">
                  <w:pPr>
                    <w:snapToGrid w:val="0"/>
                    <w:rPr>
                      <w:strike w:val="0"/>
                      <w:dstrike w:val="0"/>
                      <w:color w:val="auto"/>
                      <w:szCs w:val="21"/>
                      <w:highlight w:val="none"/>
                    </w:rPr>
                  </w:pPr>
                </w:p>
              </w:tc>
              <w:tc>
                <w:tcPr>
                  <w:tcW w:w="531" w:type="pct"/>
                  <w:vMerge w:val="continue"/>
                  <w:vAlign w:val="center"/>
                </w:tcPr>
                <w:p w14:paraId="2B049456">
                  <w:pPr>
                    <w:snapToGrid w:val="0"/>
                    <w:rPr>
                      <w:strike w:val="0"/>
                      <w:dstrike w:val="0"/>
                      <w:color w:val="auto"/>
                      <w:szCs w:val="21"/>
                      <w:highlight w:val="none"/>
                    </w:rPr>
                  </w:pPr>
                </w:p>
              </w:tc>
              <w:tc>
                <w:tcPr>
                  <w:tcW w:w="2439" w:type="pct"/>
                  <w:vAlign w:val="center"/>
                </w:tcPr>
                <w:p w14:paraId="3BFE33EA">
                  <w:pPr>
                    <w:rPr>
                      <w:rFonts w:ascii="Times New Roman" w:hAnsi="Times New Roman" w:cs="Times New Roman"/>
                      <w:strike w:val="0"/>
                      <w:dstrike w:val="0"/>
                      <w:color w:val="auto"/>
                      <w:szCs w:val="21"/>
                      <w:highlight w:val="none"/>
                    </w:rPr>
                  </w:pPr>
                  <w:r>
                    <w:rPr>
                      <w:rFonts w:ascii="Times New Roman" w:hAnsi="Times New Roman" w:cs="Times New Roman"/>
                      <w:strike w:val="0"/>
                      <w:dstrike w:val="0"/>
                      <w:color w:val="auto"/>
                      <w:szCs w:val="21"/>
                      <w:highlight w:val="none"/>
                    </w:rPr>
                    <w:t>5.加快布局分散的企业向园区集中，鼓励现有工业项目、化工项目分别搬入工业集聚区、化工产业集聚区。</w:t>
                  </w:r>
                </w:p>
              </w:tc>
              <w:tc>
                <w:tcPr>
                  <w:tcW w:w="959" w:type="pct"/>
                  <w:vMerge w:val="continue"/>
                  <w:vAlign w:val="center"/>
                </w:tcPr>
                <w:p w14:paraId="69EF8B72">
                  <w:pPr>
                    <w:snapToGrid w:val="0"/>
                    <w:rPr>
                      <w:strike w:val="0"/>
                      <w:dstrike w:val="0"/>
                      <w:color w:val="auto"/>
                      <w:szCs w:val="21"/>
                      <w:highlight w:val="none"/>
                    </w:rPr>
                  </w:pPr>
                </w:p>
              </w:tc>
              <w:tc>
                <w:tcPr>
                  <w:tcW w:w="529" w:type="pct"/>
                  <w:vMerge w:val="continue"/>
                  <w:vAlign w:val="center"/>
                </w:tcPr>
                <w:p w14:paraId="602BADBE">
                  <w:pPr>
                    <w:snapToGrid w:val="0"/>
                    <w:rPr>
                      <w:strike w:val="0"/>
                      <w:dstrike w:val="0"/>
                      <w:color w:val="auto"/>
                      <w:szCs w:val="21"/>
                      <w:highlight w:val="none"/>
                    </w:rPr>
                  </w:pPr>
                </w:p>
              </w:tc>
            </w:tr>
            <w:tr w14:paraId="3FA7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11D5C570">
                  <w:pPr>
                    <w:snapToGrid w:val="0"/>
                    <w:rPr>
                      <w:strike w:val="0"/>
                      <w:dstrike w:val="0"/>
                      <w:color w:val="auto"/>
                      <w:szCs w:val="21"/>
                      <w:highlight w:val="none"/>
                    </w:rPr>
                  </w:pPr>
                </w:p>
              </w:tc>
              <w:tc>
                <w:tcPr>
                  <w:tcW w:w="531" w:type="pct"/>
                  <w:vMerge w:val="continue"/>
                  <w:vAlign w:val="center"/>
                </w:tcPr>
                <w:p w14:paraId="4FD5891A">
                  <w:pPr>
                    <w:snapToGrid w:val="0"/>
                    <w:rPr>
                      <w:strike w:val="0"/>
                      <w:dstrike w:val="0"/>
                      <w:color w:val="auto"/>
                      <w:szCs w:val="21"/>
                      <w:highlight w:val="none"/>
                    </w:rPr>
                  </w:pPr>
                </w:p>
              </w:tc>
              <w:tc>
                <w:tcPr>
                  <w:tcW w:w="2439" w:type="pct"/>
                  <w:vAlign w:val="center"/>
                </w:tcPr>
                <w:p w14:paraId="477D8176">
                  <w:pPr>
                    <w:rPr>
                      <w:strike w:val="0"/>
                      <w:dstrike w:val="0"/>
                      <w:color w:val="auto"/>
                      <w:szCs w:val="21"/>
                      <w:highlight w:val="none"/>
                    </w:rPr>
                  </w:pPr>
                  <w:r>
                    <w:rPr>
                      <w:strike w:val="0"/>
                      <w:dstrike w:val="0"/>
                      <w:color w:val="auto"/>
                      <w:kern w:val="0"/>
                      <w:szCs w:val="21"/>
                      <w:highlight w:val="none"/>
                      <w:lang w:bidi="ar"/>
                    </w:rPr>
                    <w:t>6.</w:t>
                  </w:r>
                  <w:r>
                    <w:rPr>
                      <w:strike w:val="0"/>
                      <w:dstrike w:val="0"/>
                      <w:color w:val="auto"/>
                      <w:szCs w:val="21"/>
                      <w:highlight w:val="none"/>
                    </w:rPr>
                    <w:t>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r>
                    <w:rPr>
                      <w:strike w:val="0"/>
                      <w:dstrike w:val="0"/>
                      <w:color w:val="auto"/>
                      <w:kern w:val="0"/>
                      <w:szCs w:val="21"/>
                      <w:highlight w:val="none"/>
                      <w:lang w:bidi="ar"/>
                    </w:rPr>
                    <w:t>。</w:t>
                  </w:r>
                </w:p>
              </w:tc>
              <w:tc>
                <w:tcPr>
                  <w:tcW w:w="959" w:type="pct"/>
                  <w:vMerge w:val="continue"/>
                  <w:vAlign w:val="center"/>
                </w:tcPr>
                <w:p w14:paraId="6A5F3F99">
                  <w:pPr>
                    <w:snapToGrid w:val="0"/>
                    <w:rPr>
                      <w:strike w:val="0"/>
                      <w:dstrike w:val="0"/>
                      <w:color w:val="auto"/>
                      <w:szCs w:val="21"/>
                      <w:highlight w:val="none"/>
                    </w:rPr>
                  </w:pPr>
                </w:p>
              </w:tc>
              <w:tc>
                <w:tcPr>
                  <w:tcW w:w="529" w:type="pct"/>
                  <w:vMerge w:val="continue"/>
                  <w:vAlign w:val="center"/>
                </w:tcPr>
                <w:p w14:paraId="3D41C604">
                  <w:pPr>
                    <w:snapToGrid w:val="0"/>
                    <w:rPr>
                      <w:strike w:val="0"/>
                      <w:dstrike w:val="0"/>
                      <w:color w:val="auto"/>
                      <w:szCs w:val="21"/>
                      <w:highlight w:val="none"/>
                    </w:rPr>
                  </w:pPr>
                </w:p>
              </w:tc>
            </w:tr>
            <w:tr w14:paraId="1EDF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3FB3A995">
                  <w:pPr>
                    <w:snapToGrid w:val="0"/>
                    <w:rPr>
                      <w:strike w:val="0"/>
                      <w:dstrike w:val="0"/>
                      <w:color w:val="auto"/>
                      <w:szCs w:val="21"/>
                      <w:highlight w:val="none"/>
                    </w:rPr>
                  </w:pPr>
                </w:p>
              </w:tc>
              <w:tc>
                <w:tcPr>
                  <w:tcW w:w="531" w:type="pct"/>
                  <w:vMerge w:val="restart"/>
                  <w:vAlign w:val="center"/>
                </w:tcPr>
                <w:p w14:paraId="4B5D158C">
                  <w:pPr>
                    <w:snapToGrid w:val="0"/>
                    <w:rPr>
                      <w:strike w:val="0"/>
                      <w:dstrike w:val="0"/>
                      <w:color w:val="auto"/>
                      <w:szCs w:val="21"/>
                      <w:highlight w:val="none"/>
                    </w:rPr>
                  </w:pPr>
                  <w:r>
                    <w:rPr>
                      <w:strike w:val="0"/>
                      <w:dstrike w:val="0"/>
                      <w:color w:val="auto"/>
                      <w:szCs w:val="21"/>
                      <w:highlight w:val="none"/>
                    </w:rPr>
                    <w:t>污染物排放管控</w:t>
                  </w:r>
                </w:p>
              </w:tc>
              <w:tc>
                <w:tcPr>
                  <w:tcW w:w="2439" w:type="pct"/>
                  <w:vAlign w:val="center"/>
                </w:tcPr>
                <w:p w14:paraId="4B331A94">
                  <w:pPr>
                    <w:rPr>
                      <w:strike w:val="0"/>
                      <w:dstrike w:val="0"/>
                      <w:color w:val="auto"/>
                      <w:kern w:val="0"/>
                      <w:szCs w:val="21"/>
                      <w:highlight w:val="none"/>
                      <w:lang w:bidi="ar"/>
                    </w:rPr>
                  </w:pPr>
                  <w:r>
                    <w:rPr>
                      <w:strike w:val="0"/>
                      <w:dstrike w:val="0"/>
                      <w:color w:val="auto"/>
                      <w:szCs w:val="21"/>
                      <w:highlight w:val="none"/>
                    </w:rPr>
                    <w:t>1.未达到国家环境质量标准的重点区域、流域的有关地方人民政府，应当制定限期达标规划，并采取措施按期达标。</w:t>
                  </w:r>
                </w:p>
              </w:tc>
              <w:tc>
                <w:tcPr>
                  <w:tcW w:w="959" w:type="pct"/>
                  <w:vMerge w:val="restart"/>
                  <w:vAlign w:val="center"/>
                </w:tcPr>
                <w:p w14:paraId="3F781F15">
                  <w:pPr>
                    <w:rPr>
                      <w:strike w:val="0"/>
                      <w:dstrike w:val="0"/>
                      <w:color w:val="auto"/>
                      <w:szCs w:val="21"/>
                      <w:highlight w:val="none"/>
                    </w:rPr>
                  </w:pPr>
                  <w:r>
                    <w:rPr>
                      <w:strike w:val="0"/>
                      <w:dstrike w:val="0"/>
                      <w:color w:val="auto"/>
                      <w:szCs w:val="21"/>
                      <w:highlight w:val="none"/>
                    </w:rPr>
                    <w:t>项目</w:t>
                  </w:r>
                  <w:r>
                    <w:rPr>
                      <w:rFonts w:hint="eastAsia"/>
                      <w:strike w:val="0"/>
                      <w:dstrike w:val="0"/>
                      <w:color w:val="auto"/>
                      <w:szCs w:val="21"/>
                      <w:highlight w:val="none"/>
                      <w:lang w:eastAsia="zh-CN"/>
                    </w:rPr>
                    <w:t>属于机动车燃油、燃气零售项目</w:t>
                  </w:r>
                  <w:r>
                    <w:rPr>
                      <w:strike w:val="0"/>
                      <w:dstrike w:val="0"/>
                      <w:color w:val="auto"/>
                      <w:szCs w:val="21"/>
                      <w:highlight w:val="none"/>
                    </w:rPr>
                    <w:t>，</w:t>
                  </w:r>
                  <w:r>
                    <w:rPr>
                      <w:rFonts w:hint="eastAsia"/>
                      <w:strike w:val="0"/>
                      <w:dstrike w:val="0"/>
                      <w:color w:val="auto"/>
                      <w:szCs w:val="21"/>
                      <w:highlight w:val="none"/>
                    </w:rPr>
                    <w:t>不</w:t>
                  </w:r>
                  <w:r>
                    <w:rPr>
                      <w:strike w:val="0"/>
                      <w:dstrike w:val="0"/>
                      <w:color w:val="auto"/>
                      <w:szCs w:val="21"/>
                      <w:highlight w:val="none"/>
                    </w:rPr>
                    <w:t>属于造纸、焦化、氮肥、有色金属等上述“十一大</w:t>
                  </w:r>
                  <w:r>
                    <w:rPr>
                      <w:rFonts w:hint="eastAsia"/>
                      <w:strike w:val="0"/>
                      <w:dstrike w:val="0"/>
                      <w:color w:val="auto"/>
                      <w:szCs w:val="21"/>
                      <w:highlight w:val="none"/>
                    </w:rPr>
                    <w:t>”</w:t>
                  </w:r>
                  <w:r>
                    <w:rPr>
                      <w:strike w:val="0"/>
                      <w:dstrike w:val="0"/>
                      <w:color w:val="auto"/>
                      <w:szCs w:val="21"/>
                      <w:highlight w:val="none"/>
                    </w:rPr>
                    <w:t>重点行业，安装</w:t>
                  </w:r>
                  <w:r>
                    <w:rPr>
                      <w:rFonts w:hint="eastAsia"/>
                      <w:strike w:val="0"/>
                      <w:dstrike w:val="0"/>
                      <w:color w:val="auto"/>
                      <w:szCs w:val="21"/>
                      <w:highlight w:val="none"/>
                    </w:rPr>
                    <w:t>一次</w:t>
                  </w:r>
                  <w:r>
                    <w:rPr>
                      <w:strike w:val="0"/>
                      <w:dstrike w:val="0"/>
                      <w:color w:val="auto"/>
                      <w:szCs w:val="21"/>
                      <w:highlight w:val="none"/>
                    </w:rPr>
                    <w:t>、二次油气回收系统，非甲烷总烃达标排放。</w:t>
                  </w:r>
                </w:p>
              </w:tc>
              <w:tc>
                <w:tcPr>
                  <w:tcW w:w="529" w:type="pct"/>
                  <w:vMerge w:val="restart"/>
                  <w:vAlign w:val="center"/>
                </w:tcPr>
                <w:p w14:paraId="3A787B69">
                  <w:pPr>
                    <w:snapToGrid w:val="0"/>
                    <w:rPr>
                      <w:strike w:val="0"/>
                      <w:dstrike w:val="0"/>
                      <w:color w:val="auto"/>
                      <w:szCs w:val="21"/>
                      <w:highlight w:val="none"/>
                    </w:rPr>
                  </w:pPr>
                  <w:r>
                    <w:rPr>
                      <w:strike w:val="0"/>
                      <w:dstrike w:val="0"/>
                      <w:color w:val="auto"/>
                      <w:szCs w:val="21"/>
                      <w:highlight w:val="none"/>
                    </w:rPr>
                    <w:t>符合</w:t>
                  </w:r>
                </w:p>
              </w:tc>
            </w:tr>
            <w:tr w14:paraId="14B8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4A92C682">
                  <w:pPr>
                    <w:snapToGrid w:val="0"/>
                    <w:rPr>
                      <w:strike w:val="0"/>
                      <w:dstrike w:val="0"/>
                      <w:color w:val="auto"/>
                      <w:szCs w:val="21"/>
                      <w:highlight w:val="none"/>
                    </w:rPr>
                  </w:pPr>
                </w:p>
              </w:tc>
              <w:tc>
                <w:tcPr>
                  <w:tcW w:w="531" w:type="pct"/>
                  <w:vMerge w:val="continue"/>
                  <w:vAlign w:val="center"/>
                </w:tcPr>
                <w:p w14:paraId="75067556">
                  <w:pPr>
                    <w:snapToGrid w:val="0"/>
                    <w:rPr>
                      <w:strike w:val="0"/>
                      <w:dstrike w:val="0"/>
                      <w:color w:val="auto"/>
                      <w:szCs w:val="21"/>
                      <w:highlight w:val="none"/>
                    </w:rPr>
                  </w:pPr>
                </w:p>
              </w:tc>
              <w:tc>
                <w:tcPr>
                  <w:tcW w:w="2439" w:type="pct"/>
                  <w:vAlign w:val="center"/>
                </w:tcPr>
                <w:p w14:paraId="615E3A1C">
                  <w:pPr>
                    <w:widowControl/>
                    <w:rPr>
                      <w:strike w:val="0"/>
                      <w:dstrike w:val="0"/>
                      <w:color w:val="auto"/>
                      <w:kern w:val="0"/>
                      <w:szCs w:val="21"/>
                      <w:highlight w:val="none"/>
                      <w:lang w:bidi="ar"/>
                    </w:rPr>
                  </w:pPr>
                  <w:r>
                    <w:rPr>
                      <w:rFonts w:eastAsia="TimesNewRomanPSMT"/>
                      <w:strike w:val="0"/>
                      <w:dstrike w:val="0"/>
                      <w:color w:val="auto"/>
                      <w:szCs w:val="21"/>
                      <w:highlight w:val="none"/>
                    </w:rPr>
                    <w:t>2.</w:t>
                  </w:r>
                  <w:r>
                    <w:rPr>
                      <w:strike w:val="0"/>
                      <w:dstrike w:val="0"/>
                      <w:color w:val="auto"/>
                      <w:szCs w:val="21"/>
                      <w:highlight w:val="none"/>
                    </w:rPr>
                    <w:t>巩固</w:t>
                  </w:r>
                  <w:r>
                    <w:rPr>
                      <w:rFonts w:eastAsia="TimesNewRomanPSMT"/>
                      <w:strike w:val="0"/>
                      <w:dstrike w:val="0"/>
                      <w:color w:val="auto"/>
                      <w:szCs w:val="21"/>
                      <w:highlight w:val="none"/>
                    </w:rPr>
                    <w:t>“</w:t>
                  </w:r>
                  <w:r>
                    <w:rPr>
                      <w:strike w:val="0"/>
                      <w:dstrike w:val="0"/>
                      <w:color w:val="auto"/>
                      <w:szCs w:val="21"/>
                      <w:highlight w:val="none"/>
                    </w:rPr>
                    <w:t>十一小</w:t>
                  </w:r>
                  <w:r>
                    <w:rPr>
                      <w:rFonts w:hint="eastAsia" w:eastAsia="TimesNewRomanPSMT"/>
                      <w:strike w:val="0"/>
                      <w:dstrike w:val="0"/>
                      <w:color w:val="auto"/>
                      <w:szCs w:val="21"/>
                      <w:highlight w:val="none"/>
                    </w:rPr>
                    <w:t>”</w:t>
                  </w:r>
                  <w:r>
                    <w:rPr>
                      <w:strike w:val="0"/>
                      <w:dstrike w:val="0"/>
                      <w:color w:val="auto"/>
                      <w:szCs w:val="21"/>
                      <w:highlight w:val="none"/>
                    </w:rPr>
                    <w:t>（不符合国家产业政策的小型造纸、制革、印染、染料、炼焦、炼硫、炼砷、炼油、电镀、农药、涉磷生产和使用等企业）取缔成果，防止死灰复燃。巩固</w:t>
                  </w:r>
                  <w:r>
                    <w:rPr>
                      <w:rFonts w:eastAsia="TimesNewRomanPSMT"/>
                      <w:strike w:val="0"/>
                      <w:dstrike w:val="0"/>
                      <w:color w:val="auto"/>
                      <w:szCs w:val="21"/>
                      <w:highlight w:val="none"/>
                    </w:rPr>
                    <w:t>“</w:t>
                  </w:r>
                  <w:r>
                    <w:rPr>
                      <w:strike w:val="0"/>
                      <w:dstrike w:val="0"/>
                      <w:color w:val="auto"/>
                      <w:szCs w:val="21"/>
                      <w:highlight w:val="none"/>
                    </w:rPr>
                    <w:t>十一大</w:t>
                  </w:r>
                  <w:r>
                    <w:rPr>
                      <w:rFonts w:hint="eastAsia" w:eastAsia="TimesNewRomanPSMT"/>
                      <w:strike w:val="0"/>
                      <w:dstrike w:val="0"/>
                      <w:color w:val="auto"/>
                      <w:szCs w:val="21"/>
                      <w:highlight w:val="none"/>
                    </w:rPr>
                    <w:t>”</w:t>
                  </w:r>
                  <w:r>
                    <w:rPr>
                      <w:strike w:val="0"/>
                      <w:dstrike w:val="0"/>
                      <w:color w:val="auto"/>
                      <w:szCs w:val="21"/>
                      <w:highlight w:val="none"/>
                    </w:rPr>
                    <w:t>（造纸、焦化、氮肥、有色金属、印染、农副产品及食品加工、原料药制造（生化制药）、制革、农药、电镀以及涉磷产品等）企业污染整治成果。</w:t>
                  </w:r>
                </w:p>
              </w:tc>
              <w:tc>
                <w:tcPr>
                  <w:tcW w:w="959" w:type="pct"/>
                  <w:vMerge w:val="continue"/>
                  <w:vAlign w:val="center"/>
                </w:tcPr>
                <w:p w14:paraId="4FF07279">
                  <w:pPr>
                    <w:snapToGrid w:val="0"/>
                    <w:rPr>
                      <w:strike w:val="0"/>
                      <w:dstrike w:val="0"/>
                      <w:color w:val="auto"/>
                      <w:szCs w:val="21"/>
                      <w:highlight w:val="none"/>
                    </w:rPr>
                  </w:pPr>
                </w:p>
              </w:tc>
              <w:tc>
                <w:tcPr>
                  <w:tcW w:w="529" w:type="pct"/>
                  <w:vMerge w:val="continue"/>
                  <w:vAlign w:val="center"/>
                </w:tcPr>
                <w:p w14:paraId="6F385915">
                  <w:pPr>
                    <w:snapToGrid w:val="0"/>
                    <w:rPr>
                      <w:strike w:val="0"/>
                      <w:dstrike w:val="0"/>
                      <w:color w:val="auto"/>
                      <w:szCs w:val="21"/>
                      <w:highlight w:val="none"/>
                    </w:rPr>
                  </w:pPr>
                </w:p>
              </w:tc>
            </w:tr>
            <w:tr w14:paraId="6092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516E1F34">
                  <w:pPr>
                    <w:snapToGrid w:val="0"/>
                    <w:rPr>
                      <w:strike w:val="0"/>
                      <w:dstrike w:val="0"/>
                      <w:color w:val="auto"/>
                      <w:szCs w:val="21"/>
                      <w:highlight w:val="none"/>
                    </w:rPr>
                  </w:pPr>
                </w:p>
              </w:tc>
              <w:tc>
                <w:tcPr>
                  <w:tcW w:w="531" w:type="pct"/>
                  <w:vMerge w:val="continue"/>
                  <w:vAlign w:val="center"/>
                </w:tcPr>
                <w:p w14:paraId="60F87AD0">
                  <w:pPr>
                    <w:snapToGrid w:val="0"/>
                    <w:rPr>
                      <w:strike w:val="0"/>
                      <w:dstrike w:val="0"/>
                      <w:color w:val="auto"/>
                      <w:szCs w:val="21"/>
                      <w:highlight w:val="none"/>
                    </w:rPr>
                  </w:pPr>
                </w:p>
              </w:tc>
              <w:tc>
                <w:tcPr>
                  <w:tcW w:w="2439" w:type="pct"/>
                  <w:vAlign w:val="center"/>
                </w:tcPr>
                <w:p w14:paraId="7475140A">
                  <w:pPr>
                    <w:widowControl/>
                    <w:rPr>
                      <w:strike w:val="0"/>
                      <w:dstrike w:val="0"/>
                      <w:color w:val="auto"/>
                      <w:kern w:val="0"/>
                      <w:szCs w:val="21"/>
                      <w:highlight w:val="none"/>
                      <w:lang w:bidi="ar"/>
                    </w:rPr>
                  </w:pPr>
                  <w:r>
                    <w:rPr>
                      <w:rFonts w:eastAsia="TimesNewRomanPSMT"/>
                      <w:strike w:val="0"/>
                      <w:dstrike w:val="0"/>
                      <w:color w:val="auto"/>
                      <w:szCs w:val="21"/>
                      <w:highlight w:val="none"/>
                    </w:rPr>
                    <w:t>3.</w:t>
                  </w:r>
                  <w:r>
                    <w:rPr>
                      <w:strike w:val="0"/>
                      <w:dstrike w:val="0"/>
                      <w:color w:val="auto"/>
                      <w:szCs w:val="21"/>
                      <w:highlight w:val="none"/>
                    </w:rPr>
                    <w:t>城区及江津区、合川区、璧山区、铜梁区二氧化硫、氮氧化物、颗粒物、挥发性有机物严格执行大气污染物特别排放限值，并逐步将执行范围扩大到重点控制区重点行业。</w:t>
                  </w:r>
                </w:p>
              </w:tc>
              <w:tc>
                <w:tcPr>
                  <w:tcW w:w="959" w:type="pct"/>
                  <w:vMerge w:val="continue"/>
                  <w:vAlign w:val="center"/>
                </w:tcPr>
                <w:p w14:paraId="46E0FD80">
                  <w:pPr>
                    <w:snapToGrid w:val="0"/>
                    <w:rPr>
                      <w:strike w:val="0"/>
                      <w:dstrike w:val="0"/>
                      <w:color w:val="auto"/>
                      <w:szCs w:val="21"/>
                      <w:highlight w:val="none"/>
                    </w:rPr>
                  </w:pPr>
                </w:p>
              </w:tc>
              <w:tc>
                <w:tcPr>
                  <w:tcW w:w="529" w:type="pct"/>
                  <w:vMerge w:val="continue"/>
                  <w:vAlign w:val="center"/>
                </w:tcPr>
                <w:p w14:paraId="418420D7">
                  <w:pPr>
                    <w:snapToGrid w:val="0"/>
                    <w:rPr>
                      <w:strike w:val="0"/>
                      <w:dstrike w:val="0"/>
                      <w:color w:val="auto"/>
                      <w:szCs w:val="21"/>
                      <w:highlight w:val="none"/>
                    </w:rPr>
                  </w:pPr>
                </w:p>
              </w:tc>
            </w:tr>
            <w:tr w14:paraId="2F6E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58B7DBDA">
                  <w:pPr>
                    <w:snapToGrid w:val="0"/>
                    <w:rPr>
                      <w:strike w:val="0"/>
                      <w:dstrike w:val="0"/>
                      <w:color w:val="auto"/>
                      <w:szCs w:val="21"/>
                      <w:highlight w:val="none"/>
                    </w:rPr>
                  </w:pPr>
                </w:p>
              </w:tc>
              <w:tc>
                <w:tcPr>
                  <w:tcW w:w="531" w:type="pct"/>
                  <w:vMerge w:val="continue"/>
                  <w:vAlign w:val="center"/>
                </w:tcPr>
                <w:p w14:paraId="573D1F0C">
                  <w:pPr>
                    <w:snapToGrid w:val="0"/>
                    <w:rPr>
                      <w:strike w:val="0"/>
                      <w:dstrike w:val="0"/>
                      <w:color w:val="auto"/>
                      <w:szCs w:val="21"/>
                      <w:highlight w:val="none"/>
                    </w:rPr>
                  </w:pPr>
                </w:p>
              </w:tc>
              <w:tc>
                <w:tcPr>
                  <w:tcW w:w="2439" w:type="pct"/>
                  <w:vAlign w:val="center"/>
                </w:tcPr>
                <w:p w14:paraId="29EEACE9">
                  <w:pPr>
                    <w:widowControl/>
                    <w:rPr>
                      <w:strike w:val="0"/>
                      <w:dstrike w:val="0"/>
                      <w:color w:val="auto"/>
                      <w:kern w:val="0"/>
                      <w:szCs w:val="21"/>
                      <w:highlight w:val="none"/>
                      <w:lang w:bidi="ar"/>
                    </w:rPr>
                  </w:pPr>
                  <w:r>
                    <w:rPr>
                      <w:rFonts w:eastAsia="TimesNewRomanPSMT"/>
                      <w:strike w:val="0"/>
                      <w:dstrike w:val="0"/>
                      <w:color w:val="auto"/>
                      <w:szCs w:val="21"/>
                      <w:highlight w:val="none"/>
                    </w:rPr>
                    <w:t>4.</w:t>
                  </w:r>
                  <w:r>
                    <w:rPr>
                      <w:strike w:val="0"/>
                      <w:dstrike w:val="0"/>
                      <w:color w:val="auto"/>
                      <w:szCs w:val="21"/>
                      <w:highlight w:val="none"/>
                    </w:rPr>
                    <w:t>新建、改建、扩建涉</w:t>
                  </w:r>
                  <w:r>
                    <w:rPr>
                      <w:rFonts w:eastAsia="TimesNewRomanPSMT"/>
                      <w:strike w:val="0"/>
                      <w:dstrike w:val="0"/>
                      <w:color w:val="auto"/>
                      <w:szCs w:val="21"/>
                      <w:highlight w:val="none"/>
                    </w:rPr>
                    <w:t>VOCs</w:t>
                  </w:r>
                  <w:r>
                    <w:rPr>
                      <w:strike w:val="0"/>
                      <w:dstrike w:val="0"/>
                      <w:color w:val="auto"/>
                      <w:szCs w:val="21"/>
                      <w:highlight w:val="none"/>
                    </w:rPr>
                    <w:t>排放的项目，加强源头控制，使用低（无）</w:t>
                  </w:r>
                  <w:r>
                    <w:rPr>
                      <w:rFonts w:eastAsia="TimesNewRomanPSMT"/>
                      <w:strike w:val="0"/>
                      <w:dstrike w:val="0"/>
                      <w:color w:val="auto"/>
                      <w:szCs w:val="21"/>
                      <w:highlight w:val="none"/>
                    </w:rPr>
                    <w:t>VOCs</w:t>
                  </w:r>
                  <w:r>
                    <w:rPr>
                      <w:strike w:val="0"/>
                      <w:dstrike w:val="0"/>
                      <w:color w:val="auto"/>
                      <w:szCs w:val="21"/>
                      <w:highlight w:val="none"/>
                    </w:rPr>
                    <w:t>含量的原辅料，加强废气收集，安装高效治理设施。有条件的工业集聚区建设集中喷涂中心，配备高效治污设施，替代企业独立喷涂工序。</w:t>
                  </w:r>
                </w:p>
              </w:tc>
              <w:tc>
                <w:tcPr>
                  <w:tcW w:w="959" w:type="pct"/>
                  <w:vMerge w:val="continue"/>
                  <w:vAlign w:val="center"/>
                </w:tcPr>
                <w:p w14:paraId="77CD5E94">
                  <w:pPr>
                    <w:snapToGrid w:val="0"/>
                    <w:rPr>
                      <w:strike w:val="0"/>
                      <w:dstrike w:val="0"/>
                      <w:color w:val="auto"/>
                      <w:szCs w:val="21"/>
                      <w:highlight w:val="none"/>
                    </w:rPr>
                  </w:pPr>
                </w:p>
              </w:tc>
              <w:tc>
                <w:tcPr>
                  <w:tcW w:w="529" w:type="pct"/>
                  <w:vMerge w:val="continue"/>
                  <w:vAlign w:val="center"/>
                </w:tcPr>
                <w:p w14:paraId="29404074">
                  <w:pPr>
                    <w:snapToGrid w:val="0"/>
                    <w:rPr>
                      <w:strike w:val="0"/>
                      <w:dstrike w:val="0"/>
                      <w:color w:val="auto"/>
                      <w:szCs w:val="21"/>
                      <w:highlight w:val="none"/>
                    </w:rPr>
                  </w:pPr>
                </w:p>
              </w:tc>
            </w:tr>
            <w:tr w14:paraId="6652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766A912D">
                  <w:pPr>
                    <w:snapToGrid w:val="0"/>
                    <w:rPr>
                      <w:strike w:val="0"/>
                      <w:dstrike w:val="0"/>
                      <w:color w:val="auto"/>
                      <w:szCs w:val="21"/>
                      <w:highlight w:val="none"/>
                    </w:rPr>
                  </w:pPr>
                </w:p>
              </w:tc>
              <w:tc>
                <w:tcPr>
                  <w:tcW w:w="531" w:type="pct"/>
                  <w:vMerge w:val="continue"/>
                  <w:vAlign w:val="center"/>
                </w:tcPr>
                <w:p w14:paraId="67E36F5B">
                  <w:pPr>
                    <w:snapToGrid w:val="0"/>
                    <w:rPr>
                      <w:strike w:val="0"/>
                      <w:dstrike w:val="0"/>
                      <w:color w:val="auto"/>
                      <w:szCs w:val="21"/>
                      <w:highlight w:val="none"/>
                    </w:rPr>
                  </w:pPr>
                </w:p>
              </w:tc>
              <w:tc>
                <w:tcPr>
                  <w:tcW w:w="2439" w:type="pct"/>
                  <w:vAlign w:val="center"/>
                </w:tcPr>
                <w:p w14:paraId="1758841A">
                  <w:pPr>
                    <w:widowControl/>
                    <w:rPr>
                      <w:strike w:val="0"/>
                      <w:dstrike w:val="0"/>
                      <w:color w:val="auto"/>
                      <w:kern w:val="0"/>
                      <w:szCs w:val="21"/>
                      <w:highlight w:val="none"/>
                      <w:lang w:bidi="ar"/>
                    </w:rPr>
                  </w:pPr>
                  <w:r>
                    <w:rPr>
                      <w:rFonts w:eastAsia="TimesNewRomanPSMT"/>
                      <w:strike w:val="0"/>
                      <w:dstrike w:val="0"/>
                      <w:color w:val="auto"/>
                      <w:szCs w:val="21"/>
                      <w:highlight w:val="none"/>
                    </w:rPr>
                    <w:t>5.</w:t>
                  </w:r>
                  <w:r>
                    <w:rPr>
                      <w:strike w:val="0"/>
                      <w:dstrike w:val="0"/>
                      <w:color w:val="auto"/>
                      <w:szCs w:val="21"/>
                      <w:highlight w:val="none"/>
                    </w:rPr>
                    <w:t>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959" w:type="pct"/>
                  <w:vMerge w:val="continue"/>
                  <w:vAlign w:val="center"/>
                </w:tcPr>
                <w:p w14:paraId="3C5C9F33">
                  <w:pPr>
                    <w:snapToGrid w:val="0"/>
                    <w:rPr>
                      <w:strike w:val="0"/>
                      <w:dstrike w:val="0"/>
                      <w:color w:val="auto"/>
                      <w:szCs w:val="21"/>
                      <w:highlight w:val="none"/>
                    </w:rPr>
                  </w:pPr>
                </w:p>
              </w:tc>
              <w:tc>
                <w:tcPr>
                  <w:tcW w:w="529" w:type="pct"/>
                  <w:vMerge w:val="continue"/>
                  <w:vAlign w:val="center"/>
                </w:tcPr>
                <w:p w14:paraId="4F476B48">
                  <w:pPr>
                    <w:snapToGrid w:val="0"/>
                    <w:rPr>
                      <w:strike w:val="0"/>
                      <w:dstrike w:val="0"/>
                      <w:color w:val="auto"/>
                      <w:szCs w:val="21"/>
                      <w:highlight w:val="none"/>
                    </w:rPr>
                  </w:pPr>
                </w:p>
              </w:tc>
            </w:tr>
            <w:tr w14:paraId="40F1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20678092">
                  <w:pPr>
                    <w:snapToGrid w:val="0"/>
                    <w:rPr>
                      <w:strike w:val="0"/>
                      <w:dstrike w:val="0"/>
                      <w:color w:val="auto"/>
                      <w:szCs w:val="21"/>
                      <w:highlight w:val="none"/>
                    </w:rPr>
                  </w:pPr>
                </w:p>
              </w:tc>
              <w:tc>
                <w:tcPr>
                  <w:tcW w:w="531" w:type="pct"/>
                  <w:vMerge w:val="restart"/>
                  <w:vAlign w:val="center"/>
                </w:tcPr>
                <w:p w14:paraId="748C2F83">
                  <w:pPr>
                    <w:snapToGrid w:val="0"/>
                    <w:rPr>
                      <w:strike w:val="0"/>
                      <w:dstrike w:val="0"/>
                      <w:color w:val="auto"/>
                      <w:szCs w:val="21"/>
                      <w:highlight w:val="none"/>
                    </w:rPr>
                  </w:pPr>
                  <w:r>
                    <w:rPr>
                      <w:strike w:val="0"/>
                      <w:dstrike w:val="0"/>
                      <w:color w:val="auto"/>
                      <w:szCs w:val="21"/>
                      <w:highlight w:val="none"/>
                    </w:rPr>
                    <w:t>环境风险防控</w:t>
                  </w:r>
                </w:p>
              </w:tc>
              <w:tc>
                <w:tcPr>
                  <w:tcW w:w="2439" w:type="pct"/>
                  <w:vAlign w:val="center"/>
                </w:tcPr>
                <w:p w14:paraId="2D0E22F3">
                  <w:pPr>
                    <w:rPr>
                      <w:strike w:val="0"/>
                      <w:dstrike w:val="0"/>
                      <w:color w:val="auto"/>
                      <w:kern w:val="0"/>
                      <w:szCs w:val="21"/>
                      <w:highlight w:val="none"/>
                      <w:lang w:bidi="ar"/>
                    </w:rPr>
                  </w:pPr>
                  <w:r>
                    <w:rPr>
                      <w:strike w:val="0"/>
                      <w:dstrike w:val="0"/>
                      <w:color w:val="auto"/>
                      <w:szCs w:val="21"/>
                      <w:highlight w:val="none"/>
                    </w:rPr>
                    <w:t>1.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959" w:type="pct"/>
                  <w:vMerge w:val="restart"/>
                  <w:vAlign w:val="center"/>
                </w:tcPr>
                <w:p w14:paraId="666DB500">
                  <w:pPr>
                    <w:rPr>
                      <w:strike w:val="0"/>
                      <w:dstrike w:val="0"/>
                      <w:color w:val="auto"/>
                      <w:szCs w:val="21"/>
                      <w:highlight w:val="none"/>
                    </w:rPr>
                  </w:pPr>
                  <w:r>
                    <w:rPr>
                      <w:strike w:val="0"/>
                      <w:dstrike w:val="0"/>
                      <w:color w:val="auto"/>
                      <w:szCs w:val="21"/>
                      <w:highlight w:val="none"/>
                    </w:rPr>
                    <w:t>项目位于合川区土场镇，设置有环境风险防范体系，环境风险可控。</w:t>
                  </w:r>
                </w:p>
              </w:tc>
              <w:tc>
                <w:tcPr>
                  <w:tcW w:w="529" w:type="pct"/>
                  <w:vMerge w:val="restart"/>
                  <w:vAlign w:val="center"/>
                </w:tcPr>
                <w:p w14:paraId="42D1DBF2">
                  <w:pPr>
                    <w:snapToGrid w:val="0"/>
                    <w:rPr>
                      <w:strike w:val="0"/>
                      <w:dstrike w:val="0"/>
                      <w:color w:val="auto"/>
                      <w:szCs w:val="21"/>
                      <w:highlight w:val="none"/>
                    </w:rPr>
                  </w:pPr>
                  <w:r>
                    <w:rPr>
                      <w:strike w:val="0"/>
                      <w:dstrike w:val="0"/>
                      <w:color w:val="auto"/>
                      <w:szCs w:val="21"/>
                      <w:highlight w:val="none"/>
                    </w:rPr>
                    <w:t>符合</w:t>
                  </w:r>
                </w:p>
              </w:tc>
            </w:tr>
            <w:tr w14:paraId="57F7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2DC19CA4">
                  <w:pPr>
                    <w:snapToGrid w:val="0"/>
                    <w:rPr>
                      <w:strike w:val="0"/>
                      <w:dstrike w:val="0"/>
                      <w:color w:val="auto"/>
                      <w:szCs w:val="21"/>
                      <w:highlight w:val="none"/>
                    </w:rPr>
                  </w:pPr>
                </w:p>
              </w:tc>
              <w:tc>
                <w:tcPr>
                  <w:tcW w:w="531" w:type="pct"/>
                  <w:vMerge w:val="continue"/>
                  <w:vAlign w:val="center"/>
                </w:tcPr>
                <w:p w14:paraId="12BA023A">
                  <w:pPr>
                    <w:snapToGrid w:val="0"/>
                    <w:rPr>
                      <w:strike w:val="0"/>
                      <w:dstrike w:val="0"/>
                      <w:color w:val="auto"/>
                      <w:szCs w:val="21"/>
                      <w:highlight w:val="none"/>
                    </w:rPr>
                  </w:pPr>
                </w:p>
              </w:tc>
              <w:tc>
                <w:tcPr>
                  <w:tcW w:w="2439" w:type="pct"/>
                  <w:vAlign w:val="center"/>
                </w:tcPr>
                <w:p w14:paraId="48830AE2">
                  <w:pPr>
                    <w:rPr>
                      <w:strike w:val="0"/>
                      <w:dstrike w:val="0"/>
                      <w:color w:val="auto"/>
                      <w:kern w:val="0"/>
                      <w:szCs w:val="21"/>
                      <w:highlight w:val="none"/>
                      <w:lang w:bidi="ar"/>
                    </w:rPr>
                  </w:pPr>
                  <w:r>
                    <w:rPr>
                      <w:rFonts w:eastAsia="TimesNewRomanPSMT"/>
                      <w:strike w:val="0"/>
                      <w:dstrike w:val="0"/>
                      <w:color w:val="auto"/>
                      <w:szCs w:val="21"/>
                      <w:highlight w:val="none"/>
                    </w:rPr>
                    <w:t>2.</w:t>
                  </w:r>
                  <w:r>
                    <w:rPr>
                      <w:strike w:val="0"/>
                      <w:dstrike w:val="0"/>
                      <w:color w:val="auto"/>
                      <w:szCs w:val="21"/>
                      <w:highlight w:val="none"/>
                    </w:rPr>
                    <w:t>禁止建设存在重大环境安全隐患的工业项目。严禁工艺技术落后、环境风险高的化工企业向我市转移。</w:t>
                  </w:r>
                </w:p>
              </w:tc>
              <w:tc>
                <w:tcPr>
                  <w:tcW w:w="959" w:type="pct"/>
                  <w:vMerge w:val="continue"/>
                  <w:vAlign w:val="center"/>
                </w:tcPr>
                <w:p w14:paraId="73CE1F4D">
                  <w:pPr>
                    <w:snapToGrid w:val="0"/>
                    <w:rPr>
                      <w:strike w:val="0"/>
                      <w:dstrike w:val="0"/>
                      <w:color w:val="auto"/>
                      <w:szCs w:val="21"/>
                      <w:highlight w:val="none"/>
                    </w:rPr>
                  </w:pPr>
                </w:p>
              </w:tc>
              <w:tc>
                <w:tcPr>
                  <w:tcW w:w="529" w:type="pct"/>
                  <w:vMerge w:val="continue"/>
                  <w:vAlign w:val="center"/>
                </w:tcPr>
                <w:p w14:paraId="287F8C48">
                  <w:pPr>
                    <w:snapToGrid w:val="0"/>
                    <w:rPr>
                      <w:strike w:val="0"/>
                      <w:dstrike w:val="0"/>
                      <w:color w:val="auto"/>
                      <w:szCs w:val="21"/>
                      <w:highlight w:val="none"/>
                    </w:rPr>
                  </w:pPr>
                </w:p>
              </w:tc>
            </w:tr>
            <w:tr w14:paraId="0863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3A042B9E">
                  <w:pPr>
                    <w:snapToGrid w:val="0"/>
                    <w:rPr>
                      <w:strike w:val="0"/>
                      <w:dstrike w:val="0"/>
                      <w:color w:val="auto"/>
                      <w:szCs w:val="21"/>
                      <w:highlight w:val="none"/>
                    </w:rPr>
                  </w:pPr>
                </w:p>
              </w:tc>
              <w:tc>
                <w:tcPr>
                  <w:tcW w:w="531" w:type="pct"/>
                  <w:vMerge w:val="restart"/>
                  <w:vAlign w:val="center"/>
                </w:tcPr>
                <w:p w14:paraId="0CC23ABE">
                  <w:pPr>
                    <w:snapToGrid w:val="0"/>
                    <w:rPr>
                      <w:strike w:val="0"/>
                      <w:dstrike w:val="0"/>
                      <w:color w:val="auto"/>
                      <w:szCs w:val="21"/>
                      <w:highlight w:val="none"/>
                    </w:rPr>
                  </w:pPr>
                  <w:r>
                    <w:rPr>
                      <w:strike w:val="0"/>
                      <w:dstrike w:val="0"/>
                      <w:color w:val="auto"/>
                      <w:szCs w:val="21"/>
                      <w:highlight w:val="none"/>
                    </w:rPr>
                    <w:t>资源开发利用效率</w:t>
                  </w:r>
                </w:p>
              </w:tc>
              <w:tc>
                <w:tcPr>
                  <w:tcW w:w="2439" w:type="pct"/>
                  <w:vAlign w:val="center"/>
                </w:tcPr>
                <w:p w14:paraId="0E10ED9E">
                  <w:pPr>
                    <w:rPr>
                      <w:strike w:val="0"/>
                      <w:dstrike w:val="0"/>
                      <w:color w:val="auto"/>
                      <w:kern w:val="0"/>
                      <w:szCs w:val="21"/>
                      <w:highlight w:val="none"/>
                      <w:lang w:bidi="ar"/>
                    </w:rPr>
                  </w:pPr>
                  <w:r>
                    <w:rPr>
                      <w:strike w:val="0"/>
                      <w:dstrike w:val="0"/>
                      <w:color w:val="auto"/>
                      <w:szCs w:val="21"/>
                      <w:highlight w:val="none"/>
                    </w:rPr>
                    <w:t>1.加强资源节约集约利用。实行能源、水资源、建设用地总量和强度双控行动，推进节能、节水、节地、节材等节约自然资源行动，从源头减少污染物排放。</w:t>
                  </w:r>
                </w:p>
              </w:tc>
              <w:tc>
                <w:tcPr>
                  <w:tcW w:w="959" w:type="pct"/>
                  <w:vMerge w:val="restart"/>
                  <w:vAlign w:val="center"/>
                </w:tcPr>
                <w:p w14:paraId="4462E426">
                  <w:pPr>
                    <w:rPr>
                      <w:strike w:val="0"/>
                      <w:dstrike w:val="0"/>
                      <w:color w:val="auto"/>
                      <w:szCs w:val="21"/>
                      <w:highlight w:val="none"/>
                    </w:rPr>
                  </w:pPr>
                  <w:r>
                    <w:rPr>
                      <w:strike w:val="0"/>
                      <w:dstrike w:val="0"/>
                      <w:color w:val="auto"/>
                      <w:szCs w:val="21"/>
                      <w:highlight w:val="none"/>
                    </w:rPr>
                    <w:t>项目位于合川区土场镇，不属于划定的高污染燃料区，且本项目生产过程采用清洁能源，能耗、水耗低，达到清洁生产先进水平，不使用高污染燃料。</w:t>
                  </w:r>
                </w:p>
              </w:tc>
              <w:tc>
                <w:tcPr>
                  <w:tcW w:w="529" w:type="pct"/>
                  <w:vMerge w:val="restart"/>
                  <w:vAlign w:val="center"/>
                </w:tcPr>
                <w:p w14:paraId="3ED7EC6A">
                  <w:pPr>
                    <w:snapToGrid w:val="0"/>
                    <w:rPr>
                      <w:strike w:val="0"/>
                      <w:dstrike w:val="0"/>
                      <w:color w:val="auto"/>
                      <w:szCs w:val="21"/>
                      <w:highlight w:val="none"/>
                    </w:rPr>
                  </w:pPr>
                  <w:r>
                    <w:rPr>
                      <w:strike w:val="0"/>
                      <w:dstrike w:val="0"/>
                      <w:color w:val="auto"/>
                      <w:szCs w:val="21"/>
                      <w:highlight w:val="none"/>
                    </w:rPr>
                    <w:t>符合</w:t>
                  </w:r>
                </w:p>
              </w:tc>
            </w:tr>
            <w:tr w14:paraId="5543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2DFC4807">
                  <w:pPr>
                    <w:snapToGrid w:val="0"/>
                    <w:rPr>
                      <w:strike w:val="0"/>
                      <w:dstrike w:val="0"/>
                      <w:color w:val="auto"/>
                      <w:szCs w:val="21"/>
                      <w:highlight w:val="none"/>
                    </w:rPr>
                  </w:pPr>
                </w:p>
              </w:tc>
              <w:tc>
                <w:tcPr>
                  <w:tcW w:w="531" w:type="pct"/>
                  <w:vMerge w:val="continue"/>
                  <w:vAlign w:val="center"/>
                </w:tcPr>
                <w:p w14:paraId="667534C9">
                  <w:pPr>
                    <w:snapToGrid w:val="0"/>
                    <w:rPr>
                      <w:strike w:val="0"/>
                      <w:dstrike w:val="0"/>
                      <w:color w:val="auto"/>
                      <w:szCs w:val="21"/>
                      <w:highlight w:val="none"/>
                    </w:rPr>
                  </w:pPr>
                </w:p>
              </w:tc>
              <w:tc>
                <w:tcPr>
                  <w:tcW w:w="2439" w:type="pct"/>
                  <w:vAlign w:val="center"/>
                </w:tcPr>
                <w:p w14:paraId="2F80226E">
                  <w:pPr>
                    <w:rPr>
                      <w:strike w:val="0"/>
                      <w:dstrike w:val="0"/>
                      <w:color w:val="auto"/>
                      <w:kern w:val="0"/>
                      <w:szCs w:val="21"/>
                      <w:highlight w:val="none"/>
                      <w:lang w:bidi="ar"/>
                    </w:rPr>
                  </w:pPr>
                  <w:r>
                    <w:rPr>
                      <w:strike w:val="0"/>
                      <w:dstrike w:val="0"/>
                      <w:color w:val="auto"/>
                      <w:szCs w:val="21"/>
                      <w:highlight w:val="none"/>
                    </w:rPr>
                    <w:t>2.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tc>
              <w:tc>
                <w:tcPr>
                  <w:tcW w:w="959" w:type="pct"/>
                  <w:vMerge w:val="continue"/>
                  <w:vAlign w:val="center"/>
                </w:tcPr>
                <w:p w14:paraId="6D5B7243">
                  <w:pPr>
                    <w:snapToGrid w:val="0"/>
                    <w:rPr>
                      <w:strike w:val="0"/>
                      <w:dstrike w:val="0"/>
                      <w:color w:val="auto"/>
                      <w:szCs w:val="21"/>
                      <w:highlight w:val="none"/>
                    </w:rPr>
                  </w:pPr>
                </w:p>
              </w:tc>
              <w:tc>
                <w:tcPr>
                  <w:tcW w:w="529" w:type="pct"/>
                  <w:vMerge w:val="continue"/>
                  <w:vAlign w:val="center"/>
                </w:tcPr>
                <w:p w14:paraId="3909FD46">
                  <w:pPr>
                    <w:snapToGrid w:val="0"/>
                    <w:rPr>
                      <w:strike w:val="0"/>
                      <w:dstrike w:val="0"/>
                      <w:color w:val="auto"/>
                      <w:szCs w:val="21"/>
                      <w:highlight w:val="none"/>
                    </w:rPr>
                  </w:pPr>
                </w:p>
              </w:tc>
            </w:tr>
            <w:tr w14:paraId="2DCC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4774F4C9">
                  <w:pPr>
                    <w:snapToGrid w:val="0"/>
                    <w:rPr>
                      <w:strike w:val="0"/>
                      <w:dstrike w:val="0"/>
                      <w:color w:val="auto"/>
                      <w:szCs w:val="21"/>
                      <w:highlight w:val="none"/>
                    </w:rPr>
                  </w:pPr>
                </w:p>
              </w:tc>
              <w:tc>
                <w:tcPr>
                  <w:tcW w:w="531" w:type="pct"/>
                  <w:vMerge w:val="continue"/>
                  <w:vAlign w:val="center"/>
                </w:tcPr>
                <w:p w14:paraId="2F9194B0">
                  <w:pPr>
                    <w:snapToGrid w:val="0"/>
                    <w:rPr>
                      <w:strike w:val="0"/>
                      <w:dstrike w:val="0"/>
                      <w:color w:val="auto"/>
                      <w:szCs w:val="21"/>
                      <w:highlight w:val="none"/>
                    </w:rPr>
                  </w:pPr>
                </w:p>
              </w:tc>
              <w:tc>
                <w:tcPr>
                  <w:tcW w:w="2439" w:type="pct"/>
                  <w:vAlign w:val="center"/>
                </w:tcPr>
                <w:p w14:paraId="07D5FA78">
                  <w:pPr>
                    <w:rPr>
                      <w:strike w:val="0"/>
                      <w:dstrike w:val="0"/>
                      <w:color w:val="auto"/>
                      <w:kern w:val="0"/>
                      <w:szCs w:val="21"/>
                      <w:highlight w:val="none"/>
                      <w:lang w:bidi="ar"/>
                    </w:rPr>
                  </w:pPr>
                  <w:r>
                    <w:rPr>
                      <w:strike w:val="0"/>
                      <w:dstrike w:val="0"/>
                      <w:color w:val="auto"/>
                      <w:szCs w:val="21"/>
                      <w:highlight w:val="none"/>
                    </w:rPr>
                    <w:t>3.电力、钢铁、纺织、造纸、石油石化、化工、食品发酵等高耗水行业达到先进定额标准。</w:t>
                  </w:r>
                </w:p>
              </w:tc>
              <w:tc>
                <w:tcPr>
                  <w:tcW w:w="959" w:type="pct"/>
                  <w:vMerge w:val="continue"/>
                  <w:vAlign w:val="center"/>
                </w:tcPr>
                <w:p w14:paraId="1CD869D5">
                  <w:pPr>
                    <w:snapToGrid w:val="0"/>
                    <w:rPr>
                      <w:strike w:val="0"/>
                      <w:dstrike w:val="0"/>
                      <w:color w:val="auto"/>
                      <w:szCs w:val="21"/>
                      <w:highlight w:val="none"/>
                    </w:rPr>
                  </w:pPr>
                </w:p>
              </w:tc>
              <w:tc>
                <w:tcPr>
                  <w:tcW w:w="529" w:type="pct"/>
                  <w:vMerge w:val="continue"/>
                  <w:vAlign w:val="center"/>
                </w:tcPr>
                <w:p w14:paraId="53CE24E3">
                  <w:pPr>
                    <w:snapToGrid w:val="0"/>
                    <w:rPr>
                      <w:strike w:val="0"/>
                      <w:dstrike w:val="0"/>
                      <w:color w:val="auto"/>
                      <w:szCs w:val="21"/>
                      <w:highlight w:val="none"/>
                    </w:rPr>
                  </w:pPr>
                </w:p>
              </w:tc>
            </w:tr>
            <w:tr w14:paraId="0651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5002249D">
                  <w:pPr>
                    <w:snapToGrid w:val="0"/>
                    <w:rPr>
                      <w:strike w:val="0"/>
                      <w:dstrike w:val="0"/>
                      <w:color w:val="auto"/>
                      <w:szCs w:val="21"/>
                      <w:highlight w:val="none"/>
                    </w:rPr>
                  </w:pPr>
                </w:p>
              </w:tc>
              <w:tc>
                <w:tcPr>
                  <w:tcW w:w="531" w:type="pct"/>
                  <w:vMerge w:val="continue"/>
                  <w:vAlign w:val="center"/>
                </w:tcPr>
                <w:p w14:paraId="7B3E02FB">
                  <w:pPr>
                    <w:snapToGrid w:val="0"/>
                    <w:rPr>
                      <w:strike w:val="0"/>
                      <w:dstrike w:val="0"/>
                      <w:color w:val="auto"/>
                      <w:szCs w:val="21"/>
                      <w:highlight w:val="none"/>
                    </w:rPr>
                  </w:pPr>
                </w:p>
              </w:tc>
              <w:tc>
                <w:tcPr>
                  <w:tcW w:w="2439" w:type="pct"/>
                  <w:vAlign w:val="center"/>
                </w:tcPr>
                <w:p w14:paraId="4A9E1159">
                  <w:pPr>
                    <w:rPr>
                      <w:strike w:val="0"/>
                      <w:dstrike w:val="0"/>
                      <w:color w:val="auto"/>
                      <w:kern w:val="0"/>
                      <w:szCs w:val="21"/>
                      <w:highlight w:val="none"/>
                      <w:lang w:bidi="ar"/>
                    </w:rPr>
                  </w:pPr>
                  <w:r>
                    <w:rPr>
                      <w:strike w:val="0"/>
                      <w:dstrike w:val="0"/>
                      <w:color w:val="auto"/>
                      <w:szCs w:val="21"/>
                      <w:highlight w:val="none"/>
                    </w:rPr>
                    <w:t>4.重点控制区域新建高耗能项目单位产品（产值）能耗要达到国际先进水平。</w:t>
                  </w:r>
                </w:p>
              </w:tc>
              <w:tc>
                <w:tcPr>
                  <w:tcW w:w="959" w:type="pct"/>
                  <w:vMerge w:val="continue"/>
                  <w:vAlign w:val="center"/>
                </w:tcPr>
                <w:p w14:paraId="5C3A4845">
                  <w:pPr>
                    <w:snapToGrid w:val="0"/>
                    <w:rPr>
                      <w:strike w:val="0"/>
                      <w:dstrike w:val="0"/>
                      <w:color w:val="auto"/>
                      <w:szCs w:val="21"/>
                      <w:highlight w:val="none"/>
                    </w:rPr>
                  </w:pPr>
                </w:p>
              </w:tc>
              <w:tc>
                <w:tcPr>
                  <w:tcW w:w="529" w:type="pct"/>
                  <w:vMerge w:val="continue"/>
                  <w:vAlign w:val="center"/>
                </w:tcPr>
                <w:p w14:paraId="3CA9E5C5">
                  <w:pPr>
                    <w:snapToGrid w:val="0"/>
                    <w:rPr>
                      <w:strike w:val="0"/>
                      <w:dstrike w:val="0"/>
                      <w:color w:val="auto"/>
                      <w:szCs w:val="21"/>
                      <w:highlight w:val="none"/>
                    </w:rPr>
                  </w:pPr>
                </w:p>
              </w:tc>
            </w:tr>
            <w:tr w14:paraId="230B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13A01850">
                  <w:pPr>
                    <w:snapToGrid w:val="0"/>
                    <w:rPr>
                      <w:strike w:val="0"/>
                      <w:dstrike w:val="0"/>
                      <w:color w:val="auto"/>
                      <w:szCs w:val="21"/>
                      <w:highlight w:val="none"/>
                    </w:rPr>
                  </w:pPr>
                </w:p>
              </w:tc>
              <w:tc>
                <w:tcPr>
                  <w:tcW w:w="531" w:type="pct"/>
                  <w:vMerge w:val="continue"/>
                  <w:vAlign w:val="center"/>
                </w:tcPr>
                <w:p w14:paraId="1A8D1AE6">
                  <w:pPr>
                    <w:snapToGrid w:val="0"/>
                    <w:rPr>
                      <w:strike w:val="0"/>
                      <w:dstrike w:val="0"/>
                      <w:color w:val="auto"/>
                      <w:szCs w:val="21"/>
                      <w:highlight w:val="none"/>
                    </w:rPr>
                  </w:pPr>
                </w:p>
              </w:tc>
              <w:tc>
                <w:tcPr>
                  <w:tcW w:w="2439" w:type="pct"/>
                  <w:vAlign w:val="center"/>
                </w:tcPr>
                <w:p w14:paraId="4B834F90">
                  <w:pPr>
                    <w:rPr>
                      <w:strike w:val="0"/>
                      <w:dstrike w:val="0"/>
                      <w:color w:val="auto"/>
                      <w:kern w:val="0"/>
                      <w:szCs w:val="21"/>
                      <w:highlight w:val="none"/>
                      <w:lang w:bidi="ar"/>
                    </w:rPr>
                  </w:pPr>
                  <w:r>
                    <w:rPr>
                      <w:rFonts w:eastAsia="TimesNewRomanPSMT"/>
                      <w:strike w:val="0"/>
                      <w:dstrike w:val="0"/>
                      <w:color w:val="auto"/>
                      <w:szCs w:val="21"/>
                      <w:highlight w:val="none"/>
                    </w:rPr>
                    <w:t>5.</w:t>
                  </w:r>
                  <w:r>
                    <w:rPr>
                      <w:strike w:val="0"/>
                      <w:dstrike w:val="0"/>
                      <w:color w:val="auto"/>
                      <w:szCs w:val="21"/>
                      <w:highlight w:val="none"/>
                    </w:rPr>
                    <w:t>水利水电工程应保证合理的生态流量，具备条件的都应实施生态流量监测监控。</w:t>
                  </w:r>
                </w:p>
              </w:tc>
              <w:tc>
                <w:tcPr>
                  <w:tcW w:w="959" w:type="pct"/>
                  <w:vMerge w:val="continue"/>
                  <w:vAlign w:val="center"/>
                </w:tcPr>
                <w:p w14:paraId="0BAA0AAE">
                  <w:pPr>
                    <w:snapToGrid w:val="0"/>
                    <w:rPr>
                      <w:strike w:val="0"/>
                      <w:dstrike w:val="0"/>
                      <w:color w:val="auto"/>
                      <w:szCs w:val="21"/>
                      <w:highlight w:val="none"/>
                    </w:rPr>
                  </w:pPr>
                </w:p>
              </w:tc>
              <w:tc>
                <w:tcPr>
                  <w:tcW w:w="529" w:type="pct"/>
                  <w:vMerge w:val="continue"/>
                  <w:vAlign w:val="center"/>
                </w:tcPr>
                <w:p w14:paraId="17AD8113">
                  <w:pPr>
                    <w:snapToGrid w:val="0"/>
                    <w:rPr>
                      <w:strike w:val="0"/>
                      <w:dstrike w:val="0"/>
                      <w:color w:val="auto"/>
                      <w:szCs w:val="21"/>
                      <w:highlight w:val="none"/>
                    </w:rPr>
                  </w:pPr>
                </w:p>
              </w:tc>
            </w:tr>
            <w:tr w14:paraId="0106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restart"/>
                  <w:vAlign w:val="center"/>
                </w:tcPr>
                <w:p w14:paraId="3E6C27E8">
                  <w:pPr>
                    <w:snapToGrid w:val="0"/>
                    <w:rPr>
                      <w:strike w:val="0"/>
                      <w:dstrike w:val="0"/>
                      <w:color w:val="auto"/>
                      <w:szCs w:val="21"/>
                      <w:highlight w:val="none"/>
                    </w:rPr>
                  </w:pPr>
                  <w:r>
                    <w:rPr>
                      <w:strike w:val="0"/>
                      <w:dstrike w:val="0"/>
                      <w:color w:val="auto"/>
                      <w:szCs w:val="21"/>
                      <w:highlight w:val="none"/>
                    </w:rPr>
                    <w:t>合川区总体管控要求</w:t>
                  </w:r>
                </w:p>
              </w:tc>
              <w:tc>
                <w:tcPr>
                  <w:tcW w:w="531" w:type="pct"/>
                  <w:vMerge w:val="restart"/>
                  <w:vAlign w:val="center"/>
                </w:tcPr>
                <w:p w14:paraId="53439C18">
                  <w:pPr>
                    <w:pStyle w:val="44"/>
                    <w:jc w:val="both"/>
                    <w:rPr>
                      <w:strike w:val="0"/>
                      <w:dstrike w:val="0"/>
                      <w:color w:val="auto"/>
                      <w:sz w:val="21"/>
                      <w:szCs w:val="21"/>
                      <w:highlight w:val="none"/>
                    </w:rPr>
                  </w:pPr>
                  <w:r>
                    <w:rPr>
                      <w:strike w:val="0"/>
                      <w:dstrike w:val="0"/>
                      <w:color w:val="auto"/>
                      <w:sz w:val="21"/>
                      <w:szCs w:val="21"/>
                      <w:highlight w:val="none"/>
                    </w:rPr>
                    <w:t>空间布局约束</w:t>
                  </w:r>
                </w:p>
              </w:tc>
              <w:tc>
                <w:tcPr>
                  <w:tcW w:w="2439" w:type="pct"/>
                  <w:vAlign w:val="center"/>
                </w:tcPr>
                <w:p w14:paraId="47A97C80">
                  <w:pPr>
                    <w:pStyle w:val="44"/>
                    <w:jc w:val="both"/>
                    <w:rPr>
                      <w:strike w:val="0"/>
                      <w:dstrike w:val="0"/>
                      <w:color w:val="auto"/>
                      <w:sz w:val="21"/>
                      <w:szCs w:val="21"/>
                      <w:highlight w:val="none"/>
                    </w:rPr>
                  </w:pPr>
                  <w:r>
                    <w:rPr>
                      <w:strike w:val="0"/>
                      <w:dstrike w:val="0"/>
                      <w:color w:val="auto"/>
                      <w:sz w:val="21"/>
                      <w:szCs w:val="21"/>
                      <w:highlight w:val="none"/>
                    </w:rPr>
                    <w:t>第一条 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959" w:type="pct"/>
                  <w:vAlign w:val="center"/>
                </w:tcPr>
                <w:p w14:paraId="0BEC329C">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本项目不在生态红线范围内。</w:t>
                  </w:r>
                </w:p>
              </w:tc>
              <w:tc>
                <w:tcPr>
                  <w:tcW w:w="529" w:type="pct"/>
                  <w:vAlign w:val="center"/>
                </w:tcPr>
                <w:p w14:paraId="13125DE1">
                  <w:pPr>
                    <w:snapToGrid w:val="0"/>
                    <w:rPr>
                      <w:strike w:val="0"/>
                      <w:dstrike w:val="0"/>
                      <w:color w:val="auto"/>
                      <w:szCs w:val="21"/>
                      <w:highlight w:val="none"/>
                    </w:rPr>
                  </w:pPr>
                  <w:r>
                    <w:rPr>
                      <w:strike w:val="0"/>
                      <w:dstrike w:val="0"/>
                      <w:color w:val="auto"/>
                      <w:szCs w:val="21"/>
                      <w:highlight w:val="none"/>
                    </w:rPr>
                    <w:t>符合</w:t>
                  </w:r>
                </w:p>
              </w:tc>
            </w:tr>
            <w:tr w14:paraId="1973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48B46A1E">
                  <w:pPr>
                    <w:snapToGrid w:val="0"/>
                    <w:rPr>
                      <w:strike w:val="0"/>
                      <w:dstrike w:val="0"/>
                      <w:color w:val="auto"/>
                      <w:szCs w:val="21"/>
                      <w:highlight w:val="none"/>
                    </w:rPr>
                  </w:pPr>
                </w:p>
              </w:tc>
              <w:tc>
                <w:tcPr>
                  <w:tcW w:w="531" w:type="pct"/>
                  <w:vMerge w:val="continue"/>
                  <w:vAlign w:val="center"/>
                </w:tcPr>
                <w:p w14:paraId="313655D8">
                  <w:pPr>
                    <w:snapToGrid w:val="0"/>
                    <w:rPr>
                      <w:strike w:val="0"/>
                      <w:dstrike w:val="0"/>
                      <w:color w:val="auto"/>
                      <w:szCs w:val="21"/>
                      <w:highlight w:val="none"/>
                    </w:rPr>
                  </w:pPr>
                </w:p>
              </w:tc>
              <w:tc>
                <w:tcPr>
                  <w:tcW w:w="2439" w:type="pct"/>
                  <w:vAlign w:val="center"/>
                </w:tcPr>
                <w:p w14:paraId="615F0B11">
                  <w:pPr>
                    <w:pStyle w:val="44"/>
                    <w:jc w:val="both"/>
                    <w:rPr>
                      <w:strike w:val="0"/>
                      <w:dstrike w:val="0"/>
                      <w:color w:val="auto"/>
                      <w:sz w:val="21"/>
                      <w:szCs w:val="21"/>
                      <w:highlight w:val="none"/>
                    </w:rPr>
                  </w:pPr>
                  <w:r>
                    <w:rPr>
                      <w:strike w:val="0"/>
                      <w:dstrike w:val="0"/>
                      <w:color w:val="auto"/>
                      <w:sz w:val="21"/>
                      <w:szCs w:val="21"/>
                      <w:highlight w:val="none"/>
                    </w:rPr>
                    <w:t>第二条 合理开发旅游、能源、交通、基础设施，减少挤占生态空间，“三生</w:t>
                  </w:r>
                  <w:r>
                    <w:rPr>
                      <w:rFonts w:hint="eastAsia"/>
                      <w:strike w:val="0"/>
                      <w:dstrike w:val="0"/>
                      <w:color w:val="auto"/>
                      <w:sz w:val="21"/>
                      <w:szCs w:val="21"/>
                      <w:highlight w:val="none"/>
                    </w:rPr>
                    <w:t>”</w:t>
                  </w:r>
                  <w:r>
                    <w:rPr>
                      <w:strike w:val="0"/>
                      <w:dstrike w:val="0"/>
                      <w:color w:val="auto"/>
                      <w:sz w:val="21"/>
                      <w:szCs w:val="21"/>
                      <w:highlight w:val="none"/>
                    </w:rPr>
                    <w:t>空间布局得到持续优化</w:t>
                  </w:r>
                </w:p>
              </w:tc>
              <w:tc>
                <w:tcPr>
                  <w:tcW w:w="959" w:type="pct"/>
                  <w:vAlign w:val="center"/>
                </w:tcPr>
                <w:p w14:paraId="5CD65054">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本项目位于土场镇规划范围内，属于城镇规划范围内，不涉及挤占生态空间。</w:t>
                  </w:r>
                </w:p>
              </w:tc>
              <w:tc>
                <w:tcPr>
                  <w:tcW w:w="529" w:type="pct"/>
                  <w:vAlign w:val="center"/>
                </w:tcPr>
                <w:p w14:paraId="40714250">
                  <w:pPr>
                    <w:snapToGrid w:val="0"/>
                    <w:rPr>
                      <w:strike w:val="0"/>
                      <w:dstrike w:val="0"/>
                      <w:color w:val="auto"/>
                      <w:szCs w:val="21"/>
                      <w:highlight w:val="none"/>
                    </w:rPr>
                  </w:pPr>
                  <w:r>
                    <w:rPr>
                      <w:strike w:val="0"/>
                      <w:dstrike w:val="0"/>
                      <w:color w:val="auto"/>
                      <w:szCs w:val="21"/>
                      <w:highlight w:val="none"/>
                    </w:rPr>
                    <w:t>符合</w:t>
                  </w:r>
                </w:p>
              </w:tc>
            </w:tr>
            <w:tr w14:paraId="7980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55E1F82D">
                  <w:pPr>
                    <w:snapToGrid w:val="0"/>
                    <w:rPr>
                      <w:strike w:val="0"/>
                      <w:dstrike w:val="0"/>
                      <w:color w:val="auto"/>
                      <w:szCs w:val="21"/>
                      <w:highlight w:val="none"/>
                    </w:rPr>
                  </w:pPr>
                </w:p>
              </w:tc>
              <w:tc>
                <w:tcPr>
                  <w:tcW w:w="531" w:type="pct"/>
                  <w:vMerge w:val="continue"/>
                  <w:vAlign w:val="center"/>
                </w:tcPr>
                <w:p w14:paraId="33F79D1B">
                  <w:pPr>
                    <w:snapToGrid w:val="0"/>
                    <w:rPr>
                      <w:strike w:val="0"/>
                      <w:dstrike w:val="0"/>
                      <w:color w:val="auto"/>
                      <w:szCs w:val="21"/>
                      <w:highlight w:val="none"/>
                    </w:rPr>
                  </w:pPr>
                </w:p>
              </w:tc>
              <w:tc>
                <w:tcPr>
                  <w:tcW w:w="2439" w:type="pct"/>
                  <w:vAlign w:val="center"/>
                </w:tcPr>
                <w:p w14:paraId="6D34E8C8">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第三条：坚决禁止在嘉陵江干流岸线1km范围内新建重化工、纺织、造纸等存在污染风险的工业项目，5km范围内除现有园区拓展外严禁新布局工业园区。可适当布局工业园区主导产业配套必需的、对环境影响小、风险可控的化工项目。</w:t>
                  </w:r>
                </w:p>
              </w:tc>
              <w:tc>
                <w:tcPr>
                  <w:tcW w:w="959" w:type="pct"/>
                  <w:vAlign w:val="center"/>
                </w:tcPr>
                <w:p w14:paraId="630C01B3">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本项目距离嘉陵江约9km，不在嘉陵江干流岸线1km和5km范围内，且不属于重化工、纺织、造纸等存在污染风险的工业项目。</w:t>
                  </w:r>
                </w:p>
              </w:tc>
              <w:tc>
                <w:tcPr>
                  <w:tcW w:w="529" w:type="pct"/>
                  <w:vAlign w:val="center"/>
                </w:tcPr>
                <w:p w14:paraId="2BC8C242">
                  <w:pPr>
                    <w:snapToGrid w:val="0"/>
                    <w:rPr>
                      <w:strike w:val="0"/>
                      <w:dstrike w:val="0"/>
                      <w:color w:val="auto"/>
                      <w:szCs w:val="21"/>
                      <w:highlight w:val="none"/>
                    </w:rPr>
                  </w:pPr>
                  <w:r>
                    <w:rPr>
                      <w:strike w:val="0"/>
                      <w:dstrike w:val="0"/>
                      <w:color w:val="auto"/>
                      <w:szCs w:val="21"/>
                      <w:highlight w:val="none"/>
                    </w:rPr>
                    <w:t>符合</w:t>
                  </w:r>
                </w:p>
              </w:tc>
            </w:tr>
            <w:tr w14:paraId="69BD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74B267B0">
                  <w:pPr>
                    <w:snapToGrid w:val="0"/>
                    <w:rPr>
                      <w:strike w:val="0"/>
                      <w:dstrike w:val="0"/>
                      <w:color w:val="auto"/>
                      <w:szCs w:val="21"/>
                      <w:highlight w:val="none"/>
                    </w:rPr>
                  </w:pPr>
                </w:p>
              </w:tc>
              <w:tc>
                <w:tcPr>
                  <w:tcW w:w="531" w:type="pct"/>
                  <w:vMerge w:val="continue"/>
                  <w:vAlign w:val="center"/>
                </w:tcPr>
                <w:p w14:paraId="46032E8C">
                  <w:pPr>
                    <w:snapToGrid w:val="0"/>
                    <w:rPr>
                      <w:strike w:val="0"/>
                      <w:dstrike w:val="0"/>
                      <w:color w:val="auto"/>
                      <w:szCs w:val="21"/>
                      <w:highlight w:val="none"/>
                    </w:rPr>
                  </w:pPr>
                </w:p>
              </w:tc>
              <w:tc>
                <w:tcPr>
                  <w:tcW w:w="2439" w:type="pct"/>
                  <w:vAlign w:val="center"/>
                </w:tcPr>
                <w:p w14:paraId="3EEF0A22">
                  <w:pPr>
                    <w:pStyle w:val="44"/>
                    <w:jc w:val="both"/>
                    <w:rPr>
                      <w:strike w:val="0"/>
                      <w:dstrike w:val="0"/>
                      <w:color w:val="auto"/>
                      <w:sz w:val="21"/>
                      <w:szCs w:val="21"/>
                      <w:highlight w:val="none"/>
                    </w:rPr>
                  </w:pPr>
                  <w:r>
                    <w:rPr>
                      <w:strike w:val="0"/>
                      <w:dstrike w:val="0"/>
                      <w:color w:val="auto"/>
                      <w:sz w:val="21"/>
                      <w:szCs w:val="21"/>
                      <w:highlight w:val="none"/>
                    </w:rPr>
                    <w:t>第四条 合川区城市建成区主导风向上风向20公里，下风向10公里范围内，禁止新建、扩建燃煤电厂、水泥、冶炼、粉磨站等工业项目</w:t>
                  </w:r>
                </w:p>
              </w:tc>
              <w:tc>
                <w:tcPr>
                  <w:tcW w:w="959" w:type="pct"/>
                  <w:vAlign w:val="center"/>
                </w:tcPr>
                <w:p w14:paraId="15DB38F5">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本项目不属于燃煤电厂、水泥、冶炼等大气污染严重的工业项目。</w:t>
                  </w:r>
                </w:p>
              </w:tc>
              <w:tc>
                <w:tcPr>
                  <w:tcW w:w="529" w:type="pct"/>
                  <w:vAlign w:val="center"/>
                </w:tcPr>
                <w:p w14:paraId="31DEE417">
                  <w:pPr>
                    <w:snapToGrid w:val="0"/>
                    <w:rPr>
                      <w:strike w:val="0"/>
                      <w:dstrike w:val="0"/>
                      <w:color w:val="auto"/>
                      <w:szCs w:val="21"/>
                      <w:highlight w:val="none"/>
                    </w:rPr>
                  </w:pPr>
                  <w:r>
                    <w:rPr>
                      <w:strike w:val="0"/>
                      <w:dstrike w:val="0"/>
                      <w:color w:val="auto"/>
                      <w:szCs w:val="21"/>
                      <w:highlight w:val="none"/>
                    </w:rPr>
                    <w:t>符合</w:t>
                  </w:r>
                </w:p>
              </w:tc>
            </w:tr>
            <w:tr w14:paraId="5E62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5E7A9E08">
                  <w:pPr>
                    <w:snapToGrid w:val="0"/>
                    <w:rPr>
                      <w:strike w:val="0"/>
                      <w:dstrike w:val="0"/>
                      <w:color w:val="auto"/>
                      <w:szCs w:val="21"/>
                      <w:highlight w:val="none"/>
                    </w:rPr>
                  </w:pPr>
                </w:p>
              </w:tc>
              <w:tc>
                <w:tcPr>
                  <w:tcW w:w="531" w:type="pct"/>
                  <w:vMerge w:val="continue"/>
                  <w:vAlign w:val="center"/>
                </w:tcPr>
                <w:p w14:paraId="5D9FF598">
                  <w:pPr>
                    <w:snapToGrid w:val="0"/>
                    <w:rPr>
                      <w:strike w:val="0"/>
                      <w:dstrike w:val="0"/>
                      <w:color w:val="auto"/>
                      <w:szCs w:val="21"/>
                      <w:highlight w:val="none"/>
                    </w:rPr>
                  </w:pPr>
                </w:p>
              </w:tc>
              <w:tc>
                <w:tcPr>
                  <w:tcW w:w="2439" w:type="pct"/>
                  <w:vAlign w:val="center"/>
                </w:tcPr>
                <w:p w14:paraId="5F19A350">
                  <w:pPr>
                    <w:pStyle w:val="44"/>
                    <w:jc w:val="both"/>
                    <w:rPr>
                      <w:strike w:val="0"/>
                      <w:dstrike w:val="0"/>
                      <w:color w:val="auto"/>
                      <w:sz w:val="21"/>
                      <w:szCs w:val="21"/>
                      <w:highlight w:val="none"/>
                    </w:rPr>
                  </w:pPr>
                  <w:r>
                    <w:rPr>
                      <w:strike w:val="0"/>
                      <w:dstrike w:val="0"/>
                      <w:color w:val="auto"/>
                      <w:sz w:val="21"/>
                      <w:szCs w:val="21"/>
                      <w:highlight w:val="none"/>
                    </w:rPr>
                    <w:t>第五条 对工业用地上“零土地</w:t>
                  </w:r>
                  <w:r>
                    <w:rPr>
                      <w:rFonts w:hint="eastAsia"/>
                      <w:strike w:val="0"/>
                      <w:dstrike w:val="0"/>
                      <w:color w:val="auto"/>
                      <w:sz w:val="21"/>
                      <w:szCs w:val="21"/>
                      <w:highlight w:val="none"/>
                    </w:rPr>
                    <w:t>”</w:t>
                  </w:r>
                  <w:r>
                    <w:rPr>
                      <w:strike w:val="0"/>
                      <w:dstrike w:val="0"/>
                      <w:color w:val="auto"/>
                      <w:sz w:val="21"/>
                      <w:szCs w:val="21"/>
                      <w:highlight w:val="none"/>
                    </w:rPr>
                    <w:t>（不涉及新征建设用地）技术改造升级且“两不增</w:t>
                  </w:r>
                  <w:r>
                    <w:rPr>
                      <w:rFonts w:hint="eastAsia"/>
                      <w:strike w:val="0"/>
                      <w:dstrike w:val="0"/>
                      <w:color w:val="auto"/>
                      <w:sz w:val="21"/>
                      <w:szCs w:val="21"/>
                      <w:highlight w:val="none"/>
                    </w:rPr>
                    <w:t>”</w:t>
                  </w:r>
                  <w:r>
                    <w:rPr>
                      <w:strike w:val="0"/>
                      <w:dstrike w:val="0"/>
                      <w:color w:val="auto"/>
                      <w:sz w:val="21"/>
                      <w:szCs w:val="21"/>
                      <w:highlight w:val="none"/>
                    </w:rPr>
                    <w:t>（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帮助企业解决困难</w:t>
                  </w:r>
                </w:p>
              </w:tc>
              <w:tc>
                <w:tcPr>
                  <w:tcW w:w="959" w:type="pct"/>
                  <w:vAlign w:val="center"/>
                </w:tcPr>
                <w:p w14:paraId="24D30936">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不涉及。</w:t>
                  </w:r>
                </w:p>
              </w:tc>
              <w:tc>
                <w:tcPr>
                  <w:tcW w:w="529" w:type="pct"/>
                  <w:vAlign w:val="center"/>
                </w:tcPr>
                <w:p w14:paraId="6FC9D82A">
                  <w:pPr>
                    <w:snapToGrid w:val="0"/>
                    <w:rPr>
                      <w:strike w:val="0"/>
                      <w:dstrike w:val="0"/>
                      <w:color w:val="auto"/>
                      <w:szCs w:val="21"/>
                      <w:highlight w:val="none"/>
                    </w:rPr>
                  </w:pPr>
                  <w:r>
                    <w:rPr>
                      <w:strike w:val="0"/>
                      <w:dstrike w:val="0"/>
                      <w:color w:val="auto"/>
                      <w:szCs w:val="21"/>
                      <w:highlight w:val="none"/>
                    </w:rPr>
                    <w:t>符合</w:t>
                  </w:r>
                </w:p>
              </w:tc>
            </w:tr>
            <w:tr w14:paraId="74DC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55790B6C">
                  <w:pPr>
                    <w:snapToGrid w:val="0"/>
                    <w:rPr>
                      <w:strike w:val="0"/>
                      <w:dstrike w:val="0"/>
                      <w:color w:val="auto"/>
                      <w:szCs w:val="21"/>
                      <w:highlight w:val="none"/>
                    </w:rPr>
                  </w:pPr>
                </w:p>
              </w:tc>
              <w:tc>
                <w:tcPr>
                  <w:tcW w:w="531" w:type="pct"/>
                  <w:vMerge w:val="restart"/>
                  <w:vAlign w:val="center"/>
                </w:tcPr>
                <w:p w14:paraId="28C1D4DF">
                  <w:pPr>
                    <w:pStyle w:val="44"/>
                    <w:jc w:val="both"/>
                    <w:rPr>
                      <w:strike w:val="0"/>
                      <w:dstrike w:val="0"/>
                      <w:color w:val="auto"/>
                      <w:sz w:val="21"/>
                      <w:szCs w:val="21"/>
                      <w:highlight w:val="none"/>
                    </w:rPr>
                  </w:pPr>
                  <w:r>
                    <w:rPr>
                      <w:strike w:val="0"/>
                      <w:dstrike w:val="0"/>
                      <w:color w:val="auto"/>
                      <w:sz w:val="21"/>
                      <w:szCs w:val="21"/>
                      <w:highlight w:val="none"/>
                    </w:rPr>
                    <w:t>污染物排放管控</w:t>
                  </w:r>
                </w:p>
              </w:tc>
              <w:tc>
                <w:tcPr>
                  <w:tcW w:w="2439" w:type="pct"/>
                  <w:vAlign w:val="center"/>
                </w:tcPr>
                <w:p w14:paraId="3FE6D204">
                  <w:pPr>
                    <w:pStyle w:val="44"/>
                    <w:jc w:val="both"/>
                    <w:rPr>
                      <w:strike w:val="0"/>
                      <w:dstrike w:val="0"/>
                      <w:color w:val="auto"/>
                      <w:sz w:val="21"/>
                      <w:szCs w:val="21"/>
                      <w:highlight w:val="none"/>
                    </w:rPr>
                  </w:pPr>
                  <w:r>
                    <w:rPr>
                      <w:strike w:val="0"/>
                      <w:dstrike w:val="0"/>
                      <w:color w:val="auto"/>
                      <w:sz w:val="21"/>
                      <w:szCs w:val="21"/>
                      <w:highlight w:val="none"/>
                    </w:rPr>
                    <w:t>第六条 按实施燃煤电厂超低排放的总体要求，有序推进热电行业超低排放改造</w:t>
                  </w:r>
                </w:p>
              </w:tc>
              <w:tc>
                <w:tcPr>
                  <w:tcW w:w="959" w:type="pct"/>
                  <w:vAlign w:val="center"/>
                </w:tcPr>
                <w:p w14:paraId="0063C5A9">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不涉及。</w:t>
                  </w:r>
                </w:p>
              </w:tc>
              <w:tc>
                <w:tcPr>
                  <w:tcW w:w="529" w:type="pct"/>
                  <w:vAlign w:val="center"/>
                </w:tcPr>
                <w:p w14:paraId="32DBB5D0">
                  <w:pPr>
                    <w:snapToGrid w:val="0"/>
                    <w:rPr>
                      <w:strike w:val="0"/>
                      <w:dstrike w:val="0"/>
                      <w:color w:val="auto"/>
                      <w:szCs w:val="21"/>
                      <w:highlight w:val="none"/>
                    </w:rPr>
                  </w:pPr>
                  <w:r>
                    <w:rPr>
                      <w:strike w:val="0"/>
                      <w:dstrike w:val="0"/>
                      <w:color w:val="auto"/>
                      <w:szCs w:val="21"/>
                      <w:highlight w:val="none"/>
                    </w:rPr>
                    <w:t>符合</w:t>
                  </w:r>
                </w:p>
              </w:tc>
            </w:tr>
            <w:tr w14:paraId="648B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1E290E04">
                  <w:pPr>
                    <w:snapToGrid w:val="0"/>
                    <w:rPr>
                      <w:strike w:val="0"/>
                      <w:dstrike w:val="0"/>
                      <w:color w:val="auto"/>
                      <w:szCs w:val="21"/>
                      <w:highlight w:val="none"/>
                    </w:rPr>
                  </w:pPr>
                </w:p>
              </w:tc>
              <w:tc>
                <w:tcPr>
                  <w:tcW w:w="531" w:type="pct"/>
                  <w:vMerge w:val="continue"/>
                  <w:vAlign w:val="center"/>
                </w:tcPr>
                <w:p w14:paraId="1D5F85C7">
                  <w:pPr>
                    <w:snapToGrid w:val="0"/>
                    <w:rPr>
                      <w:strike w:val="0"/>
                      <w:dstrike w:val="0"/>
                      <w:color w:val="auto"/>
                      <w:szCs w:val="21"/>
                      <w:highlight w:val="none"/>
                    </w:rPr>
                  </w:pPr>
                </w:p>
              </w:tc>
              <w:tc>
                <w:tcPr>
                  <w:tcW w:w="2439" w:type="pct"/>
                  <w:vAlign w:val="center"/>
                </w:tcPr>
                <w:p w14:paraId="0FE87567">
                  <w:pPr>
                    <w:pStyle w:val="44"/>
                    <w:jc w:val="both"/>
                    <w:rPr>
                      <w:strike w:val="0"/>
                      <w:dstrike w:val="0"/>
                      <w:color w:val="auto"/>
                      <w:sz w:val="21"/>
                      <w:szCs w:val="21"/>
                      <w:highlight w:val="none"/>
                    </w:rPr>
                  </w:pPr>
                  <w:r>
                    <w:rPr>
                      <w:strike w:val="0"/>
                      <w:dstrike w:val="0"/>
                      <w:color w:val="auto"/>
                      <w:sz w:val="21"/>
                      <w:szCs w:val="21"/>
                      <w:highlight w:val="none"/>
                    </w:rPr>
                    <w:t>第七条 （城乡污水管网配套建设）强化城中村、老旧城区和城乡结合部污水的截流、收集。现有合流制排水系统应加快实施雨污分流改造，难以改造的应采取截流、调蓄和治理等措施。新建污水处理设施的配套管网应同步设计、同步建设、同步投运。城镇新区建设均应实行雨污分流。</w:t>
                  </w:r>
                </w:p>
              </w:tc>
              <w:tc>
                <w:tcPr>
                  <w:tcW w:w="959" w:type="pct"/>
                  <w:vAlign w:val="center"/>
                </w:tcPr>
                <w:p w14:paraId="67E0350A">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本项目实行雨污分流，新建污水处理设施的配套管网同步设计、同步建设、同步投运。</w:t>
                  </w:r>
                </w:p>
              </w:tc>
              <w:tc>
                <w:tcPr>
                  <w:tcW w:w="529" w:type="pct"/>
                  <w:vAlign w:val="center"/>
                </w:tcPr>
                <w:p w14:paraId="23FEB60F">
                  <w:pPr>
                    <w:snapToGrid w:val="0"/>
                    <w:rPr>
                      <w:strike w:val="0"/>
                      <w:dstrike w:val="0"/>
                      <w:color w:val="auto"/>
                      <w:szCs w:val="21"/>
                      <w:highlight w:val="none"/>
                    </w:rPr>
                  </w:pPr>
                  <w:r>
                    <w:rPr>
                      <w:strike w:val="0"/>
                      <w:dstrike w:val="0"/>
                      <w:color w:val="auto"/>
                      <w:szCs w:val="21"/>
                      <w:highlight w:val="none"/>
                    </w:rPr>
                    <w:t>符合</w:t>
                  </w:r>
                </w:p>
              </w:tc>
            </w:tr>
            <w:tr w14:paraId="5ED1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0374FC78">
                  <w:pPr>
                    <w:snapToGrid w:val="0"/>
                    <w:rPr>
                      <w:strike w:val="0"/>
                      <w:dstrike w:val="0"/>
                      <w:color w:val="auto"/>
                      <w:szCs w:val="21"/>
                      <w:highlight w:val="none"/>
                    </w:rPr>
                  </w:pPr>
                </w:p>
              </w:tc>
              <w:tc>
                <w:tcPr>
                  <w:tcW w:w="531" w:type="pct"/>
                  <w:vMerge w:val="restart"/>
                  <w:vAlign w:val="center"/>
                </w:tcPr>
                <w:p w14:paraId="33FAD1BC">
                  <w:pPr>
                    <w:pStyle w:val="44"/>
                    <w:jc w:val="both"/>
                    <w:rPr>
                      <w:strike w:val="0"/>
                      <w:dstrike w:val="0"/>
                      <w:color w:val="auto"/>
                      <w:sz w:val="21"/>
                      <w:szCs w:val="21"/>
                      <w:highlight w:val="none"/>
                    </w:rPr>
                  </w:pPr>
                  <w:r>
                    <w:rPr>
                      <w:strike w:val="0"/>
                      <w:dstrike w:val="0"/>
                      <w:color w:val="auto"/>
                      <w:sz w:val="21"/>
                      <w:szCs w:val="21"/>
                      <w:highlight w:val="none"/>
                    </w:rPr>
                    <w:t>环境风险防控</w:t>
                  </w:r>
                </w:p>
              </w:tc>
              <w:tc>
                <w:tcPr>
                  <w:tcW w:w="2439" w:type="pct"/>
                  <w:vAlign w:val="center"/>
                </w:tcPr>
                <w:p w14:paraId="0DC9FB5B">
                  <w:pPr>
                    <w:pStyle w:val="44"/>
                    <w:jc w:val="both"/>
                    <w:rPr>
                      <w:strike w:val="0"/>
                      <w:dstrike w:val="0"/>
                      <w:color w:val="auto"/>
                      <w:sz w:val="21"/>
                      <w:szCs w:val="21"/>
                      <w:highlight w:val="none"/>
                    </w:rPr>
                  </w:pPr>
                  <w:r>
                    <w:rPr>
                      <w:strike w:val="0"/>
                      <w:dstrike w:val="0"/>
                      <w:color w:val="auto"/>
                      <w:sz w:val="21"/>
                      <w:szCs w:val="21"/>
                      <w:highlight w:val="none"/>
                    </w:rPr>
                    <w:t>第八条 强化工业园区环境风险管控。实施技术、工艺、设备等生态化、循环化改造，加快布局分散的企业向园区集中，按要求设置生态隔离带，建设相应的防护工程。强化环境应急队伍建设和物资储备</w:t>
                  </w:r>
                </w:p>
              </w:tc>
              <w:tc>
                <w:tcPr>
                  <w:tcW w:w="959" w:type="pct"/>
                  <w:vAlign w:val="center"/>
                </w:tcPr>
                <w:p w14:paraId="7EE5C670">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不涉及。</w:t>
                  </w:r>
                </w:p>
              </w:tc>
              <w:tc>
                <w:tcPr>
                  <w:tcW w:w="529" w:type="pct"/>
                  <w:vAlign w:val="center"/>
                </w:tcPr>
                <w:p w14:paraId="705E0014">
                  <w:pPr>
                    <w:snapToGrid w:val="0"/>
                    <w:rPr>
                      <w:strike w:val="0"/>
                      <w:dstrike w:val="0"/>
                      <w:color w:val="auto"/>
                      <w:szCs w:val="21"/>
                      <w:highlight w:val="none"/>
                    </w:rPr>
                  </w:pPr>
                  <w:r>
                    <w:rPr>
                      <w:strike w:val="0"/>
                      <w:dstrike w:val="0"/>
                      <w:color w:val="auto"/>
                      <w:szCs w:val="21"/>
                      <w:highlight w:val="none"/>
                    </w:rPr>
                    <w:t>符合</w:t>
                  </w:r>
                </w:p>
              </w:tc>
            </w:tr>
            <w:tr w14:paraId="52B6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579F36A5">
                  <w:pPr>
                    <w:snapToGrid w:val="0"/>
                    <w:rPr>
                      <w:strike w:val="0"/>
                      <w:dstrike w:val="0"/>
                      <w:color w:val="auto"/>
                      <w:szCs w:val="21"/>
                      <w:highlight w:val="none"/>
                    </w:rPr>
                  </w:pPr>
                </w:p>
              </w:tc>
              <w:tc>
                <w:tcPr>
                  <w:tcW w:w="531" w:type="pct"/>
                  <w:vMerge w:val="continue"/>
                  <w:vAlign w:val="center"/>
                </w:tcPr>
                <w:p w14:paraId="4B105768">
                  <w:pPr>
                    <w:snapToGrid w:val="0"/>
                    <w:rPr>
                      <w:strike w:val="0"/>
                      <w:dstrike w:val="0"/>
                      <w:color w:val="auto"/>
                      <w:szCs w:val="21"/>
                      <w:highlight w:val="none"/>
                    </w:rPr>
                  </w:pPr>
                </w:p>
              </w:tc>
              <w:tc>
                <w:tcPr>
                  <w:tcW w:w="2439" w:type="pct"/>
                  <w:vAlign w:val="center"/>
                </w:tcPr>
                <w:p w14:paraId="3CCADE3A">
                  <w:pPr>
                    <w:pStyle w:val="44"/>
                    <w:jc w:val="both"/>
                    <w:rPr>
                      <w:strike w:val="0"/>
                      <w:dstrike w:val="0"/>
                      <w:color w:val="auto"/>
                      <w:sz w:val="21"/>
                      <w:szCs w:val="21"/>
                      <w:highlight w:val="none"/>
                    </w:rPr>
                  </w:pPr>
                  <w:r>
                    <w:rPr>
                      <w:strike w:val="0"/>
                      <w:dstrike w:val="0"/>
                      <w:color w:val="auto"/>
                      <w:sz w:val="21"/>
                      <w:szCs w:val="21"/>
                      <w:highlight w:val="none"/>
                    </w:rPr>
                    <w:t>第九条 完善上下游应急联动机制，与小安溪上游区县建立跨流域应急联动机制，共同保障环境安全</w:t>
                  </w:r>
                </w:p>
              </w:tc>
              <w:tc>
                <w:tcPr>
                  <w:tcW w:w="959" w:type="pct"/>
                  <w:vAlign w:val="center"/>
                </w:tcPr>
                <w:p w14:paraId="24FD8F53">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不涉及。</w:t>
                  </w:r>
                </w:p>
              </w:tc>
              <w:tc>
                <w:tcPr>
                  <w:tcW w:w="529" w:type="pct"/>
                  <w:vAlign w:val="center"/>
                </w:tcPr>
                <w:p w14:paraId="2392FF46">
                  <w:pPr>
                    <w:snapToGrid w:val="0"/>
                    <w:rPr>
                      <w:strike w:val="0"/>
                      <w:dstrike w:val="0"/>
                      <w:color w:val="auto"/>
                      <w:szCs w:val="21"/>
                      <w:highlight w:val="none"/>
                    </w:rPr>
                  </w:pPr>
                  <w:r>
                    <w:rPr>
                      <w:strike w:val="0"/>
                      <w:dstrike w:val="0"/>
                      <w:color w:val="auto"/>
                      <w:szCs w:val="21"/>
                      <w:highlight w:val="none"/>
                    </w:rPr>
                    <w:t>符合</w:t>
                  </w:r>
                </w:p>
              </w:tc>
            </w:tr>
            <w:tr w14:paraId="0A72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0" w:type="pct"/>
                  <w:vMerge w:val="continue"/>
                  <w:vAlign w:val="center"/>
                </w:tcPr>
                <w:p w14:paraId="722DE0FC">
                  <w:pPr>
                    <w:snapToGrid w:val="0"/>
                    <w:rPr>
                      <w:strike w:val="0"/>
                      <w:dstrike w:val="0"/>
                      <w:color w:val="auto"/>
                      <w:szCs w:val="21"/>
                      <w:highlight w:val="none"/>
                    </w:rPr>
                  </w:pPr>
                </w:p>
              </w:tc>
              <w:tc>
                <w:tcPr>
                  <w:tcW w:w="531" w:type="pct"/>
                  <w:vMerge w:val="restart"/>
                  <w:vAlign w:val="center"/>
                </w:tcPr>
                <w:p w14:paraId="35232B1B">
                  <w:pPr>
                    <w:pStyle w:val="44"/>
                    <w:jc w:val="both"/>
                    <w:rPr>
                      <w:strike w:val="0"/>
                      <w:dstrike w:val="0"/>
                      <w:color w:val="auto"/>
                      <w:sz w:val="21"/>
                      <w:szCs w:val="21"/>
                      <w:highlight w:val="none"/>
                    </w:rPr>
                  </w:pPr>
                  <w:r>
                    <w:rPr>
                      <w:strike w:val="0"/>
                      <w:dstrike w:val="0"/>
                      <w:color w:val="auto"/>
                      <w:sz w:val="21"/>
                      <w:szCs w:val="21"/>
                      <w:highlight w:val="none"/>
                    </w:rPr>
                    <w:t>资源开发利用效率</w:t>
                  </w:r>
                </w:p>
              </w:tc>
              <w:tc>
                <w:tcPr>
                  <w:tcW w:w="2439" w:type="pct"/>
                  <w:vAlign w:val="center"/>
                </w:tcPr>
                <w:p w14:paraId="7597E053">
                  <w:pPr>
                    <w:pStyle w:val="44"/>
                    <w:jc w:val="both"/>
                    <w:rPr>
                      <w:strike w:val="0"/>
                      <w:dstrike w:val="0"/>
                      <w:color w:val="auto"/>
                      <w:sz w:val="21"/>
                      <w:szCs w:val="21"/>
                      <w:highlight w:val="none"/>
                    </w:rPr>
                  </w:pPr>
                  <w:r>
                    <w:rPr>
                      <w:strike w:val="0"/>
                      <w:dstrike w:val="0"/>
                      <w:color w:val="auto"/>
                      <w:sz w:val="21"/>
                      <w:szCs w:val="21"/>
                      <w:highlight w:val="none"/>
                    </w:rPr>
                    <w:t>第十条 在划定的高污染燃料禁燃区内，禁止销售和使用原煤、煤矸石、重油、渣油、石油焦、木柴、秸秆等国家和本市规定的高污染燃料。现有使用高污染燃料的设施应当限期淘汰或者改用天然气、页岩气、液化石油气、电、风能等清洁能源</w:t>
                  </w:r>
                </w:p>
              </w:tc>
              <w:tc>
                <w:tcPr>
                  <w:tcW w:w="959" w:type="pct"/>
                  <w:vAlign w:val="center"/>
                </w:tcPr>
                <w:p w14:paraId="3CD922C8">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本项目使用电能。</w:t>
                  </w:r>
                </w:p>
              </w:tc>
              <w:tc>
                <w:tcPr>
                  <w:tcW w:w="529" w:type="pct"/>
                  <w:vAlign w:val="center"/>
                </w:tcPr>
                <w:p w14:paraId="7B528209">
                  <w:pPr>
                    <w:snapToGrid w:val="0"/>
                    <w:rPr>
                      <w:strike w:val="0"/>
                      <w:dstrike w:val="0"/>
                      <w:color w:val="auto"/>
                      <w:szCs w:val="21"/>
                      <w:highlight w:val="none"/>
                    </w:rPr>
                  </w:pPr>
                  <w:r>
                    <w:rPr>
                      <w:strike w:val="0"/>
                      <w:dstrike w:val="0"/>
                      <w:color w:val="auto"/>
                      <w:szCs w:val="21"/>
                      <w:highlight w:val="none"/>
                    </w:rPr>
                    <w:t>符合</w:t>
                  </w:r>
                </w:p>
              </w:tc>
            </w:tr>
            <w:tr w14:paraId="527C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Merge w:val="continue"/>
                  <w:vAlign w:val="center"/>
                </w:tcPr>
                <w:p w14:paraId="6E616532">
                  <w:pPr>
                    <w:snapToGrid w:val="0"/>
                    <w:rPr>
                      <w:strike w:val="0"/>
                      <w:dstrike w:val="0"/>
                      <w:color w:val="auto"/>
                      <w:szCs w:val="21"/>
                      <w:highlight w:val="none"/>
                    </w:rPr>
                  </w:pPr>
                </w:p>
              </w:tc>
              <w:tc>
                <w:tcPr>
                  <w:tcW w:w="531" w:type="pct"/>
                  <w:vMerge w:val="continue"/>
                  <w:vAlign w:val="center"/>
                </w:tcPr>
                <w:p w14:paraId="39EDDBC5">
                  <w:pPr>
                    <w:snapToGrid w:val="0"/>
                    <w:rPr>
                      <w:strike w:val="0"/>
                      <w:dstrike w:val="0"/>
                      <w:color w:val="auto"/>
                      <w:szCs w:val="21"/>
                      <w:highlight w:val="none"/>
                    </w:rPr>
                  </w:pPr>
                </w:p>
              </w:tc>
              <w:tc>
                <w:tcPr>
                  <w:tcW w:w="2439" w:type="pct"/>
                  <w:vAlign w:val="center"/>
                </w:tcPr>
                <w:p w14:paraId="74D4A37D">
                  <w:pPr>
                    <w:pStyle w:val="44"/>
                    <w:jc w:val="both"/>
                    <w:rPr>
                      <w:strike w:val="0"/>
                      <w:dstrike w:val="0"/>
                      <w:color w:val="auto"/>
                      <w:sz w:val="21"/>
                      <w:szCs w:val="21"/>
                      <w:highlight w:val="none"/>
                    </w:rPr>
                  </w:pPr>
                  <w:r>
                    <w:rPr>
                      <w:strike w:val="0"/>
                      <w:dstrike w:val="0"/>
                      <w:color w:val="auto"/>
                      <w:sz w:val="21"/>
                      <w:szCs w:val="21"/>
                      <w:highlight w:val="none"/>
                    </w:rPr>
                    <w:t>第十一条 强化岸线及港口的布局要求，对小散码头落实“限制发展、逐步整合、适时关闭</w:t>
                  </w:r>
                  <w:r>
                    <w:rPr>
                      <w:rFonts w:hint="eastAsia"/>
                      <w:strike w:val="0"/>
                      <w:dstrike w:val="0"/>
                      <w:color w:val="auto"/>
                      <w:sz w:val="21"/>
                      <w:szCs w:val="21"/>
                      <w:highlight w:val="none"/>
                    </w:rPr>
                    <w:t>”</w:t>
                  </w:r>
                  <w:r>
                    <w:rPr>
                      <w:strike w:val="0"/>
                      <w:dstrike w:val="0"/>
                      <w:color w:val="auto"/>
                      <w:sz w:val="21"/>
                      <w:szCs w:val="21"/>
                      <w:highlight w:val="none"/>
                    </w:rPr>
                    <w:t>的要求，对保留码头强化污染防控措施</w:t>
                  </w:r>
                </w:p>
              </w:tc>
              <w:tc>
                <w:tcPr>
                  <w:tcW w:w="959" w:type="pct"/>
                  <w:vAlign w:val="center"/>
                </w:tcPr>
                <w:p w14:paraId="7F9D4802">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不涉及。</w:t>
                  </w:r>
                </w:p>
              </w:tc>
              <w:tc>
                <w:tcPr>
                  <w:tcW w:w="529" w:type="pct"/>
                  <w:vAlign w:val="center"/>
                </w:tcPr>
                <w:p w14:paraId="6571A60E">
                  <w:pPr>
                    <w:snapToGrid w:val="0"/>
                    <w:rPr>
                      <w:strike w:val="0"/>
                      <w:dstrike w:val="0"/>
                      <w:color w:val="auto"/>
                      <w:szCs w:val="21"/>
                      <w:highlight w:val="none"/>
                    </w:rPr>
                  </w:pPr>
                  <w:r>
                    <w:rPr>
                      <w:strike w:val="0"/>
                      <w:dstrike w:val="0"/>
                      <w:color w:val="auto"/>
                      <w:szCs w:val="21"/>
                      <w:highlight w:val="none"/>
                    </w:rPr>
                    <w:t>符合</w:t>
                  </w:r>
                </w:p>
              </w:tc>
            </w:tr>
            <w:tr w14:paraId="436A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restart"/>
                  <w:vAlign w:val="center"/>
                </w:tcPr>
                <w:p w14:paraId="48F9FAA2">
                  <w:pPr>
                    <w:snapToGrid w:val="0"/>
                    <w:rPr>
                      <w:strike w:val="0"/>
                      <w:dstrike w:val="0"/>
                      <w:color w:val="auto"/>
                      <w:szCs w:val="21"/>
                      <w:highlight w:val="none"/>
                    </w:rPr>
                  </w:pPr>
                  <w:r>
                    <w:rPr>
                      <w:strike w:val="0"/>
                      <w:dstrike w:val="0"/>
                      <w:color w:val="auto"/>
                      <w:szCs w:val="21"/>
                      <w:highlight w:val="none"/>
                    </w:rPr>
                    <w:t>合川区工业城镇重点管控单元-天顶片区单元管控要求</w:t>
                  </w:r>
                </w:p>
              </w:tc>
              <w:tc>
                <w:tcPr>
                  <w:tcW w:w="531" w:type="pct"/>
                  <w:vAlign w:val="center"/>
                </w:tcPr>
                <w:p w14:paraId="35E56897">
                  <w:pPr>
                    <w:snapToGrid w:val="0"/>
                    <w:rPr>
                      <w:strike w:val="0"/>
                      <w:dstrike w:val="0"/>
                      <w:color w:val="auto"/>
                      <w:szCs w:val="21"/>
                      <w:highlight w:val="none"/>
                    </w:rPr>
                  </w:pPr>
                  <w:r>
                    <w:rPr>
                      <w:strike w:val="0"/>
                      <w:dstrike w:val="0"/>
                      <w:color w:val="auto"/>
                      <w:szCs w:val="21"/>
                      <w:highlight w:val="none"/>
                    </w:rPr>
                    <w:t>空间布局约束</w:t>
                  </w:r>
                </w:p>
              </w:tc>
              <w:tc>
                <w:tcPr>
                  <w:tcW w:w="2439" w:type="pct"/>
                  <w:vAlign w:val="center"/>
                </w:tcPr>
                <w:p w14:paraId="56403E9A">
                  <w:pPr>
                    <w:rPr>
                      <w:strike w:val="0"/>
                      <w:dstrike w:val="0"/>
                      <w:color w:val="auto"/>
                      <w:szCs w:val="21"/>
                      <w:highlight w:val="none"/>
                    </w:rPr>
                  </w:pPr>
                  <w:r>
                    <w:rPr>
                      <w:strike w:val="0"/>
                      <w:dstrike w:val="0"/>
                      <w:color w:val="auto"/>
                      <w:szCs w:val="21"/>
                      <w:highlight w:val="none"/>
                    </w:rPr>
                    <w:t>1.临近居住、学校教育等用地侧禁止布设喷涂、铸造等大气污染较重和噪声影响较大的项目；与居住、学校教育等用地间距小于50米的已建企业，应当通过优化调整布局、加强环保措施等方式，确保不扰民。</w:t>
                  </w:r>
                </w:p>
              </w:tc>
              <w:tc>
                <w:tcPr>
                  <w:tcW w:w="959" w:type="pct"/>
                  <w:vAlign w:val="center"/>
                </w:tcPr>
                <w:p w14:paraId="7A23CFAF">
                  <w:pPr>
                    <w:rPr>
                      <w:strike w:val="0"/>
                      <w:dstrike w:val="0"/>
                      <w:color w:val="auto"/>
                      <w:szCs w:val="21"/>
                      <w:highlight w:val="none"/>
                    </w:rPr>
                  </w:pPr>
                  <w:r>
                    <w:rPr>
                      <w:strike w:val="0"/>
                      <w:dstrike w:val="0"/>
                      <w:color w:val="auto"/>
                      <w:szCs w:val="21"/>
                      <w:highlight w:val="none"/>
                    </w:rPr>
                    <w:t>项目</w:t>
                  </w:r>
                  <w:r>
                    <w:rPr>
                      <w:rFonts w:hint="eastAsia"/>
                      <w:strike w:val="0"/>
                      <w:dstrike w:val="0"/>
                      <w:color w:val="auto"/>
                      <w:szCs w:val="21"/>
                      <w:highlight w:val="none"/>
                      <w:lang w:eastAsia="zh-CN"/>
                    </w:rPr>
                    <w:t>属于机动车燃油、燃气零售项目</w:t>
                  </w:r>
                  <w:r>
                    <w:rPr>
                      <w:strike w:val="0"/>
                      <w:dstrike w:val="0"/>
                      <w:color w:val="auto"/>
                      <w:szCs w:val="21"/>
                      <w:highlight w:val="none"/>
                    </w:rPr>
                    <w:t>，不属于喷涂、铸造等大气污染较重和噪声影响较大的项目，且周边主要为物流仓储用地和工业用地。</w:t>
                  </w:r>
                </w:p>
              </w:tc>
              <w:tc>
                <w:tcPr>
                  <w:tcW w:w="529" w:type="pct"/>
                  <w:vAlign w:val="center"/>
                </w:tcPr>
                <w:p w14:paraId="4740D604">
                  <w:pPr>
                    <w:snapToGrid w:val="0"/>
                    <w:rPr>
                      <w:strike w:val="0"/>
                      <w:dstrike w:val="0"/>
                      <w:color w:val="auto"/>
                      <w:szCs w:val="21"/>
                      <w:highlight w:val="none"/>
                    </w:rPr>
                  </w:pPr>
                  <w:r>
                    <w:rPr>
                      <w:strike w:val="0"/>
                      <w:dstrike w:val="0"/>
                      <w:color w:val="auto"/>
                      <w:szCs w:val="21"/>
                      <w:highlight w:val="none"/>
                    </w:rPr>
                    <w:t>符合</w:t>
                  </w:r>
                </w:p>
              </w:tc>
            </w:tr>
            <w:tr w14:paraId="5B8A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3280109A">
                  <w:pPr>
                    <w:snapToGrid w:val="0"/>
                    <w:rPr>
                      <w:strike w:val="0"/>
                      <w:dstrike w:val="0"/>
                      <w:color w:val="auto"/>
                      <w:szCs w:val="21"/>
                      <w:highlight w:val="none"/>
                    </w:rPr>
                  </w:pPr>
                </w:p>
              </w:tc>
              <w:tc>
                <w:tcPr>
                  <w:tcW w:w="531" w:type="pct"/>
                  <w:vAlign w:val="center"/>
                </w:tcPr>
                <w:p w14:paraId="31BB1381">
                  <w:pPr>
                    <w:snapToGrid w:val="0"/>
                    <w:rPr>
                      <w:strike w:val="0"/>
                      <w:dstrike w:val="0"/>
                      <w:color w:val="auto"/>
                      <w:szCs w:val="21"/>
                      <w:highlight w:val="none"/>
                    </w:rPr>
                  </w:pPr>
                  <w:r>
                    <w:rPr>
                      <w:strike w:val="0"/>
                      <w:dstrike w:val="0"/>
                      <w:color w:val="auto"/>
                      <w:szCs w:val="21"/>
                      <w:highlight w:val="none"/>
                    </w:rPr>
                    <w:t>污染物排放管控</w:t>
                  </w:r>
                </w:p>
              </w:tc>
              <w:tc>
                <w:tcPr>
                  <w:tcW w:w="2439" w:type="pct"/>
                  <w:vAlign w:val="center"/>
                </w:tcPr>
                <w:p w14:paraId="6DA479A7">
                  <w:pPr>
                    <w:rPr>
                      <w:strike w:val="0"/>
                      <w:dstrike w:val="0"/>
                      <w:color w:val="auto"/>
                      <w:szCs w:val="21"/>
                      <w:highlight w:val="none"/>
                    </w:rPr>
                  </w:pPr>
                  <w:r>
                    <w:rPr>
                      <w:strike w:val="0"/>
                      <w:dstrike w:val="0"/>
                      <w:color w:val="auto"/>
                      <w:szCs w:val="21"/>
                      <w:highlight w:val="none"/>
                    </w:rPr>
                    <w:t>1.以工业涂装、包装印刷等行业为重点，实施原辅材料和产品源头替代。工业涂装企业和涉及喷涂作业的机动车维修服务企业，应当按照规定安装、使用污染防治设施，使用低挥发性有机物含量的原辅材料，或者进行工艺改造，并对原辅材料储运、加工生产、废弃物处置等环节实施全过程控制。</w:t>
                  </w:r>
                </w:p>
              </w:tc>
              <w:tc>
                <w:tcPr>
                  <w:tcW w:w="959" w:type="pct"/>
                  <w:vAlign w:val="center"/>
                </w:tcPr>
                <w:p w14:paraId="0D5B6333">
                  <w:pPr>
                    <w:pStyle w:val="44"/>
                    <w:adjustRightInd w:val="0"/>
                    <w:snapToGrid w:val="0"/>
                    <w:jc w:val="both"/>
                    <w:rPr>
                      <w:strike w:val="0"/>
                      <w:dstrike w:val="0"/>
                      <w:color w:val="auto"/>
                      <w:sz w:val="21"/>
                      <w:szCs w:val="21"/>
                      <w:highlight w:val="none"/>
                    </w:rPr>
                  </w:pPr>
                  <w:r>
                    <w:rPr>
                      <w:strike w:val="0"/>
                      <w:dstrike w:val="0"/>
                      <w:color w:val="auto"/>
                      <w:sz w:val="21"/>
                      <w:szCs w:val="21"/>
                      <w:highlight w:val="none"/>
                    </w:rPr>
                    <w:t>不涉及。</w:t>
                  </w:r>
                </w:p>
              </w:tc>
              <w:tc>
                <w:tcPr>
                  <w:tcW w:w="529" w:type="pct"/>
                  <w:vAlign w:val="center"/>
                </w:tcPr>
                <w:p w14:paraId="44919DB5">
                  <w:pPr>
                    <w:snapToGrid w:val="0"/>
                    <w:rPr>
                      <w:strike w:val="0"/>
                      <w:dstrike w:val="0"/>
                      <w:color w:val="auto"/>
                      <w:szCs w:val="21"/>
                      <w:highlight w:val="none"/>
                    </w:rPr>
                  </w:pPr>
                  <w:r>
                    <w:rPr>
                      <w:strike w:val="0"/>
                      <w:dstrike w:val="0"/>
                      <w:color w:val="auto"/>
                      <w:szCs w:val="21"/>
                      <w:highlight w:val="none"/>
                    </w:rPr>
                    <w:t>符合</w:t>
                  </w:r>
                </w:p>
              </w:tc>
            </w:tr>
            <w:tr w14:paraId="47C7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0A02CAF5">
                  <w:pPr>
                    <w:snapToGrid w:val="0"/>
                    <w:rPr>
                      <w:strike w:val="0"/>
                      <w:dstrike w:val="0"/>
                      <w:color w:val="auto"/>
                      <w:szCs w:val="21"/>
                      <w:highlight w:val="none"/>
                    </w:rPr>
                  </w:pPr>
                </w:p>
              </w:tc>
              <w:tc>
                <w:tcPr>
                  <w:tcW w:w="531" w:type="pct"/>
                  <w:vAlign w:val="center"/>
                </w:tcPr>
                <w:p w14:paraId="38E77E02">
                  <w:pPr>
                    <w:snapToGrid w:val="0"/>
                    <w:rPr>
                      <w:strike w:val="0"/>
                      <w:dstrike w:val="0"/>
                      <w:color w:val="auto"/>
                      <w:szCs w:val="21"/>
                      <w:highlight w:val="none"/>
                    </w:rPr>
                  </w:pPr>
                  <w:r>
                    <w:rPr>
                      <w:strike w:val="0"/>
                      <w:dstrike w:val="0"/>
                      <w:color w:val="auto"/>
                      <w:szCs w:val="21"/>
                      <w:highlight w:val="none"/>
                    </w:rPr>
                    <w:t>环境风险防控</w:t>
                  </w:r>
                </w:p>
              </w:tc>
              <w:tc>
                <w:tcPr>
                  <w:tcW w:w="2439" w:type="pct"/>
                  <w:vAlign w:val="center"/>
                </w:tcPr>
                <w:p w14:paraId="67A973A1">
                  <w:pPr>
                    <w:rPr>
                      <w:strike w:val="0"/>
                      <w:dstrike w:val="0"/>
                      <w:color w:val="auto"/>
                      <w:szCs w:val="21"/>
                      <w:highlight w:val="none"/>
                    </w:rPr>
                  </w:pPr>
                  <w:r>
                    <w:rPr>
                      <w:strike w:val="0"/>
                      <w:dstrike w:val="0"/>
                      <w:color w:val="auto"/>
                      <w:szCs w:val="21"/>
                      <w:highlight w:val="none"/>
                    </w:rPr>
                    <w:t>2.加快建设微车基地污水处理厂，确保与服务范围的工业项目建设相衔接，保证规划区生活污水和工业废水可得到有效收集处置。</w:t>
                  </w:r>
                </w:p>
              </w:tc>
              <w:tc>
                <w:tcPr>
                  <w:tcW w:w="959" w:type="pct"/>
                  <w:vAlign w:val="center"/>
                </w:tcPr>
                <w:p w14:paraId="20DCE6BD">
                  <w:pPr>
                    <w:rPr>
                      <w:strike w:val="0"/>
                      <w:dstrike w:val="0"/>
                      <w:color w:val="auto"/>
                      <w:szCs w:val="21"/>
                      <w:highlight w:val="none"/>
                    </w:rPr>
                  </w:pPr>
                  <w:r>
                    <w:rPr>
                      <w:strike w:val="0"/>
                      <w:dstrike w:val="0"/>
                      <w:color w:val="auto"/>
                      <w:szCs w:val="21"/>
                      <w:highlight w:val="none"/>
                    </w:rPr>
                    <w:t>不涉及。</w:t>
                  </w:r>
                </w:p>
              </w:tc>
              <w:tc>
                <w:tcPr>
                  <w:tcW w:w="529" w:type="pct"/>
                  <w:vAlign w:val="center"/>
                </w:tcPr>
                <w:p w14:paraId="341ECF77">
                  <w:pPr>
                    <w:snapToGrid w:val="0"/>
                    <w:rPr>
                      <w:strike w:val="0"/>
                      <w:dstrike w:val="0"/>
                      <w:color w:val="auto"/>
                      <w:szCs w:val="21"/>
                      <w:highlight w:val="none"/>
                    </w:rPr>
                  </w:pPr>
                  <w:r>
                    <w:rPr>
                      <w:strike w:val="0"/>
                      <w:dstrike w:val="0"/>
                      <w:color w:val="auto"/>
                      <w:szCs w:val="21"/>
                      <w:highlight w:val="none"/>
                    </w:rPr>
                    <w:t>符合</w:t>
                  </w:r>
                </w:p>
              </w:tc>
            </w:tr>
            <w:tr w14:paraId="0FE5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75E39872">
                  <w:pPr>
                    <w:snapToGrid w:val="0"/>
                    <w:rPr>
                      <w:strike w:val="0"/>
                      <w:dstrike w:val="0"/>
                      <w:color w:val="auto"/>
                      <w:szCs w:val="21"/>
                      <w:highlight w:val="none"/>
                    </w:rPr>
                  </w:pPr>
                </w:p>
              </w:tc>
              <w:tc>
                <w:tcPr>
                  <w:tcW w:w="531" w:type="pct"/>
                  <w:vAlign w:val="center"/>
                </w:tcPr>
                <w:p w14:paraId="0DCFBBAF">
                  <w:pPr>
                    <w:snapToGrid w:val="0"/>
                    <w:rPr>
                      <w:strike w:val="0"/>
                      <w:dstrike w:val="0"/>
                      <w:color w:val="auto"/>
                      <w:szCs w:val="21"/>
                      <w:highlight w:val="none"/>
                    </w:rPr>
                  </w:pPr>
                  <w:r>
                    <w:rPr>
                      <w:strike w:val="0"/>
                      <w:dstrike w:val="0"/>
                      <w:color w:val="auto"/>
                      <w:szCs w:val="21"/>
                      <w:highlight w:val="none"/>
                    </w:rPr>
                    <w:t>资源开发利用效率</w:t>
                  </w:r>
                </w:p>
              </w:tc>
              <w:tc>
                <w:tcPr>
                  <w:tcW w:w="2439" w:type="pct"/>
                  <w:vAlign w:val="center"/>
                </w:tcPr>
                <w:p w14:paraId="404303E5">
                  <w:pPr>
                    <w:rPr>
                      <w:strike w:val="0"/>
                      <w:dstrike w:val="0"/>
                      <w:color w:val="auto"/>
                      <w:szCs w:val="21"/>
                      <w:highlight w:val="none"/>
                    </w:rPr>
                  </w:pPr>
                  <w:r>
                    <w:rPr>
                      <w:strike w:val="0"/>
                      <w:dstrike w:val="0"/>
                      <w:color w:val="auto"/>
                      <w:szCs w:val="21"/>
                      <w:highlight w:val="none"/>
                    </w:rPr>
                    <w:t>3.加快清平镇、土场镇生活污水雨污分流改造，无法实施分流制区域提高截留倍数。</w:t>
                  </w:r>
                </w:p>
              </w:tc>
              <w:tc>
                <w:tcPr>
                  <w:tcW w:w="959" w:type="pct"/>
                  <w:vAlign w:val="center"/>
                </w:tcPr>
                <w:p w14:paraId="78926603">
                  <w:pPr>
                    <w:rPr>
                      <w:strike w:val="0"/>
                      <w:dstrike w:val="0"/>
                      <w:color w:val="auto"/>
                      <w:szCs w:val="21"/>
                      <w:highlight w:val="none"/>
                    </w:rPr>
                  </w:pPr>
                  <w:r>
                    <w:rPr>
                      <w:strike w:val="0"/>
                      <w:dstrike w:val="0"/>
                      <w:color w:val="auto"/>
                      <w:szCs w:val="21"/>
                      <w:highlight w:val="none"/>
                    </w:rPr>
                    <w:t>本项目实行雨污分流。</w:t>
                  </w:r>
                </w:p>
              </w:tc>
              <w:tc>
                <w:tcPr>
                  <w:tcW w:w="529" w:type="pct"/>
                  <w:vAlign w:val="center"/>
                </w:tcPr>
                <w:p w14:paraId="20349DF7">
                  <w:pPr>
                    <w:snapToGrid w:val="0"/>
                    <w:rPr>
                      <w:strike w:val="0"/>
                      <w:dstrike w:val="0"/>
                      <w:color w:val="auto"/>
                      <w:szCs w:val="21"/>
                      <w:highlight w:val="none"/>
                    </w:rPr>
                  </w:pPr>
                  <w:r>
                    <w:rPr>
                      <w:strike w:val="0"/>
                      <w:dstrike w:val="0"/>
                      <w:color w:val="auto"/>
                      <w:szCs w:val="21"/>
                      <w:highlight w:val="none"/>
                    </w:rPr>
                    <w:t>符合</w:t>
                  </w:r>
                </w:p>
              </w:tc>
            </w:tr>
            <w:tr w14:paraId="6733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4CF19D40">
                  <w:pPr>
                    <w:snapToGrid w:val="0"/>
                    <w:rPr>
                      <w:strike w:val="0"/>
                      <w:dstrike w:val="0"/>
                      <w:color w:val="auto"/>
                      <w:szCs w:val="21"/>
                      <w:highlight w:val="none"/>
                    </w:rPr>
                  </w:pPr>
                </w:p>
              </w:tc>
              <w:tc>
                <w:tcPr>
                  <w:tcW w:w="815" w:type="dxa"/>
                  <w:vAlign w:val="center"/>
                </w:tcPr>
                <w:p w14:paraId="22872CAA">
                  <w:pPr>
                    <w:snapToGrid w:val="0"/>
                    <w:rPr>
                      <w:strike w:val="0"/>
                      <w:dstrike w:val="0"/>
                      <w:color w:val="auto"/>
                      <w:szCs w:val="21"/>
                      <w:highlight w:val="none"/>
                    </w:rPr>
                  </w:pPr>
                  <w:r>
                    <w:rPr>
                      <w:strike w:val="0"/>
                      <w:dstrike w:val="0"/>
                      <w:color w:val="auto"/>
                      <w:szCs w:val="21"/>
                      <w:highlight w:val="none"/>
                    </w:rPr>
                    <w:t>环境风险防控</w:t>
                  </w:r>
                </w:p>
              </w:tc>
              <w:tc>
                <w:tcPr>
                  <w:tcW w:w="3742" w:type="dxa"/>
                  <w:vAlign w:val="center"/>
                </w:tcPr>
                <w:p w14:paraId="7803A9F3">
                  <w:pPr>
                    <w:rPr>
                      <w:strike w:val="0"/>
                      <w:dstrike w:val="0"/>
                      <w:color w:val="auto"/>
                      <w:szCs w:val="21"/>
                      <w:highlight w:val="none"/>
                    </w:rPr>
                  </w:pPr>
                  <w:r>
                    <w:rPr>
                      <w:strike w:val="0"/>
                      <w:dstrike w:val="0"/>
                      <w:color w:val="auto"/>
                      <w:szCs w:val="21"/>
                      <w:highlight w:val="none"/>
                    </w:rPr>
                    <w:t>1.定期开展环境安全排查整治专项行动，建立环境风险隐患排查档案，实行销号制度。</w:t>
                  </w:r>
                </w:p>
              </w:tc>
              <w:tc>
                <w:tcPr>
                  <w:tcW w:w="959" w:type="pct"/>
                  <w:vAlign w:val="center"/>
                </w:tcPr>
                <w:p w14:paraId="3FB64398">
                  <w:pPr>
                    <w:pStyle w:val="45"/>
                    <w:widowControl w:val="0"/>
                    <w:spacing w:line="240" w:lineRule="auto"/>
                    <w:ind w:firstLine="0" w:firstLineChars="0"/>
                    <w:jc w:val="both"/>
                    <w:rPr>
                      <w:strike w:val="0"/>
                      <w:dstrike w:val="0"/>
                      <w:color w:val="auto"/>
                      <w:sz w:val="21"/>
                      <w:szCs w:val="21"/>
                      <w:highlight w:val="none"/>
                    </w:rPr>
                  </w:pPr>
                  <w:r>
                    <w:rPr>
                      <w:strike w:val="0"/>
                      <w:dstrike w:val="0"/>
                      <w:color w:val="auto"/>
                      <w:sz w:val="21"/>
                      <w:szCs w:val="21"/>
                      <w:highlight w:val="none"/>
                    </w:rPr>
                    <w:t>本项目不涉及。</w:t>
                  </w:r>
                </w:p>
              </w:tc>
              <w:tc>
                <w:tcPr>
                  <w:tcW w:w="529" w:type="pct"/>
                  <w:vAlign w:val="center"/>
                </w:tcPr>
                <w:p w14:paraId="5787375D">
                  <w:pPr>
                    <w:snapToGrid w:val="0"/>
                    <w:rPr>
                      <w:strike w:val="0"/>
                      <w:dstrike w:val="0"/>
                      <w:color w:val="auto"/>
                      <w:szCs w:val="21"/>
                      <w:highlight w:val="none"/>
                    </w:rPr>
                  </w:pPr>
                  <w:r>
                    <w:rPr>
                      <w:strike w:val="0"/>
                      <w:dstrike w:val="0"/>
                      <w:color w:val="auto"/>
                      <w:szCs w:val="21"/>
                      <w:highlight w:val="none"/>
                    </w:rPr>
                    <w:t>符合</w:t>
                  </w:r>
                </w:p>
              </w:tc>
            </w:tr>
            <w:tr w14:paraId="520B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vAlign w:val="center"/>
                </w:tcPr>
                <w:p w14:paraId="6AF2E4BA">
                  <w:pPr>
                    <w:snapToGrid w:val="0"/>
                    <w:rPr>
                      <w:strike w:val="0"/>
                      <w:dstrike w:val="0"/>
                      <w:color w:val="auto"/>
                      <w:szCs w:val="21"/>
                      <w:highlight w:val="none"/>
                    </w:rPr>
                  </w:pPr>
                </w:p>
              </w:tc>
              <w:tc>
                <w:tcPr>
                  <w:tcW w:w="815" w:type="dxa"/>
                  <w:vAlign w:val="center"/>
                </w:tcPr>
                <w:p w14:paraId="2A63A04A">
                  <w:pPr>
                    <w:snapToGrid w:val="0"/>
                    <w:rPr>
                      <w:strike w:val="0"/>
                      <w:dstrike w:val="0"/>
                      <w:color w:val="auto"/>
                      <w:szCs w:val="21"/>
                      <w:highlight w:val="none"/>
                    </w:rPr>
                  </w:pPr>
                  <w:r>
                    <w:rPr>
                      <w:strike w:val="0"/>
                      <w:dstrike w:val="0"/>
                      <w:color w:val="auto"/>
                      <w:szCs w:val="21"/>
                      <w:highlight w:val="none"/>
                    </w:rPr>
                    <w:t>资源开发利用效率</w:t>
                  </w:r>
                </w:p>
              </w:tc>
              <w:tc>
                <w:tcPr>
                  <w:tcW w:w="3742" w:type="dxa"/>
                  <w:vAlign w:val="center"/>
                </w:tcPr>
                <w:p w14:paraId="2F73CEA5">
                  <w:pPr>
                    <w:rPr>
                      <w:strike w:val="0"/>
                      <w:dstrike w:val="0"/>
                      <w:color w:val="auto"/>
                      <w:szCs w:val="21"/>
                      <w:highlight w:val="none"/>
                    </w:rPr>
                  </w:pPr>
                  <w:r>
                    <w:rPr>
                      <w:strike w:val="0"/>
                      <w:dstrike w:val="0"/>
                      <w:color w:val="auto"/>
                      <w:szCs w:val="21"/>
                      <w:highlight w:val="none"/>
                    </w:rPr>
                    <w:t>/</w:t>
                  </w:r>
                </w:p>
              </w:tc>
              <w:tc>
                <w:tcPr>
                  <w:tcW w:w="959" w:type="pct"/>
                  <w:vAlign w:val="center"/>
                </w:tcPr>
                <w:p w14:paraId="041B3502">
                  <w:pPr>
                    <w:rPr>
                      <w:strike w:val="0"/>
                      <w:dstrike w:val="0"/>
                      <w:color w:val="auto"/>
                      <w:szCs w:val="21"/>
                      <w:highlight w:val="none"/>
                    </w:rPr>
                  </w:pPr>
                  <w:r>
                    <w:rPr>
                      <w:strike w:val="0"/>
                      <w:dstrike w:val="0"/>
                      <w:color w:val="auto"/>
                      <w:szCs w:val="21"/>
                      <w:highlight w:val="none"/>
                    </w:rPr>
                    <w:t>/</w:t>
                  </w:r>
                </w:p>
              </w:tc>
              <w:tc>
                <w:tcPr>
                  <w:tcW w:w="529" w:type="pct"/>
                  <w:vAlign w:val="center"/>
                </w:tcPr>
                <w:p w14:paraId="08B9C0FD">
                  <w:pPr>
                    <w:snapToGrid w:val="0"/>
                    <w:rPr>
                      <w:strike w:val="0"/>
                      <w:dstrike w:val="0"/>
                      <w:color w:val="auto"/>
                      <w:szCs w:val="21"/>
                      <w:highlight w:val="none"/>
                    </w:rPr>
                  </w:pPr>
                  <w:r>
                    <w:rPr>
                      <w:strike w:val="0"/>
                      <w:dstrike w:val="0"/>
                      <w:color w:val="auto"/>
                      <w:szCs w:val="21"/>
                      <w:highlight w:val="none"/>
                    </w:rPr>
                    <w:t>/</w:t>
                  </w:r>
                </w:p>
              </w:tc>
            </w:tr>
          </w:tbl>
          <w:p w14:paraId="1EF0E92D">
            <w:pPr>
              <w:autoSpaceDE w:val="0"/>
              <w:autoSpaceDN w:val="0"/>
              <w:adjustRightInd w:val="0"/>
              <w:snapToGrid w:val="0"/>
              <w:spacing w:line="360" w:lineRule="auto"/>
              <w:ind w:firstLine="480" w:firstLineChars="200"/>
              <w:rPr>
                <w:strike w:val="0"/>
                <w:dstrike w:val="0"/>
                <w:color w:val="auto"/>
                <w:kern w:val="0"/>
                <w:sz w:val="24"/>
                <w:highlight w:val="none"/>
              </w:rPr>
            </w:pPr>
            <w:r>
              <w:rPr>
                <w:strike w:val="0"/>
                <w:dstrike w:val="0"/>
                <w:color w:val="auto"/>
                <w:kern w:val="0"/>
                <w:sz w:val="24"/>
                <w:highlight w:val="none"/>
              </w:rPr>
              <w:t>综上分析，本项目</w:t>
            </w:r>
            <w:r>
              <w:rPr>
                <w:strike w:val="0"/>
                <w:dstrike w:val="0"/>
                <w:color w:val="auto"/>
                <w:sz w:val="24"/>
                <w:szCs w:val="32"/>
                <w:highlight w:val="none"/>
              </w:rPr>
              <w:t>符合</w:t>
            </w:r>
            <w:r>
              <w:rPr>
                <w:strike w:val="0"/>
                <w:dstrike w:val="0"/>
                <w:color w:val="auto"/>
                <w:kern w:val="0"/>
                <w:sz w:val="24"/>
                <w:highlight w:val="none"/>
              </w:rPr>
              <w:t>重庆市、合川区以及各管控单元的管控要求。</w:t>
            </w:r>
          </w:p>
          <w:p w14:paraId="1D95B6EE">
            <w:pPr>
              <w:tabs>
                <w:tab w:val="left" w:pos="7540"/>
              </w:tabs>
              <w:spacing w:line="360" w:lineRule="auto"/>
              <w:contextualSpacing/>
              <w:rPr>
                <w:b/>
                <w:strike w:val="0"/>
                <w:dstrike w:val="0"/>
                <w:color w:val="auto"/>
                <w:sz w:val="24"/>
                <w:highlight w:val="none"/>
              </w:rPr>
            </w:pPr>
            <w:r>
              <w:rPr>
                <w:b/>
                <w:strike w:val="0"/>
                <w:dstrike w:val="0"/>
                <w:color w:val="auto"/>
                <w:sz w:val="24"/>
                <w:highlight w:val="none"/>
              </w:rPr>
              <w:t>1.5与《重庆市发展和改革委员会关于印发重庆市产业投资准入工作手册》（渝发改投资[2022]1436号）符合性分析</w:t>
            </w:r>
          </w:p>
          <w:p w14:paraId="6F6E2F4A">
            <w:pPr>
              <w:tabs>
                <w:tab w:val="left" w:pos="7540"/>
              </w:tabs>
              <w:spacing w:line="360" w:lineRule="auto"/>
              <w:ind w:firstLine="480" w:firstLineChars="200"/>
              <w:contextualSpacing/>
              <w:rPr>
                <w:strike w:val="0"/>
                <w:dstrike w:val="0"/>
                <w:color w:val="auto"/>
                <w:sz w:val="24"/>
                <w:highlight w:val="none"/>
              </w:rPr>
            </w:pPr>
            <w:r>
              <w:rPr>
                <w:strike w:val="0"/>
                <w:dstrike w:val="0"/>
                <w:color w:val="auto"/>
                <w:sz w:val="24"/>
                <w:highlight w:val="none"/>
              </w:rPr>
              <w:t>本项目与《重庆市发展和改革委员会关于印发重庆市产业投资准入工作手册》（渝发改投资[2022]1436号）符合性分析，详表1.5-1。</w:t>
            </w:r>
          </w:p>
          <w:p w14:paraId="623C915F">
            <w:pPr>
              <w:autoSpaceDE w:val="0"/>
              <w:autoSpaceDN w:val="0"/>
              <w:contextualSpacing/>
              <w:jc w:val="center"/>
              <w:rPr>
                <w:b/>
                <w:bCs/>
                <w:strike w:val="0"/>
                <w:dstrike w:val="0"/>
                <w:color w:val="auto"/>
                <w:kern w:val="0"/>
                <w:sz w:val="24"/>
                <w:highlight w:val="none"/>
              </w:rPr>
            </w:pPr>
            <w:r>
              <w:rPr>
                <w:b/>
                <w:bCs/>
                <w:strike w:val="0"/>
                <w:dstrike w:val="0"/>
                <w:color w:val="auto"/>
                <w:kern w:val="0"/>
                <w:sz w:val="24"/>
                <w:highlight w:val="none"/>
              </w:rPr>
              <w:t>表1.5-1  项目与产业投资准入符合性分析结果</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951"/>
              <w:gridCol w:w="1386"/>
              <w:gridCol w:w="885"/>
            </w:tblGrid>
            <w:tr w14:paraId="33E3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 w:type="pct"/>
                  <w:tcBorders>
                    <w:top w:val="single" w:color="auto" w:sz="4" w:space="0"/>
                    <w:left w:val="single" w:color="auto" w:sz="4" w:space="0"/>
                    <w:bottom w:val="single" w:color="auto" w:sz="4" w:space="0"/>
                    <w:right w:val="single" w:color="auto" w:sz="4" w:space="0"/>
                  </w:tcBorders>
                  <w:vAlign w:val="center"/>
                </w:tcPr>
                <w:p w14:paraId="7C11A020">
                  <w:pPr>
                    <w:autoSpaceDE w:val="0"/>
                    <w:autoSpaceDN w:val="0"/>
                    <w:adjustRightInd w:val="0"/>
                    <w:snapToGrid w:val="0"/>
                    <w:jc w:val="center"/>
                    <w:rPr>
                      <w:b/>
                      <w:bCs/>
                      <w:strike w:val="0"/>
                      <w:dstrike w:val="0"/>
                      <w:color w:val="auto"/>
                      <w:szCs w:val="21"/>
                      <w:highlight w:val="none"/>
                    </w:rPr>
                  </w:pPr>
                  <w:r>
                    <w:rPr>
                      <w:b/>
                      <w:bCs/>
                      <w:strike w:val="0"/>
                      <w:dstrike w:val="0"/>
                      <w:color w:val="auto"/>
                      <w:szCs w:val="21"/>
                      <w:highlight w:val="none"/>
                    </w:rPr>
                    <w:t>目录</w:t>
                  </w:r>
                </w:p>
              </w:tc>
              <w:tc>
                <w:tcPr>
                  <w:tcW w:w="3237" w:type="pct"/>
                  <w:tcBorders>
                    <w:top w:val="single" w:color="auto" w:sz="4" w:space="0"/>
                    <w:left w:val="nil"/>
                    <w:bottom w:val="single" w:color="auto" w:sz="4" w:space="0"/>
                    <w:right w:val="single" w:color="auto" w:sz="4" w:space="0"/>
                  </w:tcBorders>
                  <w:vAlign w:val="center"/>
                </w:tcPr>
                <w:p w14:paraId="77B38C95">
                  <w:pPr>
                    <w:autoSpaceDE w:val="0"/>
                    <w:autoSpaceDN w:val="0"/>
                    <w:adjustRightInd w:val="0"/>
                    <w:snapToGrid w:val="0"/>
                    <w:jc w:val="center"/>
                    <w:rPr>
                      <w:b/>
                      <w:bCs/>
                      <w:strike w:val="0"/>
                      <w:dstrike w:val="0"/>
                      <w:color w:val="auto"/>
                      <w:szCs w:val="21"/>
                      <w:highlight w:val="none"/>
                    </w:rPr>
                  </w:pPr>
                  <w:r>
                    <w:rPr>
                      <w:b/>
                      <w:bCs/>
                      <w:strike w:val="0"/>
                      <w:dstrike w:val="0"/>
                      <w:color w:val="auto"/>
                      <w:szCs w:val="21"/>
                      <w:highlight w:val="none"/>
                    </w:rPr>
                    <w:t>产业投资准入规定</w:t>
                  </w:r>
                </w:p>
              </w:tc>
              <w:tc>
                <w:tcPr>
                  <w:tcW w:w="907" w:type="pct"/>
                  <w:tcBorders>
                    <w:top w:val="single" w:color="auto" w:sz="4" w:space="0"/>
                    <w:left w:val="nil"/>
                    <w:bottom w:val="single" w:color="auto" w:sz="4" w:space="0"/>
                    <w:right w:val="single" w:color="auto" w:sz="4" w:space="0"/>
                  </w:tcBorders>
                  <w:vAlign w:val="center"/>
                </w:tcPr>
                <w:p w14:paraId="05D50FDB">
                  <w:pPr>
                    <w:autoSpaceDE w:val="0"/>
                    <w:autoSpaceDN w:val="0"/>
                    <w:adjustRightInd w:val="0"/>
                    <w:snapToGrid w:val="0"/>
                    <w:jc w:val="center"/>
                    <w:rPr>
                      <w:b/>
                      <w:bCs/>
                      <w:strike w:val="0"/>
                      <w:dstrike w:val="0"/>
                      <w:color w:val="auto"/>
                      <w:szCs w:val="21"/>
                      <w:highlight w:val="none"/>
                    </w:rPr>
                  </w:pPr>
                  <w:r>
                    <w:rPr>
                      <w:b/>
                      <w:bCs/>
                      <w:strike w:val="0"/>
                      <w:dstrike w:val="0"/>
                      <w:color w:val="auto"/>
                      <w:szCs w:val="21"/>
                      <w:highlight w:val="none"/>
                    </w:rPr>
                    <w:t>项目情况</w:t>
                  </w:r>
                </w:p>
              </w:tc>
              <w:tc>
                <w:tcPr>
                  <w:tcW w:w="580" w:type="pct"/>
                  <w:tcBorders>
                    <w:top w:val="single" w:color="auto" w:sz="4" w:space="0"/>
                    <w:left w:val="nil"/>
                    <w:bottom w:val="single" w:color="auto" w:sz="4" w:space="0"/>
                    <w:right w:val="single" w:color="auto" w:sz="4" w:space="0"/>
                  </w:tcBorders>
                  <w:vAlign w:val="center"/>
                </w:tcPr>
                <w:p w14:paraId="00334C06">
                  <w:pPr>
                    <w:autoSpaceDE w:val="0"/>
                    <w:autoSpaceDN w:val="0"/>
                    <w:adjustRightInd w:val="0"/>
                    <w:snapToGrid w:val="0"/>
                    <w:jc w:val="center"/>
                    <w:rPr>
                      <w:b/>
                      <w:bCs/>
                      <w:strike w:val="0"/>
                      <w:dstrike w:val="0"/>
                      <w:color w:val="auto"/>
                      <w:szCs w:val="21"/>
                      <w:highlight w:val="none"/>
                    </w:rPr>
                  </w:pPr>
                  <w:r>
                    <w:rPr>
                      <w:b/>
                      <w:bCs/>
                      <w:strike w:val="0"/>
                      <w:dstrike w:val="0"/>
                      <w:color w:val="auto"/>
                      <w:szCs w:val="21"/>
                      <w:highlight w:val="none"/>
                    </w:rPr>
                    <w:t>符合性分析</w:t>
                  </w:r>
                </w:p>
              </w:tc>
            </w:tr>
            <w:tr w14:paraId="5EB3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 w:type="pct"/>
                  <w:vMerge w:val="restart"/>
                  <w:tcBorders>
                    <w:top w:val="nil"/>
                    <w:left w:val="single" w:color="auto" w:sz="4" w:space="0"/>
                    <w:bottom w:val="single" w:color="auto" w:sz="4" w:space="0"/>
                    <w:right w:val="single" w:color="auto" w:sz="4" w:space="0"/>
                  </w:tcBorders>
                  <w:vAlign w:val="center"/>
                </w:tcPr>
                <w:p w14:paraId="45022532">
                  <w:pPr>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不予准入类</w:t>
                  </w:r>
                </w:p>
              </w:tc>
              <w:tc>
                <w:tcPr>
                  <w:tcW w:w="3237" w:type="pct"/>
                  <w:tcBorders>
                    <w:top w:val="single" w:color="auto" w:sz="4" w:space="0"/>
                    <w:left w:val="nil"/>
                    <w:bottom w:val="single" w:color="auto" w:sz="4" w:space="0"/>
                    <w:right w:val="single" w:color="auto" w:sz="4" w:space="0"/>
                  </w:tcBorders>
                  <w:vAlign w:val="center"/>
                </w:tcPr>
                <w:p w14:paraId="1711A49B">
                  <w:pPr>
                    <w:rPr>
                      <w:strike w:val="0"/>
                      <w:dstrike w:val="0"/>
                      <w:color w:val="auto"/>
                      <w:szCs w:val="21"/>
                      <w:highlight w:val="none"/>
                    </w:rPr>
                  </w:pPr>
                  <w:r>
                    <w:rPr>
                      <w:strike w:val="0"/>
                      <w:dstrike w:val="0"/>
                      <w:color w:val="auto"/>
                      <w:szCs w:val="21"/>
                      <w:highlight w:val="none"/>
                    </w:rPr>
                    <w:t>（一）全市范围内不予准入的产业</w:t>
                  </w:r>
                </w:p>
                <w:p w14:paraId="4F97D884">
                  <w:pPr>
                    <w:rPr>
                      <w:strike w:val="0"/>
                      <w:dstrike w:val="0"/>
                      <w:color w:val="auto"/>
                      <w:szCs w:val="21"/>
                      <w:highlight w:val="none"/>
                    </w:rPr>
                  </w:pPr>
                  <w:r>
                    <w:rPr>
                      <w:strike w:val="0"/>
                      <w:dstrike w:val="0"/>
                      <w:color w:val="auto"/>
                      <w:szCs w:val="21"/>
                      <w:highlight w:val="none"/>
                    </w:rPr>
                    <w:t>1．国家产业结构调整指导目录中的淘汰类项目。</w:t>
                  </w:r>
                </w:p>
                <w:p w14:paraId="5CED57AF">
                  <w:pPr>
                    <w:rPr>
                      <w:strike w:val="0"/>
                      <w:dstrike w:val="0"/>
                      <w:color w:val="auto"/>
                      <w:szCs w:val="21"/>
                      <w:highlight w:val="none"/>
                    </w:rPr>
                  </w:pPr>
                  <w:r>
                    <w:rPr>
                      <w:strike w:val="0"/>
                      <w:dstrike w:val="0"/>
                      <w:color w:val="auto"/>
                      <w:szCs w:val="21"/>
                      <w:highlight w:val="none"/>
                    </w:rPr>
                    <w:t>2．天然林商业性采伐。</w:t>
                  </w:r>
                </w:p>
                <w:p w14:paraId="12554B50">
                  <w:pPr>
                    <w:autoSpaceDE w:val="0"/>
                    <w:autoSpaceDN w:val="0"/>
                    <w:adjustRightInd w:val="0"/>
                    <w:snapToGrid w:val="0"/>
                    <w:rPr>
                      <w:strike w:val="0"/>
                      <w:dstrike w:val="0"/>
                      <w:color w:val="auto"/>
                      <w:szCs w:val="21"/>
                      <w:highlight w:val="none"/>
                    </w:rPr>
                  </w:pPr>
                  <w:r>
                    <w:rPr>
                      <w:strike w:val="0"/>
                      <w:dstrike w:val="0"/>
                      <w:color w:val="auto"/>
                      <w:szCs w:val="21"/>
                      <w:highlight w:val="none"/>
                    </w:rPr>
                    <w:t>3．法律法规和相关政策明令不予准入的其他项目。</w:t>
                  </w:r>
                </w:p>
              </w:tc>
              <w:tc>
                <w:tcPr>
                  <w:tcW w:w="907" w:type="pct"/>
                  <w:tcBorders>
                    <w:top w:val="single" w:color="auto" w:sz="4" w:space="0"/>
                    <w:left w:val="nil"/>
                    <w:bottom w:val="single" w:color="auto" w:sz="4" w:space="0"/>
                    <w:right w:val="single" w:color="auto" w:sz="4" w:space="0"/>
                  </w:tcBorders>
                  <w:vAlign w:val="center"/>
                </w:tcPr>
                <w:p w14:paraId="13D2245C">
                  <w:pPr>
                    <w:autoSpaceDE w:val="0"/>
                    <w:autoSpaceDN w:val="0"/>
                    <w:adjustRightInd w:val="0"/>
                    <w:textAlignment w:val="baseline"/>
                    <w:rPr>
                      <w:strike w:val="0"/>
                      <w:dstrike w:val="0"/>
                      <w:color w:val="auto"/>
                      <w:szCs w:val="21"/>
                      <w:highlight w:val="none"/>
                    </w:rPr>
                  </w:pPr>
                  <w:r>
                    <w:rPr>
                      <w:bCs/>
                      <w:strike w:val="0"/>
                      <w:dstrike w:val="0"/>
                      <w:color w:val="auto"/>
                      <w:szCs w:val="21"/>
                      <w:highlight w:val="none"/>
                    </w:rPr>
                    <w:t>本项目</w:t>
                  </w:r>
                  <w:r>
                    <w:rPr>
                      <w:strike w:val="0"/>
                      <w:dstrike w:val="0"/>
                      <w:color w:val="auto"/>
                      <w:szCs w:val="21"/>
                      <w:highlight w:val="none"/>
                    </w:rPr>
                    <w:t>不属于国家产业结构调整指导目录中的淘汰类项目。</w:t>
                  </w:r>
                </w:p>
              </w:tc>
              <w:tc>
                <w:tcPr>
                  <w:tcW w:w="580" w:type="pct"/>
                  <w:tcBorders>
                    <w:top w:val="single" w:color="auto" w:sz="4" w:space="0"/>
                    <w:left w:val="nil"/>
                    <w:bottom w:val="single" w:color="auto" w:sz="4" w:space="0"/>
                    <w:right w:val="single" w:color="auto" w:sz="4" w:space="0"/>
                  </w:tcBorders>
                  <w:vAlign w:val="center"/>
                </w:tcPr>
                <w:p w14:paraId="4F711BF8">
                  <w:pPr>
                    <w:autoSpaceDE w:val="0"/>
                    <w:autoSpaceDN w:val="0"/>
                    <w:adjustRightInd w:val="0"/>
                    <w:snapToGrid w:val="0"/>
                    <w:rPr>
                      <w:strike w:val="0"/>
                      <w:dstrike w:val="0"/>
                      <w:color w:val="auto"/>
                      <w:szCs w:val="21"/>
                      <w:highlight w:val="none"/>
                    </w:rPr>
                  </w:pPr>
                  <w:r>
                    <w:rPr>
                      <w:strike w:val="0"/>
                      <w:dstrike w:val="0"/>
                      <w:color w:val="auto"/>
                      <w:szCs w:val="21"/>
                      <w:highlight w:val="none"/>
                    </w:rPr>
                    <w:t>项目不属于不予准入类</w:t>
                  </w:r>
                </w:p>
              </w:tc>
            </w:tr>
            <w:tr w14:paraId="13BD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 w:type="pct"/>
                  <w:vMerge w:val="continue"/>
                  <w:tcBorders>
                    <w:top w:val="nil"/>
                    <w:left w:val="single" w:color="auto" w:sz="4" w:space="0"/>
                    <w:bottom w:val="single" w:color="auto" w:sz="4" w:space="0"/>
                    <w:right w:val="single" w:color="auto" w:sz="4" w:space="0"/>
                  </w:tcBorders>
                  <w:vAlign w:val="center"/>
                </w:tcPr>
                <w:p w14:paraId="31A99664">
                  <w:pPr>
                    <w:widowControl/>
                    <w:jc w:val="left"/>
                    <w:rPr>
                      <w:strike w:val="0"/>
                      <w:dstrike w:val="0"/>
                      <w:color w:val="auto"/>
                      <w:szCs w:val="21"/>
                      <w:highlight w:val="none"/>
                    </w:rPr>
                  </w:pPr>
                </w:p>
              </w:tc>
              <w:tc>
                <w:tcPr>
                  <w:tcW w:w="3237" w:type="pct"/>
                  <w:tcBorders>
                    <w:top w:val="single" w:color="auto" w:sz="4" w:space="0"/>
                    <w:left w:val="nil"/>
                    <w:bottom w:val="single" w:color="auto" w:sz="4" w:space="0"/>
                    <w:right w:val="single" w:color="auto" w:sz="4" w:space="0"/>
                  </w:tcBorders>
                  <w:vAlign w:val="center"/>
                </w:tcPr>
                <w:p w14:paraId="34BBAF33">
                  <w:pPr>
                    <w:autoSpaceDE w:val="0"/>
                    <w:autoSpaceDN w:val="0"/>
                    <w:adjustRightInd w:val="0"/>
                    <w:snapToGrid w:val="0"/>
                    <w:rPr>
                      <w:strike w:val="0"/>
                      <w:dstrike w:val="0"/>
                      <w:color w:val="auto"/>
                      <w:szCs w:val="21"/>
                      <w:highlight w:val="none"/>
                    </w:rPr>
                  </w:pPr>
                  <w:r>
                    <w:rPr>
                      <w:strike w:val="0"/>
                      <w:dstrike w:val="0"/>
                      <w:color w:val="auto"/>
                      <w:szCs w:val="21"/>
                      <w:highlight w:val="none"/>
                    </w:rPr>
                    <w:t>（二）重点区域不予准入的产业</w:t>
                  </w:r>
                </w:p>
                <w:p w14:paraId="209628D4">
                  <w:pPr>
                    <w:autoSpaceDE w:val="0"/>
                    <w:autoSpaceDN w:val="0"/>
                    <w:adjustRightInd w:val="0"/>
                    <w:snapToGrid w:val="0"/>
                    <w:rPr>
                      <w:strike w:val="0"/>
                      <w:dstrike w:val="0"/>
                      <w:color w:val="auto"/>
                      <w:szCs w:val="21"/>
                      <w:highlight w:val="none"/>
                    </w:rPr>
                  </w:pPr>
                  <w:r>
                    <w:rPr>
                      <w:strike w:val="0"/>
                      <w:dstrike w:val="0"/>
                      <w:color w:val="auto"/>
                      <w:szCs w:val="21"/>
                      <w:highlight w:val="none"/>
                    </w:rPr>
                    <w:t>1．外环绕城高速公路以内长江、嘉陵江水域采砂。</w:t>
                  </w:r>
                </w:p>
                <w:p w14:paraId="1FBCF5C1">
                  <w:pPr>
                    <w:autoSpaceDE w:val="0"/>
                    <w:autoSpaceDN w:val="0"/>
                    <w:adjustRightInd w:val="0"/>
                    <w:snapToGrid w:val="0"/>
                    <w:rPr>
                      <w:strike w:val="0"/>
                      <w:dstrike w:val="0"/>
                      <w:color w:val="auto"/>
                      <w:szCs w:val="21"/>
                      <w:highlight w:val="none"/>
                    </w:rPr>
                  </w:pPr>
                  <w:r>
                    <w:rPr>
                      <w:strike w:val="0"/>
                      <w:dstrike w:val="0"/>
                      <w:color w:val="auto"/>
                      <w:szCs w:val="21"/>
                      <w:highlight w:val="none"/>
                    </w:rPr>
                    <w:t>2．二十五度以上陡坡地开垦种植农作物。</w:t>
                  </w:r>
                </w:p>
                <w:p w14:paraId="52A8532B">
                  <w:pPr>
                    <w:autoSpaceDE w:val="0"/>
                    <w:autoSpaceDN w:val="0"/>
                    <w:adjustRightInd w:val="0"/>
                    <w:snapToGrid w:val="0"/>
                    <w:rPr>
                      <w:strike w:val="0"/>
                      <w:dstrike w:val="0"/>
                      <w:color w:val="auto"/>
                      <w:szCs w:val="21"/>
                      <w:highlight w:val="none"/>
                    </w:rPr>
                  </w:pPr>
                  <w:r>
                    <w:rPr>
                      <w:strike w:val="0"/>
                      <w:dstrike w:val="0"/>
                      <w:color w:val="auto"/>
                      <w:szCs w:val="21"/>
                      <w:highlight w:val="none"/>
                    </w:rPr>
                    <w:t>3．在自然保护区核心区、缓冲区的岸线和河段范围内投资建设旅游和生产经营项目。</w:t>
                  </w:r>
                </w:p>
                <w:p w14:paraId="6D993FB7">
                  <w:pPr>
                    <w:autoSpaceDE w:val="0"/>
                    <w:autoSpaceDN w:val="0"/>
                    <w:adjustRightInd w:val="0"/>
                    <w:snapToGrid w:val="0"/>
                    <w:rPr>
                      <w:strike w:val="0"/>
                      <w:dstrike w:val="0"/>
                      <w:color w:val="auto"/>
                      <w:szCs w:val="21"/>
                      <w:highlight w:val="none"/>
                    </w:rPr>
                  </w:pPr>
                  <w:r>
                    <w:rPr>
                      <w:strike w:val="0"/>
                      <w:dstrike w:val="0"/>
                      <w:color w:val="auto"/>
                      <w:szCs w:val="21"/>
                      <w:highlight w:val="none"/>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14:paraId="51898FCA">
                  <w:pPr>
                    <w:autoSpaceDE w:val="0"/>
                    <w:autoSpaceDN w:val="0"/>
                    <w:adjustRightInd w:val="0"/>
                    <w:snapToGrid w:val="0"/>
                    <w:rPr>
                      <w:strike w:val="0"/>
                      <w:dstrike w:val="0"/>
                      <w:color w:val="auto"/>
                      <w:szCs w:val="21"/>
                      <w:highlight w:val="none"/>
                    </w:rPr>
                  </w:pPr>
                  <w:r>
                    <w:rPr>
                      <w:strike w:val="0"/>
                      <w:dstrike w:val="0"/>
                      <w:color w:val="auto"/>
                      <w:szCs w:val="21"/>
                      <w:highlight w:val="none"/>
                    </w:rPr>
                    <w:t>5．长江干流岸线3公里范围内和重要支流岸线1公里范围内新建、改建、扩建尾矿库、冶炼渣库和磷石膏库（以提升安全、生态环境保护水平为目的的改建除外）。</w:t>
                  </w:r>
                </w:p>
                <w:p w14:paraId="3CBC725B">
                  <w:pPr>
                    <w:autoSpaceDE w:val="0"/>
                    <w:autoSpaceDN w:val="0"/>
                    <w:adjustRightInd w:val="0"/>
                    <w:snapToGrid w:val="0"/>
                    <w:rPr>
                      <w:strike w:val="0"/>
                      <w:dstrike w:val="0"/>
                      <w:color w:val="auto"/>
                      <w:szCs w:val="21"/>
                      <w:highlight w:val="none"/>
                    </w:rPr>
                  </w:pPr>
                  <w:r>
                    <w:rPr>
                      <w:strike w:val="0"/>
                      <w:dstrike w:val="0"/>
                      <w:color w:val="auto"/>
                      <w:szCs w:val="21"/>
                      <w:highlight w:val="none"/>
                    </w:rPr>
                    <w:t>6．在风景名胜区核心景区的岸线和河段范围内投资建设与风景名胜资源保护无关的项目。</w:t>
                  </w:r>
                </w:p>
                <w:p w14:paraId="40B09FDA">
                  <w:pPr>
                    <w:autoSpaceDE w:val="0"/>
                    <w:autoSpaceDN w:val="0"/>
                    <w:adjustRightInd w:val="0"/>
                    <w:snapToGrid w:val="0"/>
                    <w:rPr>
                      <w:strike w:val="0"/>
                      <w:dstrike w:val="0"/>
                      <w:color w:val="auto"/>
                      <w:szCs w:val="21"/>
                      <w:highlight w:val="none"/>
                    </w:rPr>
                  </w:pPr>
                  <w:r>
                    <w:rPr>
                      <w:strike w:val="0"/>
                      <w:dstrike w:val="0"/>
                      <w:color w:val="auto"/>
                      <w:szCs w:val="21"/>
                      <w:highlight w:val="none"/>
                    </w:rPr>
                    <w:t>7．在国家湿地公园的岸线和河段范围内挖沙、采矿，以及任何不符合主体功能定位的投资建设项目。</w:t>
                  </w:r>
                </w:p>
                <w:p w14:paraId="30D24EBA">
                  <w:pPr>
                    <w:autoSpaceDE w:val="0"/>
                    <w:autoSpaceDN w:val="0"/>
                    <w:adjustRightInd w:val="0"/>
                    <w:snapToGrid w:val="0"/>
                    <w:rPr>
                      <w:strike w:val="0"/>
                      <w:dstrike w:val="0"/>
                      <w:color w:val="auto"/>
                      <w:szCs w:val="21"/>
                      <w:highlight w:val="none"/>
                    </w:rPr>
                  </w:pPr>
                  <w:r>
                    <w:rPr>
                      <w:strike w:val="0"/>
                      <w:dstrike w:val="0"/>
                      <w:color w:val="auto"/>
                      <w:szCs w:val="21"/>
                      <w:highlight w:val="none"/>
                    </w:rPr>
                    <w:t>8．在《长江岸线保护和开发利用总体规划》划定的岸线保护区和保留区内投资建设除事关公共安全及公众利益的防洪护岸、河道治理、供水、生态环境保护、航道整治、国家重要基础设施以外的项目。</w:t>
                  </w:r>
                </w:p>
                <w:p w14:paraId="6BE41BF6">
                  <w:pPr>
                    <w:autoSpaceDE w:val="0"/>
                    <w:autoSpaceDN w:val="0"/>
                    <w:adjustRightInd w:val="0"/>
                    <w:snapToGrid w:val="0"/>
                    <w:rPr>
                      <w:strike w:val="0"/>
                      <w:dstrike w:val="0"/>
                      <w:color w:val="auto"/>
                      <w:szCs w:val="21"/>
                      <w:highlight w:val="none"/>
                    </w:rPr>
                  </w:pPr>
                  <w:r>
                    <w:rPr>
                      <w:strike w:val="0"/>
                      <w:dstrike w:val="0"/>
                      <w:color w:val="auto"/>
                      <w:szCs w:val="21"/>
                      <w:highlight w:val="none"/>
                    </w:rPr>
                    <w:t>9．在《全国重要江河湖泊水功能区划》划定的河段及湖泊保护区、保留区内投资建设不利于水资源及自然生态保护的项目。</w:t>
                  </w:r>
                </w:p>
              </w:tc>
              <w:tc>
                <w:tcPr>
                  <w:tcW w:w="907" w:type="pct"/>
                  <w:tcBorders>
                    <w:top w:val="single" w:color="auto" w:sz="4" w:space="0"/>
                    <w:left w:val="nil"/>
                    <w:bottom w:val="single" w:color="auto" w:sz="4" w:space="0"/>
                    <w:right w:val="single" w:color="auto" w:sz="4" w:space="0"/>
                  </w:tcBorders>
                  <w:vAlign w:val="center"/>
                </w:tcPr>
                <w:p w14:paraId="3078B7FA">
                  <w:pPr>
                    <w:autoSpaceDE w:val="0"/>
                    <w:autoSpaceDN w:val="0"/>
                    <w:adjustRightInd w:val="0"/>
                    <w:textAlignment w:val="baseline"/>
                    <w:rPr>
                      <w:strike w:val="0"/>
                      <w:dstrike w:val="0"/>
                      <w:color w:val="auto"/>
                      <w:szCs w:val="21"/>
                      <w:highlight w:val="none"/>
                    </w:rPr>
                  </w:pPr>
                  <w:r>
                    <w:rPr>
                      <w:bCs/>
                      <w:strike w:val="0"/>
                      <w:dstrike w:val="0"/>
                      <w:color w:val="auto"/>
                      <w:szCs w:val="21"/>
                      <w:highlight w:val="none"/>
                    </w:rPr>
                    <w:t>本项目</w:t>
                  </w:r>
                  <w:r>
                    <w:rPr>
                      <w:strike w:val="0"/>
                      <w:dstrike w:val="0"/>
                      <w:color w:val="auto"/>
                      <w:szCs w:val="21"/>
                      <w:highlight w:val="none"/>
                    </w:rPr>
                    <w:t>位于重庆市合川区土场镇杨柳村三社，不位于上述区域内。</w:t>
                  </w:r>
                </w:p>
              </w:tc>
              <w:tc>
                <w:tcPr>
                  <w:tcW w:w="580" w:type="pct"/>
                  <w:tcBorders>
                    <w:top w:val="single" w:color="auto" w:sz="4" w:space="0"/>
                    <w:left w:val="nil"/>
                    <w:bottom w:val="single" w:color="auto" w:sz="4" w:space="0"/>
                    <w:right w:val="single" w:color="auto" w:sz="4" w:space="0"/>
                  </w:tcBorders>
                  <w:vAlign w:val="center"/>
                </w:tcPr>
                <w:p w14:paraId="5ECD8088">
                  <w:pPr>
                    <w:autoSpaceDE w:val="0"/>
                    <w:autoSpaceDN w:val="0"/>
                    <w:adjustRightInd w:val="0"/>
                    <w:snapToGrid w:val="0"/>
                    <w:rPr>
                      <w:strike w:val="0"/>
                      <w:dstrike w:val="0"/>
                      <w:color w:val="auto"/>
                      <w:szCs w:val="21"/>
                      <w:highlight w:val="none"/>
                    </w:rPr>
                  </w:pPr>
                  <w:r>
                    <w:rPr>
                      <w:strike w:val="0"/>
                      <w:dstrike w:val="0"/>
                      <w:color w:val="auto"/>
                      <w:szCs w:val="21"/>
                      <w:highlight w:val="none"/>
                    </w:rPr>
                    <w:t>项目不属于不予准入类</w:t>
                  </w:r>
                </w:p>
              </w:tc>
            </w:tr>
            <w:tr w14:paraId="3088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 w:type="pct"/>
                  <w:vMerge w:val="restart"/>
                  <w:tcBorders>
                    <w:top w:val="single" w:color="auto" w:sz="4" w:space="0"/>
                    <w:left w:val="single" w:color="auto" w:sz="4" w:space="0"/>
                    <w:right w:val="single" w:color="auto" w:sz="4" w:space="0"/>
                  </w:tcBorders>
                  <w:vAlign w:val="center"/>
                </w:tcPr>
                <w:p w14:paraId="389031D7">
                  <w:pPr>
                    <w:autoSpaceDE w:val="0"/>
                    <w:autoSpaceDN w:val="0"/>
                    <w:adjustRightInd w:val="0"/>
                    <w:snapToGrid w:val="0"/>
                    <w:rPr>
                      <w:strike w:val="0"/>
                      <w:dstrike w:val="0"/>
                      <w:color w:val="auto"/>
                      <w:szCs w:val="21"/>
                      <w:highlight w:val="none"/>
                    </w:rPr>
                  </w:pPr>
                  <w:r>
                    <w:rPr>
                      <w:strike w:val="0"/>
                      <w:dstrike w:val="0"/>
                      <w:color w:val="auto"/>
                      <w:szCs w:val="21"/>
                      <w:highlight w:val="none"/>
                    </w:rPr>
                    <w:t>限制准入类</w:t>
                  </w:r>
                </w:p>
              </w:tc>
              <w:tc>
                <w:tcPr>
                  <w:tcW w:w="3237" w:type="pct"/>
                  <w:tcBorders>
                    <w:top w:val="single" w:color="auto" w:sz="4" w:space="0"/>
                    <w:left w:val="nil"/>
                    <w:bottom w:val="single" w:color="auto" w:sz="4" w:space="0"/>
                    <w:right w:val="single" w:color="auto" w:sz="4" w:space="0"/>
                  </w:tcBorders>
                  <w:vAlign w:val="center"/>
                </w:tcPr>
                <w:p w14:paraId="2FA8DE0B">
                  <w:pPr>
                    <w:autoSpaceDE w:val="0"/>
                    <w:autoSpaceDN w:val="0"/>
                    <w:adjustRightInd w:val="0"/>
                    <w:snapToGrid w:val="0"/>
                    <w:rPr>
                      <w:strike w:val="0"/>
                      <w:dstrike w:val="0"/>
                      <w:color w:val="auto"/>
                      <w:szCs w:val="21"/>
                      <w:highlight w:val="none"/>
                    </w:rPr>
                  </w:pPr>
                  <w:r>
                    <w:rPr>
                      <w:strike w:val="0"/>
                      <w:dstrike w:val="0"/>
                      <w:color w:val="auto"/>
                      <w:szCs w:val="21"/>
                      <w:highlight w:val="none"/>
                    </w:rPr>
                    <w:t>（一）全市范围内限制准入的产业</w:t>
                  </w:r>
                </w:p>
                <w:p w14:paraId="5F5B6653">
                  <w:pPr>
                    <w:autoSpaceDE w:val="0"/>
                    <w:autoSpaceDN w:val="0"/>
                    <w:adjustRightInd w:val="0"/>
                    <w:snapToGrid w:val="0"/>
                    <w:rPr>
                      <w:strike w:val="0"/>
                      <w:dstrike w:val="0"/>
                      <w:color w:val="auto"/>
                      <w:szCs w:val="21"/>
                      <w:highlight w:val="none"/>
                    </w:rPr>
                  </w:pPr>
                  <w:r>
                    <w:rPr>
                      <w:strike w:val="0"/>
                      <w:dstrike w:val="0"/>
                      <w:color w:val="auto"/>
                      <w:szCs w:val="21"/>
                      <w:highlight w:val="none"/>
                    </w:rPr>
                    <w:t>1．新建、扩建不符合国家产能置换要求的严重过剩产能行业的项目。新建、扩建不符合要求的高耗能高排放项目。</w:t>
                  </w:r>
                </w:p>
                <w:p w14:paraId="1BDEEE07">
                  <w:pPr>
                    <w:autoSpaceDE w:val="0"/>
                    <w:autoSpaceDN w:val="0"/>
                    <w:adjustRightInd w:val="0"/>
                    <w:snapToGrid w:val="0"/>
                    <w:rPr>
                      <w:strike w:val="0"/>
                      <w:dstrike w:val="0"/>
                      <w:color w:val="auto"/>
                      <w:szCs w:val="21"/>
                      <w:highlight w:val="none"/>
                    </w:rPr>
                  </w:pPr>
                  <w:r>
                    <w:rPr>
                      <w:strike w:val="0"/>
                      <w:dstrike w:val="0"/>
                      <w:color w:val="auto"/>
                      <w:szCs w:val="21"/>
                      <w:highlight w:val="none"/>
                    </w:rPr>
                    <w:t>2．新建、扩建不符合国家石化、现代煤化工等产业布局规划的项目。</w:t>
                  </w:r>
                </w:p>
                <w:p w14:paraId="678B1151">
                  <w:pPr>
                    <w:autoSpaceDE w:val="0"/>
                    <w:autoSpaceDN w:val="0"/>
                    <w:adjustRightInd w:val="0"/>
                    <w:snapToGrid w:val="0"/>
                    <w:rPr>
                      <w:strike w:val="0"/>
                      <w:dstrike w:val="0"/>
                      <w:color w:val="auto"/>
                      <w:szCs w:val="21"/>
                      <w:highlight w:val="none"/>
                    </w:rPr>
                  </w:pPr>
                  <w:r>
                    <w:rPr>
                      <w:strike w:val="0"/>
                      <w:dstrike w:val="0"/>
                      <w:color w:val="auto"/>
                      <w:szCs w:val="21"/>
                      <w:highlight w:val="none"/>
                    </w:rPr>
                    <w:t>3．在合规园区外新建、扩建钢铁、石化、化工、焦化、建材、有色、制浆造纸等高污染项目。</w:t>
                  </w:r>
                </w:p>
                <w:p w14:paraId="2EC3ECEB">
                  <w:pPr>
                    <w:autoSpaceDE w:val="0"/>
                    <w:autoSpaceDN w:val="0"/>
                    <w:adjustRightInd w:val="0"/>
                    <w:snapToGrid w:val="0"/>
                    <w:rPr>
                      <w:strike w:val="0"/>
                      <w:dstrike w:val="0"/>
                      <w:color w:val="auto"/>
                      <w:szCs w:val="21"/>
                      <w:highlight w:val="none"/>
                    </w:rPr>
                  </w:pPr>
                  <w:r>
                    <w:rPr>
                      <w:strike w:val="0"/>
                      <w:dstrike w:val="0"/>
                      <w:color w:val="auto"/>
                      <w:szCs w:val="21"/>
                      <w:highlight w:val="none"/>
                    </w:rPr>
                    <w:t>4．《汽车产业投资管理规定》（国家发展和改革委员会令第22号）明确禁止建设的汽车投资项目。</w:t>
                  </w:r>
                </w:p>
              </w:tc>
              <w:tc>
                <w:tcPr>
                  <w:tcW w:w="907" w:type="pct"/>
                  <w:tcBorders>
                    <w:top w:val="single" w:color="auto" w:sz="4" w:space="0"/>
                    <w:left w:val="nil"/>
                    <w:bottom w:val="single" w:color="auto" w:sz="4" w:space="0"/>
                    <w:right w:val="single" w:color="auto" w:sz="4" w:space="0"/>
                  </w:tcBorders>
                  <w:vAlign w:val="center"/>
                </w:tcPr>
                <w:p w14:paraId="36193A99">
                  <w:pPr>
                    <w:autoSpaceDE w:val="0"/>
                    <w:autoSpaceDN w:val="0"/>
                    <w:adjustRightInd w:val="0"/>
                    <w:snapToGrid w:val="0"/>
                    <w:rPr>
                      <w:strike w:val="0"/>
                      <w:dstrike w:val="0"/>
                      <w:color w:val="auto"/>
                      <w:szCs w:val="21"/>
                      <w:highlight w:val="none"/>
                    </w:rPr>
                  </w:pPr>
                  <w:r>
                    <w:rPr>
                      <w:strike w:val="0"/>
                      <w:dstrike w:val="0"/>
                      <w:color w:val="auto"/>
                      <w:szCs w:val="21"/>
                      <w:highlight w:val="none"/>
                    </w:rPr>
                    <w:t>项目不属于高耗能高排放项目；不属于高污染项目和汽车投资项目。</w:t>
                  </w:r>
                </w:p>
              </w:tc>
              <w:tc>
                <w:tcPr>
                  <w:tcW w:w="580" w:type="pct"/>
                  <w:vMerge w:val="restart"/>
                  <w:tcBorders>
                    <w:top w:val="single" w:color="auto" w:sz="4" w:space="0"/>
                    <w:left w:val="nil"/>
                    <w:right w:val="single" w:color="auto" w:sz="4" w:space="0"/>
                  </w:tcBorders>
                  <w:vAlign w:val="center"/>
                </w:tcPr>
                <w:p w14:paraId="5917D527">
                  <w:pPr>
                    <w:autoSpaceDE w:val="0"/>
                    <w:autoSpaceDN w:val="0"/>
                    <w:adjustRightInd w:val="0"/>
                    <w:snapToGrid w:val="0"/>
                    <w:rPr>
                      <w:strike w:val="0"/>
                      <w:dstrike w:val="0"/>
                      <w:color w:val="auto"/>
                      <w:szCs w:val="21"/>
                      <w:highlight w:val="none"/>
                    </w:rPr>
                  </w:pPr>
                  <w:r>
                    <w:rPr>
                      <w:strike w:val="0"/>
                      <w:dstrike w:val="0"/>
                      <w:color w:val="auto"/>
                      <w:szCs w:val="21"/>
                      <w:highlight w:val="none"/>
                    </w:rPr>
                    <w:t>项目不属于限制准入类</w:t>
                  </w:r>
                </w:p>
              </w:tc>
            </w:tr>
            <w:tr w14:paraId="0D8B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 w:type="pct"/>
                  <w:vMerge w:val="continue"/>
                  <w:tcBorders>
                    <w:left w:val="single" w:color="auto" w:sz="4" w:space="0"/>
                    <w:bottom w:val="single" w:color="auto" w:sz="4" w:space="0"/>
                    <w:right w:val="single" w:color="auto" w:sz="4" w:space="0"/>
                  </w:tcBorders>
                  <w:vAlign w:val="center"/>
                </w:tcPr>
                <w:p w14:paraId="4213A2CB">
                  <w:pPr>
                    <w:autoSpaceDE w:val="0"/>
                    <w:autoSpaceDN w:val="0"/>
                    <w:adjustRightInd w:val="0"/>
                    <w:snapToGrid w:val="0"/>
                    <w:rPr>
                      <w:strike w:val="0"/>
                      <w:dstrike w:val="0"/>
                      <w:color w:val="auto"/>
                      <w:szCs w:val="21"/>
                      <w:highlight w:val="none"/>
                    </w:rPr>
                  </w:pPr>
                </w:p>
              </w:tc>
              <w:tc>
                <w:tcPr>
                  <w:tcW w:w="3237" w:type="pct"/>
                  <w:tcBorders>
                    <w:top w:val="single" w:color="auto" w:sz="4" w:space="0"/>
                    <w:left w:val="nil"/>
                    <w:bottom w:val="single" w:color="auto" w:sz="4" w:space="0"/>
                    <w:right w:val="single" w:color="auto" w:sz="4" w:space="0"/>
                  </w:tcBorders>
                  <w:vAlign w:val="center"/>
                </w:tcPr>
                <w:p w14:paraId="24CA82B6">
                  <w:pPr>
                    <w:autoSpaceDE w:val="0"/>
                    <w:autoSpaceDN w:val="0"/>
                    <w:adjustRightInd w:val="0"/>
                    <w:snapToGrid w:val="0"/>
                    <w:rPr>
                      <w:strike w:val="0"/>
                      <w:dstrike w:val="0"/>
                      <w:color w:val="auto"/>
                      <w:szCs w:val="21"/>
                      <w:highlight w:val="none"/>
                    </w:rPr>
                  </w:pPr>
                  <w:r>
                    <w:rPr>
                      <w:strike w:val="0"/>
                      <w:dstrike w:val="0"/>
                      <w:color w:val="auto"/>
                      <w:szCs w:val="21"/>
                      <w:highlight w:val="none"/>
                    </w:rPr>
                    <w:t>（二）重点区域范围内限制准入的产业</w:t>
                  </w:r>
                </w:p>
                <w:p w14:paraId="2CBFC71B">
                  <w:pPr>
                    <w:autoSpaceDE w:val="0"/>
                    <w:autoSpaceDN w:val="0"/>
                    <w:adjustRightInd w:val="0"/>
                    <w:snapToGrid w:val="0"/>
                    <w:rPr>
                      <w:strike w:val="0"/>
                      <w:dstrike w:val="0"/>
                      <w:color w:val="auto"/>
                      <w:szCs w:val="21"/>
                      <w:highlight w:val="none"/>
                    </w:rPr>
                  </w:pPr>
                  <w:r>
                    <w:rPr>
                      <w:strike w:val="0"/>
                      <w:dstrike w:val="0"/>
                      <w:color w:val="auto"/>
                      <w:szCs w:val="21"/>
                      <w:highlight w:val="none"/>
                    </w:rPr>
                    <w:t>1．长江干支流、重要湖泊岸线1公里范围内新建、扩建化工园区和化工项目，长江、嘉陵江、乌江岸线1公里范围内布局新建纸浆制造、印染等存在环境风险的项目。</w:t>
                  </w:r>
                </w:p>
                <w:p w14:paraId="7518E16E">
                  <w:pPr>
                    <w:autoSpaceDE w:val="0"/>
                    <w:autoSpaceDN w:val="0"/>
                    <w:adjustRightInd w:val="0"/>
                    <w:snapToGrid w:val="0"/>
                    <w:rPr>
                      <w:strike w:val="0"/>
                      <w:dstrike w:val="0"/>
                      <w:color w:val="auto"/>
                      <w:szCs w:val="21"/>
                      <w:highlight w:val="none"/>
                    </w:rPr>
                  </w:pPr>
                  <w:r>
                    <w:rPr>
                      <w:strike w:val="0"/>
                      <w:dstrike w:val="0"/>
                      <w:color w:val="auto"/>
                      <w:szCs w:val="21"/>
                      <w:highlight w:val="none"/>
                    </w:rPr>
                    <w:t>2．在水产种质资源保护区的岸线和河段范围内新建围湖造田等投资建设项目。</w:t>
                  </w:r>
                </w:p>
              </w:tc>
              <w:tc>
                <w:tcPr>
                  <w:tcW w:w="907" w:type="pct"/>
                  <w:tcBorders>
                    <w:top w:val="single" w:color="auto" w:sz="4" w:space="0"/>
                    <w:left w:val="nil"/>
                    <w:bottom w:val="single" w:color="auto" w:sz="4" w:space="0"/>
                    <w:right w:val="single" w:color="auto" w:sz="4" w:space="0"/>
                  </w:tcBorders>
                  <w:vAlign w:val="center"/>
                </w:tcPr>
                <w:p w14:paraId="5C7870EC">
                  <w:pPr>
                    <w:autoSpaceDE w:val="0"/>
                    <w:autoSpaceDN w:val="0"/>
                    <w:adjustRightInd w:val="0"/>
                    <w:snapToGrid w:val="0"/>
                    <w:rPr>
                      <w:strike w:val="0"/>
                      <w:dstrike w:val="0"/>
                      <w:color w:val="auto"/>
                      <w:szCs w:val="21"/>
                      <w:highlight w:val="none"/>
                    </w:rPr>
                  </w:pPr>
                  <w:r>
                    <w:rPr>
                      <w:strike w:val="0"/>
                      <w:dstrike w:val="0"/>
                      <w:color w:val="auto"/>
                      <w:szCs w:val="21"/>
                      <w:highlight w:val="none"/>
                    </w:rPr>
                    <w:t>项目不属于化工项目；不属于纸浆制造、印染等项目；不属于围湖造田项目。</w:t>
                  </w:r>
                </w:p>
              </w:tc>
              <w:tc>
                <w:tcPr>
                  <w:tcW w:w="580" w:type="pct"/>
                  <w:vMerge w:val="continue"/>
                  <w:tcBorders>
                    <w:left w:val="nil"/>
                    <w:bottom w:val="single" w:color="auto" w:sz="4" w:space="0"/>
                    <w:right w:val="single" w:color="auto" w:sz="4" w:space="0"/>
                  </w:tcBorders>
                  <w:vAlign w:val="center"/>
                </w:tcPr>
                <w:p w14:paraId="0E4B6E09">
                  <w:pPr>
                    <w:autoSpaceDE w:val="0"/>
                    <w:autoSpaceDN w:val="0"/>
                    <w:adjustRightInd w:val="0"/>
                    <w:snapToGrid w:val="0"/>
                    <w:jc w:val="center"/>
                    <w:rPr>
                      <w:strike w:val="0"/>
                      <w:dstrike w:val="0"/>
                      <w:color w:val="auto"/>
                      <w:szCs w:val="21"/>
                      <w:highlight w:val="none"/>
                    </w:rPr>
                  </w:pPr>
                </w:p>
              </w:tc>
            </w:tr>
          </w:tbl>
          <w:p w14:paraId="6D59099C">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由上表可知，本项目符合《重庆市发展和改革委员会关于印发重庆市产业投资准入工作手册》（渝发改投资[2022]1436号）相关要求。</w:t>
            </w:r>
          </w:p>
          <w:p w14:paraId="6EAC3BA3">
            <w:pPr>
              <w:autoSpaceDE w:val="0"/>
              <w:autoSpaceDN w:val="0"/>
              <w:adjustRightInd w:val="0"/>
              <w:snapToGrid w:val="0"/>
              <w:spacing w:line="460" w:lineRule="exact"/>
              <w:jc w:val="left"/>
              <w:rPr>
                <w:b/>
                <w:bCs/>
                <w:strike w:val="0"/>
                <w:dstrike w:val="0"/>
                <w:color w:val="auto"/>
                <w:sz w:val="24"/>
                <w:highlight w:val="none"/>
              </w:rPr>
            </w:pPr>
            <w:r>
              <w:rPr>
                <w:b/>
                <w:bCs/>
                <w:strike w:val="0"/>
                <w:dstrike w:val="0"/>
                <w:color w:val="auto"/>
                <w:sz w:val="24"/>
                <w:highlight w:val="none"/>
              </w:rPr>
              <w:t>1.6与</w:t>
            </w:r>
            <w:r>
              <w:rPr>
                <w:b/>
                <w:strike w:val="0"/>
                <w:dstrike w:val="0"/>
                <w:color w:val="auto"/>
                <w:sz w:val="24"/>
                <w:highlight w:val="none"/>
              </w:rPr>
              <w:t>《挥发性有机物（VOCs）污染防治技术政策》</w:t>
            </w:r>
            <w:r>
              <w:rPr>
                <w:b/>
                <w:bCs/>
                <w:strike w:val="0"/>
                <w:dstrike w:val="0"/>
                <w:color w:val="auto"/>
                <w:sz w:val="24"/>
                <w:highlight w:val="none"/>
              </w:rPr>
              <w:t>符合性分析</w:t>
            </w:r>
          </w:p>
          <w:p w14:paraId="55917F6D">
            <w:pPr>
              <w:keepNext/>
              <w:keepLines/>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本项目与《挥发性有机物（VOCs）污染防治技术政策》符合性分析详见表1.6-1。</w:t>
            </w:r>
          </w:p>
          <w:p w14:paraId="7747F80C">
            <w:pPr>
              <w:jc w:val="center"/>
              <w:rPr>
                <w:b/>
                <w:bCs/>
                <w:strike w:val="0"/>
                <w:dstrike w:val="0"/>
                <w:color w:val="auto"/>
                <w:sz w:val="24"/>
                <w:szCs w:val="32"/>
                <w:highlight w:val="none"/>
              </w:rPr>
            </w:pPr>
            <w:r>
              <w:rPr>
                <w:b/>
                <w:bCs/>
                <w:strike w:val="0"/>
                <w:dstrike w:val="0"/>
                <w:color w:val="auto"/>
                <w:sz w:val="24"/>
                <w:szCs w:val="32"/>
                <w:highlight w:val="none"/>
              </w:rPr>
              <w:t>表1.6-1  与《挥发性有机物（VOCs）污染防治技术政策》符合性分析表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153"/>
              <w:gridCol w:w="2909"/>
              <w:gridCol w:w="927"/>
            </w:tblGrid>
            <w:tr w14:paraId="36D6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14:paraId="2E60B059">
                  <w:pPr>
                    <w:jc w:val="center"/>
                    <w:rPr>
                      <w:b/>
                      <w:bCs/>
                      <w:strike w:val="0"/>
                      <w:dstrike w:val="0"/>
                      <w:color w:val="auto"/>
                      <w:highlight w:val="none"/>
                    </w:rPr>
                  </w:pPr>
                  <w:r>
                    <w:rPr>
                      <w:b/>
                      <w:bCs/>
                      <w:strike w:val="0"/>
                      <w:dstrike w:val="0"/>
                      <w:color w:val="auto"/>
                      <w:highlight w:val="none"/>
                    </w:rPr>
                    <w:t>项目</w:t>
                  </w:r>
                </w:p>
              </w:tc>
              <w:tc>
                <w:tcPr>
                  <w:tcW w:w="3153" w:type="dxa"/>
                  <w:vAlign w:val="center"/>
                </w:tcPr>
                <w:p w14:paraId="0D09E1AA">
                  <w:pPr>
                    <w:jc w:val="center"/>
                    <w:rPr>
                      <w:b/>
                      <w:bCs/>
                      <w:strike w:val="0"/>
                      <w:dstrike w:val="0"/>
                      <w:color w:val="auto"/>
                      <w:highlight w:val="none"/>
                    </w:rPr>
                  </w:pPr>
                  <w:r>
                    <w:rPr>
                      <w:b/>
                      <w:bCs/>
                      <w:strike w:val="0"/>
                      <w:dstrike w:val="0"/>
                      <w:color w:val="auto"/>
                      <w:highlight w:val="none"/>
                    </w:rPr>
                    <w:t>技术政策中要求</w:t>
                  </w:r>
                </w:p>
              </w:tc>
              <w:tc>
                <w:tcPr>
                  <w:tcW w:w="2909" w:type="dxa"/>
                  <w:vAlign w:val="center"/>
                </w:tcPr>
                <w:p w14:paraId="2BD26C92">
                  <w:pPr>
                    <w:jc w:val="center"/>
                    <w:rPr>
                      <w:b/>
                      <w:bCs/>
                      <w:strike w:val="0"/>
                      <w:dstrike w:val="0"/>
                      <w:color w:val="auto"/>
                      <w:highlight w:val="none"/>
                    </w:rPr>
                  </w:pPr>
                  <w:r>
                    <w:rPr>
                      <w:b/>
                      <w:bCs/>
                      <w:strike w:val="0"/>
                      <w:dstrike w:val="0"/>
                      <w:color w:val="auto"/>
                      <w:highlight w:val="none"/>
                    </w:rPr>
                    <w:t>项目情况</w:t>
                  </w:r>
                </w:p>
              </w:tc>
              <w:tc>
                <w:tcPr>
                  <w:tcW w:w="927" w:type="dxa"/>
                  <w:vAlign w:val="center"/>
                </w:tcPr>
                <w:p w14:paraId="094A9577">
                  <w:pPr>
                    <w:jc w:val="center"/>
                    <w:rPr>
                      <w:b/>
                      <w:bCs/>
                      <w:strike w:val="0"/>
                      <w:dstrike w:val="0"/>
                      <w:color w:val="auto"/>
                      <w:highlight w:val="none"/>
                    </w:rPr>
                  </w:pPr>
                  <w:r>
                    <w:rPr>
                      <w:b/>
                      <w:bCs/>
                      <w:strike w:val="0"/>
                      <w:dstrike w:val="0"/>
                      <w:color w:val="auto"/>
                      <w:highlight w:val="none"/>
                    </w:rPr>
                    <w:t>符合性分析</w:t>
                  </w:r>
                </w:p>
              </w:tc>
            </w:tr>
            <w:tr w14:paraId="0A4D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14:paraId="5B76B79B">
                  <w:pPr>
                    <w:jc w:val="center"/>
                    <w:rPr>
                      <w:strike w:val="0"/>
                      <w:dstrike w:val="0"/>
                      <w:color w:val="auto"/>
                      <w:highlight w:val="none"/>
                    </w:rPr>
                  </w:pPr>
                  <w:r>
                    <w:rPr>
                      <w:strike w:val="0"/>
                      <w:dstrike w:val="0"/>
                      <w:color w:val="auto"/>
                      <w:highlight w:val="none"/>
                    </w:rPr>
                    <w:t>源头和过程控制</w:t>
                  </w:r>
                </w:p>
              </w:tc>
              <w:tc>
                <w:tcPr>
                  <w:tcW w:w="3153" w:type="dxa"/>
                  <w:vAlign w:val="center"/>
                </w:tcPr>
                <w:p w14:paraId="58CC0AE1">
                  <w:pPr>
                    <w:jc w:val="left"/>
                    <w:rPr>
                      <w:strike w:val="0"/>
                      <w:dstrike w:val="0"/>
                      <w:color w:val="auto"/>
                      <w:highlight w:val="none"/>
                    </w:rPr>
                  </w:pPr>
                  <w:r>
                    <w:rPr>
                      <w:strike w:val="0"/>
                      <w:dstrike w:val="0"/>
                      <w:color w:val="auto"/>
                      <w:highlight w:val="none"/>
                    </w:rPr>
                    <w:t>在油类（燃油、溶剂）的储存、运输和销售过程中的</w:t>
                  </w:r>
                  <w:r>
                    <w:rPr>
                      <w:rFonts w:eastAsia="TimesNewRomanPSMT"/>
                      <w:strike w:val="0"/>
                      <w:dstrike w:val="0"/>
                      <w:color w:val="auto"/>
                      <w:highlight w:val="none"/>
                    </w:rPr>
                    <w:t>VOCs</w:t>
                  </w:r>
                  <w:r>
                    <w:rPr>
                      <w:strike w:val="0"/>
                      <w:dstrike w:val="0"/>
                      <w:color w:val="auto"/>
                      <w:highlight w:val="none"/>
                    </w:rPr>
                    <w:t>污染防治技术措施包括：</w:t>
                  </w:r>
                </w:p>
                <w:p w14:paraId="22D24B36">
                  <w:pPr>
                    <w:numPr>
                      <w:ilvl w:val="0"/>
                      <w:numId w:val="4"/>
                    </w:numPr>
                    <w:jc w:val="left"/>
                    <w:rPr>
                      <w:strike w:val="0"/>
                      <w:dstrike w:val="0"/>
                      <w:color w:val="auto"/>
                      <w:highlight w:val="none"/>
                    </w:rPr>
                  </w:pPr>
                  <w:r>
                    <w:rPr>
                      <w:strike w:val="0"/>
                      <w:dstrike w:val="0"/>
                      <w:color w:val="auto"/>
                      <w:highlight w:val="none"/>
                    </w:rPr>
                    <w:t>储油库、加油站和油罐车宜配备相应的油气收集系统，储油库、加油站宜配备相应的油气回收系统；</w:t>
                  </w:r>
                </w:p>
                <w:p w14:paraId="148EF317">
                  <w:pPr>
                    <w:numPr>
                      <w:ilvl w:val="0"/>
                      <w:numId w:val="4"/>
                    </w:numPr>
                    <w:jc w:val="left"/>
                    <w:rPr>
                      <w:strike w:val="0"/>
                      <w:dstrike w:val="0"/>
                      <w:color w:val="auto"/>
                      <w:highlight w:val="none"/>
                    </w:rPr>
                  </w:pPr>
                  <w:r>
                    <w:rPr>
                      <w:strike w:val="0"/>
                      <w:dstrike w:val="0"/>
                      <w:color w:val="auto"/>
                      <w:highlight w:val="none"/>
                    </w:rPr>
                    <w:t>油类（燃油、溶剂等）储罐宜采用高效密封的内（外）浮顶罐，当采用固定顶罐时，通过密闭排气系统将含</w:t>
                  </w:r>
                  <w:r>
                    <w:rPr>
                      <w:rFonts w:eastAsia="TimesNewRomanPSMT"/>
                      <w:strike w:val="0"/>
                      <w:dstrike w:val="0"/>
                      <w:color w:val="auto"/>
                      <w:highlight w:val="none"/>
                    </w:rPr>
                    <w:t>VOCs</w:t>
                  </w:r>
                  <w:r>
                    <w:rPr>
                      <w:strike w:val="0"/>
                      <w:dstrike w:val="0"/>
                      <w:color w:val="auto"/>
                      <w:highlight w:val="none"/>
                    </w:rPr>
                    <w:t>气体输送至回收设备；</w:t>
                  </w:r>
                </w:p>
                <w:p w14:paraId="7F2B61C8">
                  <w:pPr>
                    <w:jc w:val="left"/>
                    <w:rPr>
                      <w:strike w:val="0"/>
                      <w:dstrike w:val="0"/>
                      <w:color w:val="auto"/>
                      <w:highlight w:val="none"/>
                    </w:rPr>
                  </w:pPr>
                  <w:r>
                    <w:rPr>
                      <w:rFonts w:eastAsia="TimesNewRomanPSMT"/>
                      <w:strike w:val="0"/>
                      <w:dstrike w:val="0"/>
                      <w:color w:val="auto"/>
                      <w:highlight w:val="none"/>
                    </w:rPr>
                    <w:t>3.</w:t>
                  </w:r>
                  <w:r>
                    <w:rPr>
                      <w:strike w:val="0"/>
                      <w:dstrike w:val="0"/>
                      <w:color w:val="auto"/>
                      <w:highlight w:val="none"/>
                    </w:rPr>
                    <w:t>油类（燃油、溶剂等）运载工具（汽车油罐车、铁路油槽车、油轮等）在装载过程中排放的</w:t>
                  </w:r>
                  <w:r>
                    <w:rPr>
                      <w:rFonts w:eastAsia="TimesNewRomanPSMT"/>
                      <w:strike w:val="0"/>
                      <w:dstrike w:val="0"/>
                      <w:color w:val="auto"/>
                      <w:highlight w:val="none"/>
                    </w:rPr>
                    <w:t>VOCs</w:t>
                  </w:r>
                  <w:r>
                    <w:rPr>
                      <w:strike w:val="0"/>
                      <w:dstrike w:val="0"/>
                      <w:color w:val="auto"/>
                      <w:highlight w:val="none"/>
                    </w:rPr>
                    <w:t>密闭收集输送至回收设备，也可返回储罐或送入气体管网。</w:t>
                  </w:r>
                </w:p>
              </w:tc>
              <w:tc>
                <w:tcPr>
                  <w:tcW w:w="2909" w:type="dxa"/>
                  <w:vAlign w:val="center"/>
                </w:tcPr>
                <w:p w14:paraId="69D1F0EC">
                  <w:pPr>
                    <w:jc w:val="left"/>
                    <w:rPr>
                      <w:strike w:val="0"/>
                      <w:dstrike w:val="0"/>
                      <w:color w:val="auto"/>
                      <w:highlight w:val="none"/>
                    </w:rPr>
                  </w:pPr>
                  <w:r>
                    <w:rPr>
                      <w:strike w:val="0"/>
                      <w:dstrike w:val="0"/>
                      <w:color w:val="auto"/>
                      <w:highlight w:val="none"/>
                    </w:rPr>
                    <w:t>项目油罐采用</w:t>
                  </w:r>
                  <w:r>
                    <w:rPr>
                      <w:rFonts w:eastAsia="TimesNewRomanPSMT"/>
                      <w:strike w:val="0"/>
                      <w:dstrike w:val="0"/>
                      <w:color w:val="auto"/>
                      <w:highlight w:val="none"/>
                    </w:rPr>
                    <w:t>SF</w:t>
                  </w:r>
                  <w:r>
                    <w:rPr>
                      <w:strike w:val="0"/>
                      <w:dstrike w:val="0"/>
                      <w:color w:val="auto"/>
                      <w:highlight w:val="none"/>
                    </w:rPr>
                    <w:t>双层卧式钢质埋地储油罐，配套设置防渗池；站区设置有一次</w:t>
                  </w:r>
                  <w:r>
                    <w:rPr>
                      <w:rFonts w:hint="eastAsia"/>
                      <w:strike w:val="0"/>
                      <w:dstrike w:val="0"/>
                      <w:color w:val="auto"/>
                      <w:highlight w:val="none"/>
                    </w:rPr>
                    <w:t>、</w:t>
                  </w:r>
                  <w:r>
                    <w:rPr>
                      <w:strike w:val="0"/>
                      <w:dstrike w:val="0"/>
                      <w:color w:val="auto"/>
                      <w:highlight w:val="none"/>
                    </w:rPr>
                    <w:t>二次油气回收系统，分别对汽油卸油、加油过程挥发、逸散的油气进行回收。</w:t>
                  </w:r>
                </w:p>
              </w:tc>
              <w:tc>
                <w:tcPr>
                  <w:tcW w:w="927" w:type="dxa"/>
                  <w:vAlign w:val="center"/>
                </w:tcPr>
                <w:p w14:paraId="7BCF455F">
                  <w:pPr>
                    <w:jc w:val="center"/>
                    <w:rPr>
                      <w:strike w:val="0"/>
                      <w:dstrike w:val="0"/>
                      <w:color w:val="auto"/>
                      <w:highlight w:val="none"/>
                    </w:rPr>
                  </w:pPr>
                  <w:r>
                    <w:rPr>
                      <w:strike w:val="0"/>
                      <w:dstrike w:val="0"/>
                      <w:color w:val="auto"/>
                      <w:highlight w:val="none"/>
                    </w:rPr>
                    <w:t>符合</w:t>
                  </w:r>
                </w:p>
              </w:tc>
            </w:tr>
            <w:tr w14:paraId="2A92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14:paraId="4DE2D8EF">
                  <w:pPr>
                    <w:jc w:val="center"/>
                    <w:rPr>
                      <w:strike w:val="0"/>
                      <w:dstrike w:val="0"/>
                      <w:color w:val="auto"/>
                      <w:highlight w:val="none"/>
                    </w:rPr>
                  </w:pPr>
                  <w:r>
                    <w:rPr>
                      <w:strike w:val="0"/>
                      <w:dstrike w:val="0"/>
                      <w:color w:val="auto"/>
                      <w:highlight w:val="none"/>
                    </w:rPr>
                    <w:t>末端治理与综合利用</w:t>
                  </w:r>
                </w:p>
              </w:tc>
              <w:tc>
                <w:tcPr>
                  <w:tcW w:w="3153" w:type="dxa"/>
                  <w:vAlign w:val="center"/>
                </w:tcPr>
                <w:p w14:paraId="7700F2B3">
                  <w:pPr>
                    <w:jc w:val="left"/>
                    <w:rPr>
                      <w:strike w:val="0"/>
                      <w:dstrike w:val="0"/>
                      <w:color w:val="auto"/>
                      <w:highlight w:val="none"/>
                    </w:rPr>
                  </w:pPr>
                  <w:r>
                    <w:rPr>
                      <w:strike w:val="0"/>
                      <w:dstrike w:val="0"/>
                      <w:color w:val="auto"/>
                      <w:highlight w:val="none"/>
                    </w:rPr>
                    <w:t>鼓励</w:t>
                  </w:r>
                  <w:r>
                    <w:rPr>
                      <w:rFonts w:eastAsia="TimesNewRomanPSMT"/>
                      <w:strike w:val="0"/>
                      <w:dstrike w:val="0"/>
                      <w:color w:val="auto"/>
                      <w:highlight w:val="none"/>
                    </w:rPr>
                    <w:t xml:space="preserve">VOCs </w:t>
                  </w:r>
                  <w:r>
                    <w:rPr>
                      <w:strike w:val="0"/>
                      <w:dstrike w:val="0"/>
                      <w:color w:val="auto"/>
                      <w:highlight w:val="none"/>
                    </w:rPr>
                    <w:t>的回收利用，并优先鼓励在生产系统内回用对于含低浓度</w:t>
                  </w:r>
                  <w:r>
                    <w:rPr>
                      <w:rFonts w:eastAsia="TimesNewRomanPSMT"/>
                      <w:strike w:val="0"/>
                      <w:dstrike w:val="0"/>
                      <w:color w:val="auto"/>
                      <w:highlight w:val="none"/>
                    </w:rPr>
                    <w:t xml:space="preserve">VOCs </w:t>
                  </w:r>
                  <w:r>
                    <w:rPr>
                      <w:strike w:val="0"/>
                      <w:dstrike w:val="0"/>
                      <w:color w:val="auto"/>
                      <w:highlight w:val="none"/>
                    </w:rPr>
                    <w:t>的废气，有回收价值时可采用吸附技术、吸收技术对有机溶剂回收后达标排放；不宜回收时，可采用吸附浓缩燃烧技术、生物技术、吸收技术、等离子体技术或紫外光高级氧化技术等净化后达标排放。</w:t>
                  </w:r>
                </w:p>
              </w:tc>
              <w:tc>
                <w:tcPr>
                  <w:tcW w:w="2909" w:type="dxa"/>
                  <w:vAlign w:val="center"/>
                </w:tcPr>
                <w:p w14:paraId="47ECE103">
                  <w:pPr>
                    <w:jc w:val="left"/>
                    <w:rPr>
                      <w:strike w:val="0"/>
                      <w:dstrike w:val="0"/>
                      <w:color w:val="auto"/>
                      <w:highlight w:val="none"/>
                    </w:rPr>
                  </w:pPr>
                  <w:r>
                    <w:rPr>
                      <w:strike w:val="0"/>
                      <w:dstrike w:val="0"/>
                      <w:color w:val="auto"/>
                      <w:highlight w:val="none"/>
                    </w:rPr>
                    <w:t>本项目</w:t>
                  </w:r>
                  <w:r>
                    <w:rPr>
                      <w:rFonts w:eastAsia="TimesNewRomanPSMT"/>
                      <w:strike w:val="0"/>
                      <w:dstrike w:val="0"/>
                      <w:color w:val="auto"/>
                      <w:highlight w:val="none"/>
                    </w:rPr>
                    <w:t>VOCs</w:t>
                  </w:r>
                  <w:r>
                    <w:rPr>
                      <w:strike w:val="0"/>
                      <w:dstrike w:val="0"/>
                      <w:color w:val="auto"/>
                      <w:highlight w:val="none"/>
                    </w:rPr>
                    <w:t>废气经油气回</w:t>
                  </w:r>
                </w:p>
                <w:p w14:paraId="026184EA">
                  <w:pPr>
                    <w:jc w:val="left"/>
                    <w:rPr>
                      <w:strike w:val="0"/>
                      <w:dstrike w:val="0"/>
                      <w:color w:val="auto"/>
                      <w:highlight w:val="none"/>
                    </w:rPr>
                  </w:pPr>
                  <w:r>
                    <w:rPr>
                      <w:strike w:val="0"/>
                      <w:dstrike w:val="0"/>
                      <w:color w:val="auto"/>
                      <w:highlight w:val="none"/>
                    </w:rPr>
                    <w:t>收系统回收处理。</w:t>
                  </w:r>
                </w:p>
              </w:tc>
              <w:tc>
                <w:tcPr>
                  <w:tcW w:w="927" w:type="dxa"/>
                  <w:vAlign w:val="center"/>
                </w:tcPr>
                <w:p w14:paraId="669B858A">
                  <w:pPr>
                    <w:jc w:val="center"/>
                    <w:rPr>
                      <w:strike w:val="0"/>
                      <w:dstrike w:val="0"/>
                      <w:color w:val="auto"/>
                      <w:highlight w:val="none"/>
                    </w:rPr>
                  </w:pPr>
                  <w:r>
                    <w:rPr>
                      <w:strike w:val="0"/>
                      <w:dstrike w:val="0"/>
                      <w:color w:val="auto"/>
                      <w:highlight w:val="none"/>
                    </w:rPr>
                    <w:t>符合</w:t>
                  </w:r>
                </w:p>
              </w:tc>
            </w:tr>
          </w:tbl>
          <w:p w14:paraId="64CC4D3B">
            <w:pPr>
              <w:spacing w:line="360" w:lineRule="auto"/>
              <w:ind w:firstLine="480" w:firstLineChars="200"/>
              <w:rPr>
                <w:strike w:val="0"/>
                <w:dstrike w:val="0"/>
                <w:color w:val="auto"/>
                <w:sz w:val="24"/>
                <w:szCs w:val="32"/>
                <w:highlight w:val="none"/>
              </w:rPr>
            </w:pPr>
            <w:r>
              <w:rPr>
                <w:strike w:val="0"/>
                <w:dstrike w:val="0"/>
                <w:color w:val="auto"/>
                <w:sz w:val="24"/>
                <w:highlight w:val="none"/>
              </w:rPr>
              <w:t>由上表可知，本项目符合《</w:t>
            </w:r>
            <w:r>
              <w:rPr>
                <w:strike w:val="0"/>
                <w:dstrike w:val="0"/>
                <w:color w:val="auto"/>
                <w:sz w:val="24"/>
                <w:szCs w:val="32"/>
                <w:highlight w:val="none"/>
              </w:rPr>
              <w:t>挥发性有机物（VOCs）污染防治技术政策》的相关要求。</w:t>
            </w:r>
          </w:p>
          <w:p w14:paraId="65A552E3">
            <w:pPr>
              <w:autoSpaceDE w:val="0"/>
              <w:autoSpaceDN w:val="0"/>
              <w:adjustRightInd w:val="0"/>
              <w:snapToGrid w:val="0"/>
              <w:spacing w:line="460" w:lineRule="exact"/>
              <w:jc w:val="left"/>
              <w:rPr>
                <w:b/>
                <w:bCs/>
                <w:strike w:val="0"/>
                <w:dstrike w:val="0"/>
                <w:color w:val="auto"/>
                <w:sz w:val="24"/>
                <w:highlight w:val="none"/>
              </w:rPr>
            </w:pPr>
            <w:r>
              <w:rPr>
                <w:b/>
                <w:bCs/>
                <w:strike w:val="0"/>
                <w:dstrike w:val="0"/>
                <w:color w:val="auto"/>
                <w:sz w:val="24"/>
                <w:highlight w:val="none"/>
              </w:rPr>
              <w:t>1.7与《重庆市大气环境保护“十四五</w:t>
            </w:r>
            <w:r>
              <w:rPr>
                <w:rFonts w:hint="eastAsia"/>
                <w:b/>
                <w:bCs/>
                <w:strike w:val="0"/>
                <w:dstrike w:val="0"/>
                <w:color w:val="auto"/>
                <w:sz w:val="24"/>
                <w:highlight w:val="none"/>
              </w:rPr>
              <w:t>”</w:t>
            </w:r>
            <w:r>
              <w:rPr>
                <w:b/>
                <w:bCs/>
                <w:strike w:val="0"/>
                <w:dstrike w:val="0"/>
                <w:color w:val="auto"/>
                <w:sz w:val="24"/>
                <w:highlight w:val="none"/>
              </w:rPr>
              <w:t>规划（2021-2025年）》（渝环〔2022〕43号）符合性分析</w:t>
            </w:r>
          </w:p>
          <w:p w14:paraId="4C239124">
            <w:pPr>
              <w:keepNext/>
              <w:keepLines/>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本项目与</w:t>
            </w:r>
            <w:r>
              <w:rPr>
                <w:strike w:val="0"/>
                <w:dstrike w:val="0"/>
                <w:color w:val="auto"/>
                <w:sz w:val="24"/>
                <w:highlight w:val="none"/>
              </w:rPr>
              <w:t>《重庆市大气环境保护“十四五</w:t>
            </w:r>
            <w:r>
              <w:rPr>
                <w:rFonts w:hint="eastAsia"/>
                <w:strike w:val="0"/>
                <w:dstrike w:val="0"/>
                <w:color w:val="auto"/>
                <w:sz w:val="24"/>
                <w:highlight w:val="none"/>
              </w:rPr>
              <w:t>”</w:t>
            </w:r>
            <w:r>
              <w:rPr>
                <w:strike w:val="0"/>
                <w:dstrike w:val="0"/>
                <w:color w:val="auto"/>
                <w:sz w:val="24"/>
                <w:highlight w:val="none"/>
              </w:rPr>
              <w:t>规划（2021-2025年）》（渝环〔2022〕43号）</w:t>
            </w:r>
            <w:r>
              <w:rPr>
                <w:strike w:val="0"/>
                <w:dstrike w:val="0"/>
                <w:color w:val="auto"/>
                <w:sz w:val="24"/>
                <w:szCs w:val="32"/>
                <w:highlight w:val="none"/>
              </w:rPr>
              <w:t>符合性分析详见表1.7-1。</w:t>
            </w:r>
          </w:p>
          <w:p w14:paraId="43DD66C9">
            <w:pPr>
              <w:spacing w:line="360" w:lineRule="auto"/>
              <w:jc w:val="center"/>
              <w:rPr>
                <w:strike w:val="0"/>
                <w:dstrike w:val="0"/>
                <w:color w:val="auto"/>
                <w:sz w:val="24"/>
                <w:szCs w:val="32"/>
                <w:highlight w:val="none"/>
              </w:rPr>
            </w:pPr>
            <w:r>
              <w:rPr>
                <w:b/>
                <w:bCs/>
                <w:strike w:val="0"/>
                <w:dstrike w:val="0"/>
                <w:color w:val="auto"/>
                <w:sz w:val="24"/>
                <w:szCs w:val="32"/>
                <w:highlight w:val="none"/>
              </w:rPr>
              <w:t>表1.7-1  与</w:t>
            </w:r>
            <w:r>
              <w:rPr>
                <w:b/>
                <w:bCs/>
                <w:strike w:val="0"/>
                <w:dstrike w:val="0"/>
                <w:color w:val="auto"/>
                <w:sz w:val="24"/>
                <w:highlight w:val="none"/>
              </w:rPr>
              <w:t>渝环〔2022〕43号符合性分析</w:t>
            </w:r>
          </w:p>
          <w:tbl>
            <w:tblPr>
              <w:tblStyle w:val="23"/>
              <w:tblW w:w="7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376"/>
              <w:gridCol w:w="1887"/>
              <w:gridCol w:w="927"/>
            </w:tblGrid>
            <w:tr w14:paraId="1255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6" w:type="dxa"/>
                  <w:gridSpan w:val="2"/>
                  <w:vAlign w:val="center"/>
                </w:tcPr>
                <w:p w14:paraId="5473142C">
                  <w:pPr>
                    <w:jc w:val="center"/>
                    <w:rPr>
                      <w:b/>
                      <w:bCs/>
                      <w:strike w:val="0"/>
                      <w:dstrike w:val="0"/>
                      <w:color w:val="auto"/>
                      <w:szCs w:val="21"/>
                      <w:highlight w:val="none"/>
                    </w:rPr>
                  </w:pPr>
                  <w:r>
                    <w:rPr>
                      <w:b/>
                      <w:bCs/>
                      <w:strike w:val="0"/>
                      <w:dstrike w:val="0"/>
                      <w:color w:val="auto"/>
                      <w:szCs w:val="21"/>
                      <w:highlight w:val="none"/>
                    </w:rPr>
                    <w:t>要求</w:t>
                  </w:r>
                </w:p>
              </w:tc>
              <w:tc>
                <w:tcPr>
                  <w:tcW w:w="1887" w:type="dxa"/>
                  <w:vAlign w:val="center"/>
                </w:tcPr>
                <w:p w14:paraId="71BE375A">
                  <w:pPr>
                    <w:jc w:val="center"/>
                    <w:rPr>
                      <w:b/>
                      <w:bCs/>
                      <w:strike w:val="0"/>
                      <w:dstrike w:val="0"/>
                      <w:color w:val="auto"/>
                      <w:szCs w:val="21"/>
                      <w:highlight w:val="none"/>
                    </w:rPr>
                  </w:pPr>
                  <w:r>
                    <w:rPr>
                      <w:b/>
                      <w:bCs/>
                      <w:strike w:val="0"/>
                      <w:dstrike w:val="0"/>
                      <w:color w:val="auto"/>
                      <w:szCs w:val="21"/>
                      <w:highlight w:val="none"/>
                    </w:rPr>
                    <w:t>项目情况</w:t>
                  </w:r>
                </w:p>
              </w:tc>
              <w:tc>
                <w:tcPr>
                  <w:tcW w:w="927" w:type="dxa"/>
                  <w:vAlign w:val="center"/>
                </w:tcPr>
                <w:p w14:paraId="7B5DFD69">
                  <w:pPr>
                    <w:jc w:val="center"/>
                    <w:rPr>
                      <w:b/>
                      <w:bCs/>
                      <w:strike w:val="0"/>
                      <w:dstrike w:val="0"/>
                      <w:color w:val="auto"/>
                      <w:szCs w:val="21"/>
                      <w:highlight w:val="none"/>
                    </w:rPr>
                  </w:pPr>
                  <w:r>
                    <w:rPr>
                      <w:b/>
                      <w:bCs/>
                      <w:strike w:val="0"/>
                      <w:dstrike w:val="0"/>
                      <w:color w:val="auto"/>
                      <w:szCs w:val="21"/>
                      <w:highlight w:val="none"/>
                    </w:rPr>
                    <w:t>符合性分析</w:t>
                  </w:r>
                </w:p>
              </w:tc>
            </w:tr>
            <w:tr w14:paraId="6331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14:paraId="15E2D7A2">
                  <w:pPr>
                    <w:jc w:val="center"/>
                    <w:rPr>
                      <w:b/>
                      <w:bCs/>
                      <w:strike w:val="0"/>
                      <w:dstrike w:val="0"/>
                      <w:color w:val="auto"/>
                      <w:szCs w:val="21"/>
                      <w:highlight w:val="none"/>
                    </w:rPr>
                  </w:pPr>
                  <w:r>
                    <w:rPr>
                      <w:strike w:val="0"/>
                      <w:dstrike w:val="0"/>
                      <w:color w:val="auto"/>
                      <w:szCs w:val="21"/>
                      <w:highlight w:val="none"/>
                    </w:rPr>
                    <w:t>强化VOCs无组织排放管控</w:t>
                  </w:r>
                </w:p>
              </w:tc>
              <w:tc>
                <w:tcPr>
                  <w:tcW w:w="4376" w:type="dxa"/>
                  <w:vAlign w:val="center"/>
                </w:tcPr>
                <w:p w14:paraId="2EA5442C">
                  <w:pPr>
                    <w:rPr>
                      <w:strike w:val="0"/>
                      <w:dstrike w:val="0"/>
                      <w:color w:val="auto"/>
                      <w:szCs w:val="21"/>
                      <w:highlight w:val="none"/>
                    </w:rPr>
                  </w:pPr>
                  <w:r>
                    <w:rPr>
                      <w:strike w:val="0"/>
                      <w:dstrike w:val="0"/>
                      <w:color w:val="auto"/>
                      <w:szCs w:val="21"/>
                      <w:highlight w:val="none"/>
                    </w:rPr>
                    <w:t>实施储罐综合治理，浮顶与罐壁之间应采用高效密封方式，重点区域存储汽油、航空煤油、石脑油以及苯、甲苯、二甲苯的浮顶罐应使用全液面接触式浮顶。强化装卸废气收集治理，限期推动装载汽油、航空煤油、石脑油和苯、甲苯、二甲苯等的汽车罐车全部采用底部装载方式，换用自封式快速接头。指导企业规范开展泄漏检测与修复(LDAR)工作，优先在密封点超过2000 个的企业推行LDAR 技术改造，并加强监督检查。长寿、万州、涪陵及其他重点工业园区，逐步建立统一的LDAR 信息管理平台试点。2023 年年底前完成万吨级及以上原油、成品油码头油气回收治理。鼓励重点区域年销售汽油5000 吨以上加油站完成油气三级回收处理。</w:t>
                  </w:r>
                </w:p>
              </w:tc>
              <w:tc>
                <w:tcPr>
                  <w:tcW w:w="1887" w:type="dxa"/>
                  <w:vAlign w:val="center"/>
                </w:tcPr>
                <w:p w14:paraId="71DDEB91">
                  <w:pPr>
                    <w:rPr>
                      <w:strike w:val="0"/>
                      <w:dstrike w:val="0"/>
                      <w:color w:val="auto"/>
                      <w:szCs w:val="21"/>
                      <w:highlight w:val="none"/>
                    </w:rPr>
                  </w:pPr>
                  <w:r>
                    <w:rPr>
                      <w:strike w:val="0"/>
                      <w:dstrike w:val="0"/>
                      <w:color w:val="auto"/>
                      <w:szCs w:val="21"/>
                      <w:highlight w:val="none"/>
                    </w:rPr>
                    <w:t>项目设置有加油及卸油油气回收系统用于收集油气，同时设置有油气回收在线监测系统。</w:t>
                  </w:r>
                </w:p>
              </w:tc>
              <w:tc>
                <w:tcPr>
                  <w:tcW w:w="927" w:type="dxa"/>
                  <w:vAlign w:val="center"/>
                </w:tcPr>
                <w:p w14:paraId="0C58C6E6">
                  <w:pPr>
                    <w:jc w:val="center"/>
                    <w:rPr>
                      <w:strike w:val="0"/>
                      <w:dstrike w:val="0"/>
                      <w:color w:val="auto"/>
                      <w:szCs w:val="21"/>
                      <w:highlight w:val="none"/>
                    </w:rPr>
                  </w:pPr>
                  <w:r>
                    <w:rPr>
                      <w:strike w:val="0"/>
                      <w:dstrike w:val="0"/>
                      <w:color w:val="auto"/>
                      <w:szCs w:val="21"/>
                      <w:highlight w:val="none"/>
                    </w:rPr>
                    <w:t>符合</w:t>
                  </w:r>
                </w:p>
              </w:tc>
            </w:tr>
            <w:tr w14:paraId="098E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14:paraId="26746E30">
                  <w:pPr>
                    <w:jc w:val="center"/>
                    <w:rPr>
                      <w:strike w:val="0"/>
                      <w:dstrike w:val="0"/>
                      <w:color w:val="auto"/>
                      <w:szCs w:val="21"/>
                      <w:highlight w:val="none"/>
                    </w:rPr>
                  </w:pPr>
                  <w:r>
                    <w:rPr>
                      <w:strike w:val="0"/>
                      <w:dstrike w:val="0"/>
                      <w:color w:val="auto"/>
                      <w:szCs w:val="21"/>
                      <w:highlight w:val="none"/>
                    </w:rPr>
                    <w:t>强化环保监管</w:t>
                  </w:r>
                </w:p>
              </w:tc>
              <w:tc>
                <w:tcPr>
                  <w:tcW w:w="4376" w:type="dxa"/>
                  <w:vAlign w:val="center"/>
                </w:tcPr>
                <w:p w14:paraId="7E9361F8">
                  <w:pPr>
                    <w:rPr>
                      <w:strike w:val="0"/>
                      <w:dstrike w:val="0"/>
                      <w:color w:val="auto"/>
                      <w:szCs w:val="21"/>
                      <w:highlight w:val="none"/>
                    </w:rPr>
                  </w:pPr>
                  <w:r>
                    <w:rPr>
                      <w:strike w:val="0"/>
                      <w:dstrike w:val="0"/>
                      <w:color w:val="auto"/>
                      <w:szCs w:val="21"/>
                      <w:highlight w:val="none"/>
                    </w:rPr>
                    <w:t>建立重点排污单位动态管理台账，开展执法监测、加密监测。开展重点区域重点行业VOCS 排放企业生产设施—治理设施—排放口—在线监控全过程动态管控系统试点，确保污染治理设施正常运行。完成重点区域城市建成区加油站油气回收在线监控设施建设全覆盖，并与生态环境部门联网，确保油气回收治理设施正常运转，每年检查、抽测重点区域储油库、加油站油气回收装置，重点区域每年抽测比例不低于50%，一般区域不低于30%。</w:t>
                  </w:r>
                </w:p>
              </w:tc>
              <w:tc>
                <w:tcPr>
                  <w:tcW w:w="1887" w:type="dxa"/>
                  <w:vAlign w:val="center"/>
                </w:tcPr>
                <w:p w14:paraId="7B2B8F0B">
                  <w:pPr>
                    <w:rPr>
                      <w:strike w:val="0"/>
                      <w:dstrike w:val="0"/>
                      <w:color w:val="auto"/>
                      <w:szCs w:val="21"/>
                      <w:highlight w:val="none"/>
                    </w:rPr>
                  </w:pPr>
                  <w:r>
                    <w:rPr>
                      <w:strike w:val="0"/>
                      <w:dstrike w:val="0"/>
                      <w:color w:val="auto"/>
                      <w:szCs w:val="21"/>
                      <w:highlight w:val="none"/>
                    </w:rPr>
                    <w:t>项目设置有加油及卸油油气回收系统用于收集油气，同时设置有油气回收在线监测系统，每年对加油站油气回收装置进行监测，确保油气回收治理设施正常运行。</w:t>
                  </w:r>
                </w:p>
              </w:tc>
              <w:tc>
                <w:tcPr>
                  <w:tcW w:w="927" w:type="dxa"/>
                  <w:vAlign w:val="center"/>
                </w:tcPr>
                <w:p w14:paraId="483CE0E2">
                  <w:pPr>
                    <w:jc w:val="center"/>
                    <w:rPr>
                      <w:strike w:val="0"/>
                      <w:dstrike w:val="0"/>
                      <w:color w:val="auto"/>
                      <w:szCs w:val="21"/>
                      <w:highlight w:val="none"/>
                    </w:rPr>
                  </w:pPr>
                  <w:r>
                    <w:rPr>
                      <w:strike w:val="0"/>
                      <w:dstrike w:val="0"/>
                      <w:color w:val="auto"/>
                      <w:szCs w:val="21"/>
                      <w:highlight w:val="none"/>
                    </w:rPr>
                    <w:t>符合</w:t>
                  </w:r>
                </w:p>
              </w:tc>
            </w:tr>
            <w:tr w14:paraId="012F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14:paraId="755FABC2">
                  <w:pPr>
                    <w:jc w:val="center"/>
                    <w:rPr>
                      <w:strike w:val="0"/>
                      <w:dstrike w:val="0"/>
                      <w:color w:val="auto"/>
                      <w:szCs w:val="21"/>
                      <w:highlight w:val="none"/>
                    </w:rPr>
                  </w:pPr>
                  <w:r>
                    <w:rPr>
                      <w:strike w:val="0"/>
                      <w:dstrike w:val="0"/>
                      <w:color w:val="auto"/>
                      <w:szCs w:val="21"/>
                      <w:highlight w:val="none"/>
                    </w:rPr>
                    <w:t>实施清洁油品攻坚行动</w:t>
                  </w:r>
                </w:p>
              </w:tc>
              <w:tc>
                <w:tcPr>
                  <w:tcW w:w="4376" w:type="dxa"/>
                  <w:vAlign w:val="center"/>
                </w:tcPr>
                <w:p w14:paraId="00F607E0">
                  <w:pPr>
                    <w:rPr>
                      <w:strike w:val="0"/>
                      <w:dstrike w:val="0"/>
                      <w:color w:val="auto"/>
                      <w:szCs w:val="21"/>
                      <w:highlight w:val="none"/>
                    </w:rPr>
                  </w:pPr>
                  <w:r>
                    <w:rPr>
                      <w:strike w:val="0"/>
                      <w:dstrike w:val="0"/>
                      <w:color w:val="auto"/>
                      <w:szCs w:val="21"/>
                      <w:highlight w:val="none"/>
                    </w:rPr>
                    <w:t>加强油品进口、生产、储存、销售、使用等环节全链条监管，持续开展打击整治成品油非法经营行为的联合执法行动，严厉打击非标油品流通使用，严厉查处生产、销售、储存和使用不合格油品、天然气和车用尿素等违法行为，坚决取缔无证无照经营的黑加油站点、流动黑加油罐车。持续开展油品质量监管和质量抽检工作，每年对加油站、储油库、企业自备油库抽检组数不少于1000 组，柴油组数不少于50%，强调抽测在时间维度、空间维度的针对性，提高在秋冬季、春夏季等污染高发时段及空气质量较差、投诉较多区域的抽测比例。</w:t>
                  </w:r>
                </w:p>
              </w:tc>
              <w:tc>
                <w:tcPr>
                  <w:tcW w:w="1887" w:type="dxa"/>
                  <w:vAlign w:val="center"/>
                </w:tcPr>
                <w:p w14:paraId="4D7B1583">
                  <w:pPr>
                    <w:rPr>
                      <w:strike w:val="0"/>
                      <w:dstrike w:val="0"/>
                      <w:color w:val="auto"/>
                      <w:szCs w:val="21"/>
                      <w:highlight w:val="none"/>
                    </w:rPr>
                  </w:pPr>
                  <w:r>
                    <w:rPr>
                      <w:strike w:val="0"/>
                      <w:dstrike w:val="0"/>
                      <w:color w:val="auto"/>
                      <w:szCs w:val="21"/>
                      <w:highlight w:val="none"/>
                    </w:rPr>
                    <w:t>加油站已取得营业执照，且定期进行油品抽检工作。</w:t>
                  </w:r>
                </w:p>
              </w:tc>
              <w:tc>
                <w:tcPr>
                  <w:tcW w:w="927" w:type="dxa"/>
                  <w:vAlign w:val="center"/>
                </w:tcPr>
                <w:p w14:paraId="3CB3E9A7">
                  <w:pPr>
                    <w:jc w:val="center"/>
                    <w:rPr>
                      <w:strike w:val="0"/>
                      <w:dstrike w:val="0"/>
                      <w:color w:val="auto"/>
                      <w:szCs w:val="21"/>
                      <w:highlight w:val="none"/>
                    </w:rPr>
                  </w:pPr>
                  <w:r>
                    <w:rPr>
                      <w:strike w:val="0"/>
                      <w:dstrike w:val="0"/>
                      <w:color w:val="auto"/>
                      <w:szCs w:val="21"/>
                      <w:highlight w:val="none"/>
                    </w:rPr>
                    <w:t>符合</w:t>
                  </w:r>
                </w:p>
              </w:tc>
            </w:tr>
          </w:tbl>
          <w:p w14:paraId="4E52496C">
            <w:pPr>
              <w:spacing w:line="360" w:lineRule="auto"/>
              <w:ind w:firstLine="480" w:firstLineChars="200"/>
              <w:rPr>
                <w:strike w:val="0"/>
                <w:dstrike w:val="0"/>
                <w:color w:val="auto"/>
                <w:sz w:val="24"/>
                <w:szCs w:val="32"/>
                <w:highlight w:val="none"/>
              </w:rPr>
            </w:pPr>
            <w:r>
              <w:rPr>
                <w:strike w:val="0"/>
                <w:dstrike w:val="0"/>
                <w:color w:val="auto"/>
                <w:sz w:val="24"/>
                <w:highlight w:val="none"/>
              </w:rPr>
              <w:t>由上表可知，本项目符合《重庆市大气环境保护“十四五</w:t>
            </w:r>
            <w:r>
              <w:rPr>
                <w:rFonts w:hint="eastAsia"/>
                <w:strike w:val="0"/>
                <w:dstrike w:val="0"/>
                <w:color w:val="auto"/>
                <w:sz w:val="24"/>
                <w:highlight w:val="none"/>
              </w:rPr>
              <w:t>”</w:t>
            </w:r>
            <w:r>
              <w:rPr>
                <w:strike w:val="0"/>
                <w:dstrike w:val="0"/>
                <w:color w:val="auto"/>
                <w:sz w:val="24"/>
                <w:highlight w:val="none"/>
              </w:rPr>
              <w:t>规划（2021-2025年）》（渝环〔2022〕43号）中的相关要求。</w:t>
            </w:r>
          </w:p>
          <w:p w14:paraId="3265D490">
            <w:pPr>
              <w:spacing w:line="360" w:lineRule="auto"/>
              <w:rPr>
                <w:b/>
                <w:strike w:val="0"/>
                <w:dstrike w:val="0"/>
                <w:color w:val="auto"/>
                <w:sz w:val="24"/>
                <w:highlight w:val="none"/>
              </w:rPr>
            </w:pPr>
            <w:r>
              <w:rPr>
                <w:b/>
                <w:strike w:val="0"/>
                <w:dstrike w:val="0"/>
                <w:color w:val="auto"/>
                <w:sz w:val="24"/>
                <w:highlight w:val="none"/>
              </w:rPr>
              <w:t>1.8与《挥发性有机物无组织排放控制标准》（GB37822-2019）符合性分析</w:t>
            </w:r>
          </w:p>
          <w:p w14:paraId="26ABF812">
            <w:pPr>
              <w:snapToGrid w:val="0"/>
              <w:spacing w:line="360" w:lineRule="auto"/>
              <w:ind w:firstLine="480" w:firstLineChars="200"/>
              <w:rPr>
                <w:strike w:val="0"/>
                <w:dstrike w:val="0"/>
                <w:color w:val="auto"/>
                <w:sz w:val="24"/>
                <w:highlight w:val="none"/>
              </w:rPr>
            </w:pPr>
            <w:r>
              <w:rPr>
                <w:strike w:val="0"/>
                <w:dstrike w:val="0"/>
                <w:color w:val="auto"/>
                <w:sz w:val="24"/>
                <w:highlight w:val="none"/>
              </w:rPr>
              <w:t>本项目与《挥发性有机物无组织排放控制标准》</w:t>
            </w:r>
            <w:r>
              <w:rPr>
                <w:strike w:val="0"/>
                <w:dstrike w:val="0"/>
                <w:color w:val="auto"/>
                <w:kern w:val="0"/>
                <w:sz w:val="24"/>
                <w:highlight w:val="none"/>
              </w:rPr>
              <w:t>（GB37822-2019）</w:t>
            </w:r>
            <w:r>
              <w:rPr>
                <w:strike w:val="0"/>
                <w:dstrike w:val="0"/>
                <w:color w:val="auto"/>
                <w:sz w:val="24"/>
                <w:highlight w:val="none"/>
              </w:rPr>
              <w:t>符合性分析见表1.8-1。</w:t>
            </w:r>
          </w:p>
          <w:p w14:paraId="05A50904">
            <w:pPr>
              <w:snapToGrid w:val="0"/>
              <w:jc w:val="center"/>
              <w:rPr>
                <w:b/>
                <w:strike w:val="0"/>
                <w:dstrike w:val="0"/>
                <w:color w:val="auto"/>
                <w:sz w:val="24"/>
                <w:highlight w:val="none"/>
              </w:rPr>
            </w:pPr>
            <w:r>
              <w:rPr>
                <w:b/>
                <w:strike w:val="0"/>
                <w:dstrike w:val="0"/>
                <w:color w:val="auto"/>
                <w:sz w:val="24"/>
                <w:highlight w:val="none"/>
              </w:rPr>
              <w:t>表1.8-1  与《挥发性有机物无组织排放控制标准》符合性分析</w:t>
            </w:r>
          </w:p>
          <w:tbl>
            <w:tblPr>
              <w:tblStyle w:val="22"/>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4075"/>
              <w:gridCol w:w="2285"/>
              <w:gridCol w:w="680"/>
            </w:tblGrid>
            <w:tr w14:paraId="3426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99" w:type="dxa"/>
                  <w:vAlign w:val="center"/>
                </w:tcPr>
                <w:p w14:paraId="746A3073">
                  <w:pPr>
                    <w:pStyle w:val="43"/>
                    <w:widowControl/>
                    <w:kinsoku w:val="0"/>
                    <w:overflowPunct w:val="0"/>
                    <w:autoSpaceDE/>
                    <w:autoSpaceDN/>
                    <w:adjustRightInd/>
                    <w:jc w:val="center"/>
                    <w:rPr>
                      <w:b/>
                      <w:bCs/>
                      <w:strike w:val="0"/>
                      <w:dstrike w:val="0"/>
                      <w:color w:val="auto"/>
                      <w:sz w:val="21"/>
                      <w:highlight w:val="none"/>
                    </w:rPr>
                  </w:pPr>
                  <w:r>
                    <w:rPr>
                      <w:b/>
                      <w:bCs/>
                      <w:strike w:val="0"/>
                      <w:dstrike w:val="0"/>
                      <w:color w:val="auto"/>
                      <w:sz w:val="21"/>
                      <w:highlight w:val="none"/>
                    </w:rPr>
                    <w:t>序号</w:t>
                  </w:r>
                </w:p>
              </w:tc>
              <w:tc>
                <w:tcPr>
                  <w:tcW w:w="4075" w:type="dxa"/>
                  <w:vAlign w:val="center"/>
                </w:tcPr>
                <w:p w14:paraId="11FE3319">
                  <w:pPr>
                    <w:pStyle w:val="43"/>
                    <w:widowControl/>
                    <w:kinsoku w:val="0"/>
                    <w:overflowPunct w:val="0"/>
                    <w:autoSpaceDE/>
                    <w:autoSpaceDN/>
                    <w:adjustRightInd/>
                    <w:jc w:val="center"/>
                    <w:rPr>
                      <w:b/>
                      <w:bCs/>
                      <w:strike w:val="0"/>
                      <w:dstrike w:val="0"/>
                      <w:color w:val="auto"/>
                      <w:sz w:val="21"/>
                      <w:highlight w:val="none"/>
                    </w:rPr>
                  </w:pPr>
                  <w:r>
                    <w:rPr>
                      <w:b/>
                      <w:bCs/>
                      <w:strike w:val="0"/>
                      <w:dstrike w:val="0"/>
                      <w:color w:val="auto"/>
                      <w:sz w:val="21"/>
                      <w:highlight w:val="none"/>
                    </w:rPr>
                    <w:t>标准</w:t>
                  </w:r>
                </w:p>
              </w:tc>
              <w:tc>
                <w:tcPr>
                  <w:tcW w:w="2285" w:type="dxa"/>
                  <w:vAlign w:val="center"/>
                </w:tcPr>
                <w:p w14:paraId="37C1AF71">
                  <w:pPr>
                    <w:pStyle w:val="43"/>
                    <w:widowControl/>
                    <w:kinsoku w:val="0"/>
                    <w:overflowPunct w:val="0"/>
                    <w:autoSpaceDE/>
                    <w:autoSpaceDN/>
                    <w:adjustRightInd/>
                    <w:jc w:val="center"/>
                    <w:rPr>
                      <w:b/>
                      <w:bCs/>
                      <w:strike w:val="0"/>
                      <w:dstrike w:val="0"/>
                      <w:color w:val="auto"/>
                      <w:sz w:val="21"/>
                      <w:highlight w:val="none"/>
                    </w:rPr>
                  </w:pPr>
                  <w:r>
                    <w:rPr>
                      <w:b/>
                      <w:bCs/>
                      <w:strike w:val="0"/>
                      <w:dstrike w:val="0"/>
                      <w:color w:val="auto"/>
                      <w:sz w:val="21"/>
                      <w:highlight w:val="none"/>
                    </w:rPr>
                    <w:t>项目情况</w:t>
                  </w:r>
                </w:p>
              </w:tc>
              <w:tc>
                <w:tcPr>
                  <w:tcW w:w="680" w:type="dxa"/>
                  <w:vAlign w:val="center"/>
                </w:tcPr>
                <w:p w14:paraId="557009D6">
                  <w:pPr>
                    <w:pStyle w:val="43"/>
                    <w:widowControl/>
                    <w:kinsoku w:val="0"/>
                    <w:overflowPunct w:val="0"/>
                    <w:autoSpaceDE/>
                    <w:autoSpaceDN/>
                    <w:adjustRightInd/>
                    <w:jc w:val="center"/>
                    <w:rPr>
                      <w:b/>
                      <w:bCs/>
                      <w:strike w:val="0"/>
                      <w:dstrike w:val="0"/>
                      <w:color w:val="auto"/>
                      <w:sz w:val="21"/>
                      <w:highlight w:val="none"/>
                    </w:rPr>
                  </w:pPr>
                  <w:r>
                    <w:rPr>
                      <w:b/>
                      <w:bCs/>
                      <w:strike w:val="0"/>
                      <w:dstrike w:val="0"/>
                      <w:color w:val="auto"/>
                      <w:sz w:val="21"/>
                      <w:highlight w:val="none"/>
                    </w:rPr>
                    <w:t>符合性</w:t>
                  </w:r>
                </w:p>
              </w:tc>
            </w:tr>
            <w:tr w14:paraId="5434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9" w:type="dxa"/>
                  <w:vAlign w:val="center"/>
                </w:tcPr>
                <w:p w14:paraId="6F7DC6CE">
                  <w:pPr>
                    <w:pStyle w:val="43"/>
                    <w:widowControl/>
                    <w:kinsoku w:val="0"/>
                    <w:overflowPunct w:val="0"/>
                    <w:autoSpaceDE/>
                    <w:autoSpaceDN/>
                    <w:adjustRightInd/>
                    <w:jc w:val="center"/>
                    <w:rPr>
                      <w:strike w:val="0"/>
                      <w:dstrike w:val="0"/>
                      <w:color w:val="auto"/>
                      <w:w w:val="99"/>
                      <w:sz w:val="21"/>
                      <w:highlight w:val="none"/>
                    </w:rPr>
                  </w:pPr>
                  <w:r>
                    <w:rPr>
                      <w:strike w:val="0"/>
                      <w:dstrike w:val="0"/>
                      <w:color w:val="auto"/>
                      <w:w w:val="99"/>
                      <w:sz w:val="21"/>
                      <w:highlight w:val="none"/>
                    </w:rPr>
                    <w:t>1</w:t>
                  </w:r>
                </w:p>
              </w:tc>
              <w:tc>
                <w:tcPr>
                  <w:tcW w:w="4075" w:type="dxa"/>
                  <w:vAlign w:val="center"/>
                </w:tcPr>
                <w:p w14:paraId="34EFEFBA">
                  <w:pPr>
                    <w:pStyle w:val="43"/>
                    <w:widowControl/>
                    <w:kinsoku w:val="0"/>
                    <w:overflowPunct w:val="0"/>
                    <w:autoSpaceDE/>
                    <w:autoSpaceDN/>
                    <w:adjustRightInd/>
                    <w:jc w:val="both"/>
                    <w:rPr>
                      <w:strike w:val="0"/>
                      <w:dstrike w:val="0"/>
                      <w:color w:val="auto"/>
                      <w:sz w:val="21"/>
                      <w:highlight w:val="none"/>
                    </w:rPr>
                  </w:pPr>
                  <w:r>
                    <w:rPr>
                      <w:strike w:val="0"/>
                      <w:dstrike w:val="0"/>
                      <w:color w:val="auto"/>
                      <w:sz w:val="21"/>
                      <w:highlight w:val="none"/>
                    </w:rPr>
                    <w:t>VOCs物料应储存于密闭的容器、包装袋、储罐、储库、料仓中</w:t>
                  </w:r>
                </w:p>
              </w:tc>
              <w:tc>
                <w:tcPr>
                  <w:tcW w:w="2285" w:type="dxa"/>
                  <w:vAlign w:val="center"/>
                </w:tcPr>
                <w:p w14:paraId="1729AA59">
                  <w:pPr>
                    <w:pStyle w:val="43"/>
                    <w:widowControl/>
                    <w:kinsoku w:val="0"/>
                    <w:overflowPunct w:val="0"/>
                    <w:autoSpaceDE/>
                    <w:autoSpaceDN/>
                    <w:adjustRightInd/>
                    <w:jc w:val="both"/>
                    <w:rPr>
                      <w:strike w:val="0"/>
                      <w:dstrike w:val="0"/>
                      <w:color w:val="auto"/>
                      <w:sz w:val="21"/>
                      <w:highlight w:val="none"/>
                    </w:rPr>
                  </w:pPr>
                  <w:r>
                    <w:rPr>
                      <w:strike w:val="0"/>
                      <w:dstrike w:val="0"/>
                      <w:color w:val="auto"/>
                      <w:sz w:val="21"/>
                      <w:highlight w:val="none"/>
                    </w:rPr>
                    <w:t>本项目汽、柴油储存于埋地密闭储油罐内</w:t>
                  </w:r>
                </w:p>
              </w:tc>
              <w:tc>
                <w:tcPr>
                  <w:tcW w:w="680" w:type="dxa"/>
                  <w:vAlign w:val="center"/>
                </w:tcPr>
                <w:p w14:paraId="56EB6E09">
                  <w:pPr>
                    <w:pStyle w:val="43"/>
                    <w:widowControl/>
                    <w:kinsoku w:val="0"/>
                    <w:overflowPunct w:val="0"/>
                    <w:autoSpaceDE/>
                    <w:autoSpaceDN/>
                    <w:adjustRightInd/>
                    <w:jc w:val="center"/>
                    <w:rPr>
                      <w:strike w:val="0"/>
                      <w:dstrike w:val="0"/>
                      <w:color w:val="auto"/>
                      <w:sz w:val="21"/>
                      <w:highlight w:val="none"/>
                    </w:rPr>
                  </w:pPr>
                  <w:r>
                    <w:rPr>
                      <w:strike w:val="0"/>
                      <w:dstrike w:val="0"/>
                      <w:color w:val="auto"/>
                      <w:sz w:val="21"/>
                      <w:highlight w:val="none"/>
                    </w:rPr>
                    <w:t>符合</w:t>
                  </w:r>
                </w:p>
              </w:tc>
            </w:tr>
            <w:tr w14:paraId="384F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9" w:type="dxa"/>
                  <w:vAlign w:val="center"/>
                </w:tcPr>
                <w:p w14:paraId="4DDD99E7">
                  <w:pPr>
                    <w:pStyle w:val="43"/>
                    <w:widowControl/>
                    <w:kinsoku w:val="0"/>
                    <w:overflowPunct w:val="0"/>
                    <w:autoSpaceDE/>
                    <w:autoSpaceDN/>
                    <w:adjustRightInd/>
                    <w:jc w:val="center"/>
                    <w:rPr>
                      <w:strike w:val="0"/>
                      <w:dstrike w:val="0"/>
                      <w:color w:val="auto"/>
                      <w:w w:val="99"/>
                      <w:sz w:val="21"/>
                      <w:highlight w:val="none"/>
                    </w:rPr>
                  </w:pPr>
                  <w:r>
                    <w:rPr>
                      <w:strike w:val="0"/>
                      <w:dstrike w:val="0"/>
                      <w:color w:val="auto"/>
                      <w:w w:val="99"/>
                      <w:sz w:val="21"/>
                      <w:highlight w:val="none"/>
                    </w:rPr>
                    <w:t>2</w:t>
                  </w:r>
                </w:p>
              </w:tc>
              <w:tc>
                <w:tcPr>
                  <w:tcW w:w="4075" w:type="dxa"/>
                  <w:vAlign w:val="center"/>
                </w:tcPr>
                <w:p w14:paraId="00598150">
                  <w:pPr>
                    <w:pStyle w:val="43"/>
                    <w:widowControl/>
                    <w:kinsoku w:val="0"/>
                    <w:overflowPunct w:val="0"/>
                    <w:autoSpaceDE/>
                    <w:autoSpaceDN/>
                    <w:adjustRightInd/>
                    <w:jc w:val="both"/>
                    <w:rPr>
                      <w:strike w:val="0"/>
                      <w:dstrike w:val="0"/>
                      <w:color w:val="auto"/>
                      <w:spacing w:val="-2"/>
                      <w:sz w:val="21"/>
                      <w:highlight w:val="none"/>
                    </w:rPr>
                  </w:pPr>
                  <w:r>
                    <w:rPr>
                      <w:strike w:val="0"/>
                      <w:dstrike w:val="0"/>
                      <w:color w:val="auto"/>
                      <w:spacing w:val="-2"/>
                      <w:sz w:val="21"/>
                      <w:highlight w:val="none"/>
                    </w:rPr>
                    <w:t>盛装</w:t>
                  </w:r>
                  <w:r>
                    <w:rPr>
                      <w:strike w:val="0"/>
                      <w:dstrike w:val="0"/>
                      <w:color w:val="auto"/>
                      <w:sz w:val="21"/>
                      <w:highlight w:val="none"/>
                    </w:rPr>
                    <w:t>VOCs物料的容</w:t>
                  </w:r>
                  <w:r>
                    <w:rPr>
                      <w:strike w:val="0"/>
                      <w:dstrike w:val="0"/>
                      <w:color w:val="auto"/>
                      <w:spacing w:val="-2"/>
                      <w:sz w:val="21"/>
                      <w:highlight w:val="none"/>
                    </w:rPr>
                    <w:t>器或包装袋应存放于室</w:t>
                  </w:r>
                  <w:r>
                    <w:rPr>
                      <w:strike w:val="0"/>
                      <w:dstrike w:val="0"/>
                      <w:color w:val="auto"/>
                      <w:sz w:val="21"/>
                      <w:highlight w:val="none"/>
                    </w:rPr>
                    <w:t>内，或存放于设置有</w:t>
                  </w:r>
                  <w:r>
                    <w:rPr>
                      <w:strike w:val="0"/>
                      <w:dstrike w:val="0"/>
                      <w:color w:val="auto"/>
                      <w:spacing w:val="-2"/>
                      <w:sz w:val="21"/>
                      <w:highlight w:val="none"/>
                    </w:rPr>
                    <w:t>雨棚，遮阳和防渗设施</w:t>
                  </w:r>
                  <w:r>
                    <w:rPr>
                      <w:strike w:val="0"/>
                      <w:dstrike w:val="0"/>
                      <w:color w:val="auto"/>
                      <w:sz w:val="21"/>
                      <w:highlight w:val="none"/>
                    </w:rPr>
                    <w:t>的专用场地。盛装VOCs物料的容器或包</w:t>
                  </w:r>
                  <w:r>
                    <w:rPr>
                      <w:strike w:val="0"/>
                      <w:dstrike w:val="0"/>
                      <w:color w:val="auto"/>
                      <w:spacing w:val="-2"/>
                      <w:sz w:val="21"/>
                      <w:highlight w:val="none"/>
                    </w:rPr>
                    <w:t>装袋在非取用状态时应加盖、封口，保持密闭</w:t>
                  </w:r>
                </w:p>
              </w:tc>
              <w:tc>
                <w:tcPr>
                  <w:tcW w:w="2285" w:type="dxa"/>
                  <w:vAlign w:val="center"/>
                </w:tcPr>
                <w:p w14:paraId="0B5587FD">
                  <w:pPr>
                    <w:pStyle w:val="43"/>
                    <w:widowControl/>
                    <w:kinsoku w:val="0"/>
                    <w:overflowPunct w:val="0"/>
                    <w:autoSpaceDE/>
                    <w:autoSpaceDN/>
                    <w:adjustRightInd/>
                    <w:jc w:val="both"/>
                    <w:rPr>
                      <w:strike w:val="0"/>
                      <w:dstrike w:val="0"/>
                      <w:color w:val="auto"/>
                      <w:sz w:val="21"/>
                      <w:highlight w:val="none"/>
                    </w:rPr>
                  </w:pPr>
                  <w:r>
                    <w:rPr>
                      <w:strike w:val="0"/>
                      <w:dstrike w:val="0"/>
                      <w:color w:val="auto"/>
                      <w:sz w:val="21"/>
                      <w:highlight w:val="none"/>
                    </w:rPr>
                    <w:t>本项目储油罐为</w:t>
                  </w:r>
                  <w:r>
                    <w:rPr>
                      <w:rFonts w:eastAsia="TimesNewRomanPSMT"/>
                      <w:strike w:val="0"/>
                      <w:dstrike w:val="0"/>
                      <w:color w:val="auto"/>
                      <w:sz w:val="21"/>
                      <w:highlight w:val="none"/>
                    </w:rPr>
                    <w:t>SF</w:t>
                  </w:r>
                  <w:r>
                    <w:rPr>
                      <w:strike w:val="0"/>
                      <w:dstrike w:val="0"/>
                      <w:color w:val="auto"/>
                      <w:sz w:val="21"/>
                      <w:highlight w:val="none"/>
                    </w:rPr>
                    <w:t>双层卧式钢质埋地储油罐，可满足防渗要求</w:t>
                  </w:r>
                </w:p>
              </w:tc>
              <w:tc>
                <w:tcPr>
                  <w:tcW w:w="680" w:type="dxa"/>
                  <w:vAlign w:val="center"/>
                </w:tcPr>
                <w:p w14:paraId="549762D9">
                  <w:pPr>
                    <w:pStyle w:val="43"/>
                    <w:widowControl/>
                    <w:kinsoku w:val="0"/>
                    <w:overflowPunct w:val="0"/>
                    <w:autoSpaceDE/>
                    <w:autoSpaceDN/>
                    <w:adjustRightInd/>
                    <w:jc w:val="center"/>
                    <w:rPr>
                      <w:strike w:val="0"/>
                      <w:dstrike w:val="0"/>
                      <w:color w:val="auto"/>
                      <w:sz w:val="21"/>
                      <w:highlight w:val="none"/>
                    </w:rPr>
                  </w:pPr>
                  <w:r>
                    <w:rPr>
                      <w:strike w:val="0"/>
                      <w:dstrike w:val="0"/>
                      <w:color w:val="auto"/>
                      <w:sz w:val="21"/>
                      <w:highlight w:val="none"/>
                    </w:rPr>
                    <w:t>符合</w:t>
                  </w:r>
                </w:p>
              </w:tc>
            </w:tr>
            <w:tr w14:paraId="05EA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9" w:type="dxa"/>
                  <w:vAlign w:val="center"/>
                </w:tcPr>
                <w:p w14:paraId="03DBFE1B">
                  <w:pPr>
                    <w:pStyle w:val="43"/>
                    <w:widowControl/>
                    <w:kinsoku w:val="0"/>
                    <w:overflowPunct w:val="0"/>
                    <w:autoSpaceDE/>
                    <w:autoSpaceDN/>
                    <w:adjustRightInd/>
                    <w:jc w:val="center"/>
                    <w:rPr>
                      <w:strike w:val="0"/>
                      <w:dstrike w:val="0"/>
                      <w:color w:val="auto"/>
                      <w:w w:val="99"/>
                      <w:sz w:val="21"/>
                      <w:highlight w:val="none"/>
                    </w:rPr>
                  </w:pPr>
                  <w:r>
                    <w:rPr>
                      <w:strike w:val="0"/>
                      <w:dstrike w:val="0"/>
                      <w:color w:val="auto"/>
                      <w:w w:val="99"/>
                      <w:sz w:val="21"/>
                      <w:highlight w:val="none"/>
                    </w:rPr>
                    <w:t>3</w:t>
                  </w:r>
                </w:p>
              </w:tc>
              <w:tc>
                <w:tcPr>
                  <w:tcW w:w="4075" w:type="dxa"/>
                  <w:vAlign w:val="center"/>
                </w:tcPr>
                <w:p w14:paraId="30E5CF60">
                  <w:pPr>
                    <w:pStyle w:val="43"/>
                    <w:widowControl/>
                    <w:kinsoku w:val="0"/>
                    <w:overflowPunct w:val="0"/>
                    <w:autoSpaceDE/>
                    <w:autoSpaceDN/>
                    <w:adjustRightInd/>
                    <w:jc w:val="both"/>
                    <w:rPr>
                      <w:strike w:val="0"/>
                      <w:dstrike w:val="0"/>
                      <w:color w:val="auto"/>
                      <w:sz w:val="21"/>
                      <w:highlight w:val="none"/>
                    </w:rPr>
                  </w:pPr>
                  <w:r>
                    <w:rPr>
                      <w:strike w:val="0"/>
                      <w:dstrike w:val="0"/>
                      <w:color w:val="auto"/>
                      <w:spacing w:val="-18"/>
                      <w:sz w:val="21"/>
                      <w:highlight w:val="none"/>
                    </w:rPr>
                    <w:t>液态</w:t>
                  </w:r>
                  <w:r>
                    <w:rPr>
                      <w:strike w:val="0"/>
                      <w:dstrike w:val="0"/>
                      <w:color w:val="auto"/>
                      <w:sz w:val="21"/>
                      <w:highlight w:val="none"/>
                    </w:rPr>
                    <w:t>VOCs</w:t>
                  </w:r>
                  <w:r>
                    <w:rPr>
                      <w:strike w:val="0"/>
                      <w:dstrike w:val="0"/>
                      <w:color w:val="auto"/>
                      <w:spacing w:val="-3"/>
                      <w:sz w:val="21"/>
                      <w:highlight w:val="none"/>
                    </w:rPr>
                    <w:t>物料应采用</w:t>
                  </w:r>
                  <w:r>
                    <w:rPr>
                      <w:strike w:val="0"/>
                      <w:dstrike w:val="0"/>
                      <w:color w:val="auto"/>
                      <w:spacing w:val="-2"/>
                      <w:sz w:val="21"/>
                      <w:highlight w:val="none"/>
                    </w:rPr>
                    <w:t>密闭管道输送。采用非管道输送方式转移液态</w:t>
                  </w:r>
                  <w:r>
                    <w:rPr>
                      <w:strike w:val="0"/>
                      <w:dstrike w:val="0"/>
                      <w:color w:val="auto"/>
                      <w:sz w:val="21"/>
                      <w:highlight w:val="none"/>
                    </w:rPr>
                    <w:t>VOCs物料时，应采用密闭容器、罐车</w:t>
                  </w:r>
                </w:p>
              </w:tc>
              <w:tc>
                <w:tcPr>
                  <w:tcW w:w="2285" w:type="dxa"/>
                  <w:vAlign w:val="center"/>
                </w:tcPr>
                <w:p w14:paraId="766601A9">
                  <w:pPr>
                    <w:pStyle w:val="43"/>
                    <w:widowControl/>
                    <w:kinsoku w:val="0"/>
                    <w:overflowPunct w:val="0"/>
                    <w:autoSpaceDE/>
                    <w:autoSpaceDN/>
                    <w:adjustRightInd/>
                    <w:jc w:val="both"/>
                    <w:rPr>
                      <w:strike w:val="0"/>
                      <w:dstrike w:val="0"/>
                      <w:color w:val="auto"/>
                      <w:sz w:val="21"/>
                      <w:highlight w:val="none"/>
                    </w:rPr>
                  </w:pPr>
                  <w:r>
                    <w:rPr>
                      <w:strike w:val="0"/>
                      <w:dstrike w:val="0"/>
                      <w:color w:val="auto"/>
                      <w:sz w:val="21"/>
                      <w:highlight w:val="none"/>
                    </w:rPr>
                    <w:t>本项目加油站输油管道采用双层管道，采用密闭油罐车对储油罐进行物料输送</w:t>
                  </w:r>
                </w:p>
              </w:tc>
              <w:tc>
                <w:tcPr>
                  <w:tcW w:w="680" w:type="dxa"/>
                  <w:vAlign w:val="center"/>
                </w:tcPr>
                <w:p w14:paraId="2A371A12">
                  <w:pPr>
                    <w:pStyle w:val="43"/>
                    <w:widowControl/>
                    <w:kinsoku w:val="0"/>
                    <w:overflowPunct w:val="0"/>
                    <w:autoSpaceDE/>
                    <w:autoSpaceDN/>
                    <w:adjustRightInd/>
                    <w:jc w:val="center"/>
                    <w:rPr>
                      <w:strike w:val="0"/>
                      <w:dstrike w:val="0"/>
                      <w:color w:val="auto"/>
                      <w:sz w:val="21"/>
                      <w:highlight w:val="none"/>
                    </w:rPr>
                  </w:pPr>
                  <w:r>
                    <w:rPr>
                      <w:strike w:val="0"/>
                      <w:dstrike w:val="0"/>
                      <w:color w:val="auto"/>
                      <w:sz w:val="21"/>
                      <w:highlight w:val="none"/>
                    </w:rPr>
                    <w:t>符合</w:t>
                  </w:r>
                </w:p>
              </w:tc>
            </w:tr>
            <w:tr w14:paraId="304C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9" w:type="dxa"/>
                  <w:vAlign w:val="center"/>
                </w:tcPr>
                <w:p w14:paraId="115F2F6A">
                  <w:pPr>
                    <w:pStyle w:val="43"/>
                    <w:widowControl/>
                    <w:kinsoku w:val="0"/>
                    <w:overflowPunct w:val="0"/>
                    <w:autoSpaceDE/>
                    <w:autoSpaceDN/>
                    <w:adjustRightInd/>
                    <w:jc w:val="center"/>
                    <w:rPr>
                      <w:strike w:val="0"/>
                      <w:dstrike w:val="0"/>
                      <w:color w:val="auto"/>
                      <w:w w:val="99"/>
                      <w:sz w:val="21"/>
                      <w:highlight w:val="none"/>
                    </w:rPr>
                  </w:pPr>
                  <w:r>
                    <w:rPr>
                      <w:strike w:val="0"/>
                      <w:dstrike w:val="0"/>
                      <w:color w:val="auto"/>
                      <w:w w:val="99"/>
                      <w:sz w:val="21"/>
                      <w:highlight w:val="none"/>
                    </w:rPr>
                    <w:t>4</w:t>
                  </w:r>
                </w:p>
              </w:tc>
              <w:tc>
                <w:tcPr>
                  <w:tcW w:w="4075" w:type="dxa"/>
                  <w:vAlign w:val="center"/>
                </w:tcPr>
                <w:p w14:paraId="643EE036">
                  <w:pPr>
                    <w:pStyle w:val="43"/>
                    <w:widowControl/>
                    <w:kinsoku w:val="0"/>
                    <w:overflowPunct w:val="0"/>
                    <w:autoSpaceDE/>
                    <w:autoSpaceDN/>
                    <w:adjustRightInd/>
                    <w:jc w:val="both"/>
                    <w:rPr>
                      <w:strike w:val="0"/>
                      <w:dstrike w:val="0"/>
                      <w:color w:val="auto"/>
                      <w:sz w:val="21"/>
                      <w:highlight w:val="none"/>
                    </w:rPr>
                  </w:pPr>
                  <w:r>
                    <w:rPr>
                      <w:strike w:val="0"/>
                      <w:dstrike w:val="0"/>
                      <w:color w:val="auto"/>
                      <w:sz w:val="21"/>
                      <w:highlight w:val="none"/>
                    </w:rPr>
                    <w:t>VOCs储库、料仓应满足密闭空间的要求</w:t>
                  </w:r>
                </w:p>
              </w:tc>
              <w:tc>
                <w:tcPr>
                  <w:tcW w:w="2285" w:type="dxa"/>
                  <w:vAlign w:val="center"/>
                </w:tcPr>
                <w:p w14:paraId="465FB474">
                  <w:pPr>
                    <w:pStyle w:val="43"/>
                    <w:widowControl/>
                    <w:kinsoku w:val="0"/>
                    <w:overflowPunct w:val="0"/>
                    <w:autoSpaceDE/>
                    <w:autoSpaceDN/>
                    <w:adjustRightInd/>
                    <w:jc w:val="both"/>
                    <w:rPr>
                      <w:strike w:val="0"/>
                      <w:dstrike w:val="0"/>
                      <w:color w:val="auto"/>
                      <w:sz w:val="21"/>
                      <w:highlight w:val="none"/>
                    </w:rPr>
                  </w:pPr>
                  <w:r>
                    <w:rPr>
                      <w:strike w:val="0"/>
                      <w:dstrike w:val="0"/>
                      <w:color w:val="auto"/>
                      <w:sz w:val="21"/>
                      <w:highlight w:val="none"/>
                    </w:rPr>
                    <w:t>本项目储油罐</w:t>
                  </w:r>
                  <w:r>
                    <w:rPr>
                      <w:rFonts w:hint="eastAsia"/>
                      <w:strike w:val="0"/>
                      <w:dstrike w:val="0"/>
                      <w:color w:val="auto"/>
                      <w:sz w:val="21"/>
                      <w:highlight w:val="none"/>
                    </w:rPr>
                    <w:t>满足密闭空间要求</w:t>
                  </w:r>
                </w:p>
              </w:tc>
              <w:tc>
                <w:tcPr>
                  <w:tcW w:w="680" w:type="dxa"/>
                  <w:vAlign w:val="center"/>
                </w:tcPr>
                <w:p w14:paraId="66FE02F4">
                  <w:pPr>
                    <w:pStyle w:val="43"/>
                    <w:widowControl/>
                    <w:kinsoku w:val="0"/>
                    <w:overflowPunct w:val="0"/>
                    <w:autoSpaceDE/>
                    <w:autoSpaceDN/>
                    <w:adjustRightInd/>
                    <w:jc w:val="center"/>
                    <w:rPr>
                      <w:strike w:val="0"/>
                      <w:dstrike w:val="0"/>
                      <w:color w:val="auto"/>
                      <w:sz w:val="21"/>
                      <w:highlight w:val="none"/>
                    </w:rPr>
                  </w:pPr>
                  <w:r>
                    <w:rPr>
                      <w:strike w:val="0"/>
                      <w:dstrike w:val="0"/>
                      <w:color w:val="auto"/>
                      <w:sz w:val="21"/>
                      <w:highlight w:val="none"/>
                    </w:rPr>
                    <w:t>符合</w:t>
                  </w:r>
                </w:p>
              </w:tc>
            </w:tr>
            <w:tr w14:paraId="0DB4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9" w:type="dxa"/>
                  <w:vAlign w:val="center"/>
                </w:tcPr>
                <w:p w14:paraId="7791CBCF">
                  <w:pPr>
                    <w:pStyle w:val="46"/>
                    <w:widowControl/>
                    <w:kinsoku w:val="0"/>
                    <w:overflowPunct w:val="0"/>
                    <w:jc w:val="center"/>
                    <w:rPr>
                      <w:strike w:val="0"/>
                      <w:dstrike w:val="0"/>
                      <w:color w:val="auto"/>
                      <w:w w:val="99"/>
                      <w:sz w:val="21"/>
                      <w:highlight w:val="none"/>
                    </w:rPr>
                  </w:pPr>
                  <w:r>
                    <w:rPr>
                      <w:strike w:val="0"/>
                      <w:dstrike w:val="0"/>
                      <w:color w:val="auto"/>
                      <w:w w:val="99"/>
                      <w:sz w:val="21"/>
                      <w:highlight w:val="none"/>
                    </w:rPr>
                    <w:t>5</w:t>
                  </w:r>
                </w:p>
              </w:tc>
              <w:tc>
                <w:tcPr>
                  <w:tcW w:w="4075" w:type="dxa"/>
                  <w:vAlign w:val="center"/>
                </w:tcPr>
                <w:p w14:paraId="0CC05DB0">
                  <w:pPr>
                    <w:pStyle w:val="43"/>
                    <w:widowControl/>
                    <w:kinsoku w:val="0"/>
                    <w:overflowPunct w:val="0"/>
                    <w:autoSpaceDE/>
                    <w:autoSpaceDN/>
                    <w:adjustRightInd/>
                    <w:jc w:val="both"/>
                    <w:rPr>
                      <w:strike w:val="0"/>
                      <w:dstrike w:val="0"/>
                      <w:color w:val="auto"/>
                      <w:spacing w:val="-12"/>
                      <w:sz w:val="21"/>
                      <w:highlight w:val="none"/>
                    </w:rPr>
                  </w:pPr>
                  <w:r>
                    <w:rPr>
                      <w:strike w:val="0"/>
                      <w:dstrike w:val="0"/>
                      <w:color w:val="auto"/>
                      <w:sz w:val="21"/>
                      <w:highlight w:val="none"/>
                    </w:rPr>
                    <w:t>VOCs储罐应密封良好，其中挥发性有机液体储罐应符合以下规</w:t>
                  </w:r>
                  <w:r>
                    <w:rPr>
                      <w:strike w:val="0"/>
                      <w:dstrike w:val="0"/>
                      <w:color w:val="auto"/>
                      <w:spacing w:val="-11"/>
                      <w:sz w:val="21"/>
                      <w:highlight w:val="none"/>
                    </w:rPr>
                    <w:t>定：储罐运行维护要求：1）</w:t>
                  </w:r>
                  <w:r>
                    <w:rPr>
                      <w:strike w:val="0"/>
                      <w:dstrike w:val="0"/>
                      <w:color w:val="auto"/>
                      <w:sz w:val="21"/>
                      <w:highlight w:val="none"/>
                    </w:rPr>
                    <w:t>固定顶罐应保持完</w:t>
                  </w:r>
                  <w:r>
                    <w:rPr>
                      <w:strike w:val="0"/>
                      <w:dstrike w:val="0"/>
                      <w:color w:val="auto"/>
                      <w:spacing w:val="-12"/>
                      <w:sz w:val="21"/>
                      <w:highlight w:val="none"/>
                    </w:rPr>
                    <w:t>好，不应有孔洞、缝隙；</w:t>
                  </w:r>
                </w:p>
                <w:p w14:paraId="6660967E">
                  <w:pPr>
                    <w:pStyle w:val="43"/>
                    <w:widowControl/>
                    <w:kinsoku w:val="0"/>
                    <w:overflowPunct w:val="0"/>
                    <w:autoSpaceDE/>
                    <w:autoSpaceDN/>
                    <w:adjustRightInd/>
                    <w:jc w:val="both"/>
                    <w:rPr>
                      <w:strike w:val="0"/>
                      <w:dstrike w:val="0"/>
                      <w:color w:val="auto"/>
                      <w:spacing w:val="-3"/>
                      <w:sz w:val="21"/>
                      <w:highlight w:val="none"/>
                    </w:rPr>
                  </w:pPr>
                  <w:r>
                    <w:rPr>
                      <w:strike w:val="0"/>
                      <w:dstrike w:val="0"/>
                      <w:color w:val="auto"/>
                      <w:spacing w:val="-12"/>
                      <w:sz w:val="21"/>
                      <w:highlight w:val="none"/>
                    </w:rPr>
                    <w:t>2）</w:t>
                  </w:r>
                  <w:r>
                    <w:rPr>
                      <w:strike w:val="0"/>
                      <w:dstrike w:val="0"/>
                      <w:color w:val="auto"/>
                      <w:spacing w:val="-6"/>
                      <w:sz w:val="21"/>
                      <w:highlight w:val="none"/>
                    </w:rPr>
                    <w:t>储罐附件开口</w:t>
                  </w:r>
                  <w:r>
                    <w:rPr>
                      <w:strike w:val="0"/>
                      <w:dstrike w:val="0"/>
                      <w:color w:val="auto"/>
                      <w:sz w:val="21"/>
                      <w:highlight w:val="none"/>
                    </w:rPr>
                    <w:t>（孔</w:t>
                  </w:r>
                  <w:r>
                    <w:rPr>
                      <w:strike w:val="0"/>
                      <w:dstrike w:val="0"/>
                      <w:color w:val="auto"/>
                      <w:spacing w:val="-47"/>
                      <w:sz w:val="21"/>
                      <w:highlight w:val="none"/>
                    </w:rPr>
                    <w:t>）</w:t>
                  </w:r>
                  <w:r>
                    <w:rPr>
                      <w:strike w:val="0"/>
                      <w:dstrike w:val="0"/>
                      <w:color w:val="auto"/>
                      <w:sz w:val="21"/>
                      <w:highlight w:val="none"/>
                    </w:rPr>
                    <w:t>除采样、计量、例行</w:t>
                  </w:r>
                  <w:r>
                    <w:rPr>
                      <w:strike w:val="0"/>
                      <w:dstrike w:val="0"/>
                      <w:color w:val="auto"/>
                      <w:spacing w:val="-3"/>
                      <w:sz w:val="21"/>
                      <w:highlight w:val="none"/>
                    </w:rPr>
                    <w:t>检查、维护和其它正常活动外，应密闭；</w:t>
                  </w:r>
                </w:p>
                <w:p w14:paraId="3C8EB682">
                  <w:pPr>
                    <w:pStyle w:val="43"/>
                    <w:widowControl/>
                    <w:kinsoku w:val="0"/>
                    <w:overflowPunct w:val="0"/>
                    <w:autoSpaceDE/>
                    <w:autoSpaceDN/>
                    <w:adjustRightInd/>
                    <w:jc w:val="both"/>
                    <w:rPr>
                      <w:strike w:val="0"/>
                      <w:dstrike w:val="0"/>
                      <w:color w:val="auto"/>
                      <w:spacing w:val="-4"/>
                      <w:sz w:val="21"/>
                      <w:highlight w:val="none"/>
                    </w:rPr>
                  </w:pPr>
                  <w:r>
                    <w:rPr>
                      <w:strike w:val="0"/>
                      <w:dstrike w:val="0"/>
                      <w:color w:val="auto"/>
                      <w:sz w:val="21"/>
                      <w:highlight w:val="none"/>
                    </w:rPr>
                    <w:t>3）定期检查呼吸阀的</w:t>
                  </w:r>
                  <w:r>
                    <w:rPr>
                      <w:strike w:val="0"/>
                      <w:dstrike w:val="0"/>
                      <w:color w:val="auto"/>
                      <w:spacing w:val="-4"/>
                      <w:sz w:val="21"/>
                      <w:highlight w:val="none"/>
                    </w:rPr>
                    <w:t>定压是否符合设定要求</w:t>
                  </w:r>
                </w:p>
              </w:tc>
              <w:tc>
                <w:tcPr>
                  <w:tcW w:w="2285" w:type="dxa"/>
                  <w:vAlign w:val="center"/>
                </w:tcPr>
                <w:p w14:paraId="63ACA442">
                  <w:pPr>
                    <w:pStyle w:val="43"/>
                    <w:widowControl/>
                    <w:kinsoku w:val="0"/>
                    <w:overflowPunct w:val="0"/>
                    <w:autoSpaceDE/>
                    <w:autoSpaceDN/>
                    <w:adjustRightInd/>
                    <w:jc w:val="both"/>
                    <w:rPr>
                      <w:strike w:val="0"/>
                      <w:dstrike w:val="0"/>
                      <w:color w:val="auto"/>
                      <w:spacing w:val="-8"/>
                      <w:sz w:val="21"/>
                      <w:highlight w:val="none"/>
                    </w:rPr>
                  </w:pPr>
                  <w:r>
                    <w:rPr>
                      <w:strike w:val="0"/>
                      <w:dstrike w:val="0"/>
                      <w:color w:val="auto"/>
                      <w:sz w:val="21"/>
                      <w:highlight w:val="none"/>
                    </w:rPr>
                    <w:t>本项目加油站储罐为固定顶罐，</w:t>
                  </w:r>
                  <w:r>
                    <w:rPr>
                      <w:strike w:val="0"/>
                      <w:dstrike w:val="0"/>
                      <w:color w:val="auto"/>
                      <w:spacing w:val="-8"/>
                      <w:sz w:val="21"/>
                      <w:highlight w:val="none"/>
                    </w:rPr>
                    <w:t>密封良好，其中：</w:t>
                  </w:r>
                </w:p>
                <w:p w14:paraId="60529747">
                  <w:pPr>
                    <w:pStyle w:val="43"/>
                    <w:widowControl/>
                    <w:numPr>
                      <w:ilvl w:val="0"/>
                      <w:numId w:val="5"/>
                    </w:numPr>
                    <w:kinsoku w:val="0"/>
                    <w:overflowPunct w:val="0"/>
                    <w:autoSpaceDE/>
                    <w:autoSpaceDN/>
                    <w:adjustRightInd/>
                    <w:jc w:val="both"/>
                    <w:rPr>
                      <w:strike w:val="0"/>
                      <w:dstrike w:val="0"/>
                      <w:color w:val="auto"/>
                      <w:spacing w:val="-4"/>
                      <w:sz w:val="21"/>
                      <w:highlight w:val="none"/>
                    </w:rPr>
                  </w:pPr>
                  <w:r>
                    <w:rPr>
                      <w:strike w:val="0"/>
                      <w:dstrike w:val="0"/>
                      <w:color w:val="auto"/>
                      <w:sz w:val="21"/>
                      <w:highlight w:val="none"/>
                    </w:rPr>
                    <w:t>储油罐保持</w:t>
                  </w:r>
                  <w:r>
                    <w:rPr>
                      <w:strike w:val="0"/>
                      <w:dstrike w:val="0"/>
                      <w:color w:val="auto"/>
                      <w:spacing w:val="-4"/>
                      <w:sz w:val="21"/>
                      <w:highlight w:val="none"/>
                    </w:rPr>
                    <w:t>完好，无缝隙；</w:t>
                  </w:r>
                </w:p>
                <w:p w14:paraId="5A96AA53">
                  <w:pPr>
                    <w:pStyle w:val="43"/>
                    <w:widowControl/>
                    <w:numPr>
                      <w:ilvl w:val="0"/>
                      <w:numId w:val="5"/>
                    </w:numPr>
                    <w:kinsoku w:val="0"/>
                    <w:overflowPunct w:val="0"/>
                    <w:autoSpaceDE/>
                    <w:autoSpaceDN/>
                    <w:adjustRightInd/>
                    <w:jc w:val="both"/>
                    <w:rPr>
                      <w:strike w:val="0"/>
                      <w:dstrike w:val="0"/>
                      <w:color w:val="auto"/>
                      <w:spacing w:val="-4"/>
                      <w:sz w:val="21"/>
                      <w:highlight w:val="none"/>
                    </w:rPr>
                  </w:pPr>
                  <w:r>
                    <w:rPr>
                      <w:strike w:val="0"/>
                      <w:dstrike w:val="0"/>
                      <w:color w:val="auto"/>
                      <w:sz w:val="21"/>
                      <w:highlight w:val="none"/>
                    </w:rPr>
                    <w:t>储油罐阀门仅在采样、计量、检查、维护等情况下打开，日常状态下关闭；</w:t>
                  </w:r>
                </w:p>
                <w:p w14:paraId="2ACA42D7">
                  <w:pPr>
                    <w:pStyle w:val="43"/>
                    <w:widowControl/>
                    <w:numPr>
                      <w:ilvl w:val="0"/>
                      <w:numId w:val="5"/>
                    </w:numPr>
                    <w:kinsoku w:val="0"/>
                    <w:overflowPunct w:val="0"/>
                    <w:autoSpaceDE/>
                    <w:autoSpaceDN/>
                    <w:adjustRightInd/>
                    <w:jc w:val="both"/>
                    <w:rPr>
                      <w:strike w:val="0"/>
                      <w:dstrike w:val="0"/>
                      <w:color w:val="auto"/>
                      <w:spacing w:val="-4"/>
                      <w:sz w:val="21"/>
                      <w:highlight w:val="none"/>
                    </w:rPr>
                  </w:pPr>
                  <w:r>
                    <w:rPr>
                      <w:strike w:val="0"/>
                      <w:dstrike w:val="0"/>
                      <w:color w:val="auto"/>
                      <w:sz w:val="21"/>
                      <w:highlight w:val="none"/>
                    </w:rPr>
                    <w:t>每年定期检</w:t>
                  </w:r>
                  <w:r>
                    <w:rPr>
                      <w:strike w:val="0"/>
                      <w:dstrike w:val="0"/>
                      <w:color w:val="auto"/>
                      <w:spacing w:val="-4"/>
                      <w:sz w:val="21"/>
                      <w:highlight w:val="none"/>
                    </w:rPr>
                    <w:t>查油气回收系统</w:t>
                  </w:r>
                </w:p>
              </w:tc>
              <w:tc>
                <w:tcPr>
                  <w:tcW w:w="680" w:type="dxa"/>
                  <w:vAlign w:val="center"/>
                </w:tcPr>
                <w:p w14:paraId="343A6F3F">
                  <w:pPr>
                    <w:pStyle w:val="43"/>
                    <w:widowControl/>
                    <w:kinsoku w:val="0"/>
                    <w:overflowPunct w:val="0"/>
                    <w:autoSpaceDE/>
                    <w:autoSpaceDN/>
                    <w:adjustRightInd/>
                    <w:jc w:val="center"/>
                    <w:rPr>
                      <w:strike w:val="0"/>
                      <w:dstrike w:val="0"/>
                      <w:color w:val="auto"/>
                      <w:sz w:val="21"/>
                      <w:highlight w:val="none"/>
                    </w:rPr>
                  </w:pPr>
                  <w:r>
                    <w:rPr>
                      <w:strike w:val="0"/>
                      <w:dstrike w:val="0"/>
                      <w:color w:val="auto"/>
                      <w:sz w:val="21"/>
                      <w:highlight w:val="none"/>
                    </w:rPr>
                    <w:t>符合</w:t>
                  </w:r>
                </w:p>
              </w:tc>
            </w:tr>
          </w:tbl>
          <w:p w14:paraId="2A0A7912">
            <w:pPr>
              <w:adjustRightInd w:val="0"/>
              <w:snapToGrid w:val="0"/>
              <w:spacing w:line="360" w:lineRule="auto"/>
              <w:ind w:firstLine="480" w:firstLineChars="200"/>
              <w:rPr>
                <w:strike w:val="0"/>
                <w:dstrike w:val="0"/>
                <w:color w:val="auto"/>
                <w:kern w:val="0"/>
                <w:sz w:val="24"/>
                <w:highlight w:val="none"/>
              </w:rPr>
            </w:pPr>
            <w:r>
              <w:rPr>
                <w:strike w:val="0"/>
                <w:dstrike w:val="0"/>
                <w:color w:val="auto"/>
                <w:sz w:val="24"/>
                <w:highlight w:val="none"/>
              </w:rPr>
              <w:t>由上表可知，本项目符合</w:t>
            </w:r>
            <w:r>
              <w:rPr>
                <w:strike w:val="0"/>
                <w:dstrike w:val="0"/>
                <w:color w:val="auto"/>
                <w:kern w:val="0"/>
                <w:sz w:val="24"/>
                <w:highlight w:val="none"/>
              </w:rPr>
              <w:t>《挥发性有机物无组织排放控制标准》（GB37822-2019）中的要求。</w:t>
            </w:r>
          </w:p>
          <w:p w14:paraId="7CC01341">
            <w:pPr>
              <w:spacing w:line="360" w:lineRule="auto"/>
              <w:rPr>
                <w:b/>
                <w:strike w:val="0"/>
                <w:dstrike w:val="0"/>
                <w:color w:val="auto"/>
                <w:sz w:val="24"/>
                <w:highlight w:val="none"/>
              </w:rPr>
            </w:pPr>
            <w:r>
              <w:rPr>
                <w:b/>
                <w:strike w:val="0"/>
                <w:dstrike w:val="0"/>
                <w:color w:val="auto"/>
                <w:sz w:val="24"/>
                <w:highlight w:val="none"/>
              </w:rPr>
              <w:t>1.9与《重庆市成品油零售加油站布点“十四五</w:t>
            </w:r>
            <w:r>
              <w:rPr>
                <w:rFonts w:hint="eastAsia"/>
                <w:b/>
                <w:strike w:val="0"/>
                <w:dstrike w:val="0"/>
                <w:color w:val="auto"/>
                <w:sz w:val="24"/>
                <w:highlight w:val="none"/>
              </w:rPr>
              <w:t>”</w:t>
            </w:r>
            <w:r>
              <w:rPr>
                <w:b/>
                <w:strike w:val="0"/>
                <w:dstrike w:val="0"/>
                <w:color w:val="auto"/>
                <w:sz w:val="24"/>
                <w:highlight w:val="none"/>
              </w:rPr>
              <w:t>规划》符合性分析</w:t>
            </w:r>
          </w:p>
          <w:p w14:paraId="23396649">
            <w:pPr>
              <w:spacing w:line="360" w:lineRule="auto"/>
              <w:ind w:firstLine="480" w:firstLineChars="200"/>
              <w:jc w:val="left"/>
              <w:rPr>
                <w:strike w:val="0"/>
                <w:dstrike w:val="0"/>
                <w:color w:val="auto"/>
                <w:sz w:val="24"/>
                <w:highlight w:val="none"/>
              </w:rPr>
            </w:pPr>
            <w:r>
              <w:rPr>
                <w:strike w:val="0"/>
                <w:dstrike w:val="0"/>
                <w:color w:val="auto"/>
                <w:sz w:val="24"/>
                <w:highlight w:val="none"/>
              </w:rPr>
              <w:t>本项目位于城市建成区，加油加气站规模为二级加油与L</w:t>
            </w:r>
            <w:r>
              <w:rPr>
                <w:rFonts w:eastAsia="TimesNewRomanPSMT"/>
                <w:strike w:val="0"/>
                <w:dstrike w:val="0"/>
                <w:color w:val="auto"/>
                <w:sz w:val="24"/>
                <w:highlight w:val="none"/>
              </w:rPr>
              <w:t xml:space="preserve">NG </w:t>
            </w:r>
            <w:r>
              <w:rPr>
                <w:strike w:val="0"/>
                <w:dstrike w:val="0"/>
                <w:color w:val="auto"/>
                <w:sz w:val="24"/>
                <w:highlight w:val="none"/>
              </w:rPr>
              <w:t>合建站，依法取得《成品油零售经营许可证》，故符合《重庆市成品油零售加油站布点“十四五</w:t>
            </w:r>
            <w:r>
              <w:rPr>
                <w:rFonts w:hint="eastAsia"/>
                <w:strike w:val="0"/>
                <w:dstrike w:val="0"/>
                <w:color w:val="auto"/>
                <w:sz w:val="24"/>
                <w:highlight w:val="none"/>
              </w:rPr>
              <w:t>”</w:t>
            </w:r>
            <w:r>
              <w:rPr>
                <w:strike w:val="0"/>
                <w:dstrike w:val="0"/>
                <w:color w:val="auto"/>
                <w:sz w:val="24"/>
                <w:highlight w:val="none"/>
              </w:rPr>
              <w:t>规划》。</w:t>
            </w:r>
          </w:p>
          <w:p w14:paraId="716D6AED">
            <w:pPr>
              <w:spacing w:line="360" w:lineRule="auto"/>
              <w:jc w:val="left"/>
              <w:rPr>
                <w:b/>
                <w:strike w:val="0"/>
                <w:dstrike w:val="0"/>
                <w:color w:val="auto"/>
                <w:sz w:val="24"/>
                <w:highlight w:val="none"/>
              </w:rPr>
            </w:pPr>
            <w:r>
              <w:rPr>
                <w:b/>
                <w:strike w:val="0"/>
                <w:dstrike w:val="0"/>
                <w:color w:val="auto"/>
                <w:sz w:val="24"/>
                <w:highlight w:val="none"/>
              </w:rPr>
              <w:t>1.10与《重点行业挥发性有机物综合治理方案》（环大气[2019]53 号）的符合性分析</w:t>
            </w:r>
          </w:p>
          <w:p w14:paraId="26653B43">
            <w:pPr>
              <w:spacing w:line="360" w:lineRule="auto"/>
              <w:ind w:firstLine="480" w:firstLineChars="200"/>
              <w:jc w:val="left"/>
              <w:rPr>
                <w:strike w:val="0"/>
                <w:dstrike w:val="0"/>
                <w:color w:val="auto"/>
                <w:sz w:val="24"/>
                <w:highlight w:val="none"/>
              </w:rPr>
            </w:pPr>
            <w:r>
              <w:rPr>
                <w:strike w:val="0"/>
                <w:dstrike w:val="0"/>
                <w:color w:val="auto"/>
                <w:sz w:val="24"/>
                <w:highlight w:val="none"/>
              </w:rPr>
              <w:t>项目不涉及使用涂料、油墨、胶粘剂、农药等原料；成品油的运输采用密闭罐车；在运营过程中，成品油采用埋地式密闭储罐储存，输油管线均为双层防渗漏密闭管线，加油与卸油系统均安装有油气回收系统；每年加油系统与卸油系统就要进行系统密闭性和油气回收气动阀门密闭性检测，符合《重点行业挥发性有机物综合治理方案》（环大气[2019]53 号）相关要求。</w:t>
            </w:r>
          </w:p>
          <w:p w14:paraId="701B8823">
            <w:pPr>
              <w:spacing w:line="360" w:lineRule="auto"/>
              <w:jc w:val="left"/>
              <w:rPr>
                <w:b/>
                <w:strike w:val="0"/>
                <w:dstrike w:val="0"/>
                <w:color w:val="auto"/>
                <w:sz w:val="24"/>
                <w:highlight w:val="none"/>
              </w:rPr>
            </w:pPr>
            <w:r>
              <w:rPr>
                <w:b/>
                <w:strike w:val="0"/>
                <w:dstrike w:val="0"/>
                <w:color w:val="auto"/>
                <w:sz w:val="24"/>
                <w:highlight w:val="none"/>
              </w:rPr>
              <w:t>1.11与《中华人民共和国长江保护法》符合性分析</w:t>
            </w:r>
          </w:p>
          <w:p w14:paraId="5B4BD385">
            <w:pPr>
              <w:autoSpaceDE w:val="0"/>
              <w:autoSpaceDN w:val="0"/>
              <w:adjustRightInd w:val="0"/>
              <w:snapToGrid w:val="0"/>
              <w:spacing w:line="460" w:lineRule="exact"/>
              <w:jc w:val="center"/>
              <w:rPr>
                <w:b/>
                <w:bCs/>
                <w:strike w:val="0"/>
                <w:dstrike w:val="0"/>
                <w:color w:val="auto"/>
                <w:sz w:val="24"/>
                <w:highlight w:val="none"/>
              </w:rPr>
            </w:pPr>
            <w:r>
              <w:rPr>
                <w:b/>
                <w:bCs/>
                <w:strike w:val="0"/>
                <w:dstrike w:val="0"/>
                <w:color w:val="auto"/>
                <w:sz w:val="24"/>
                <w:highlight w:val="none"/>
              </w:rPr>
              <w:t>表1.11-1  项目与《中华人民共和国长江保护法》符合性分析</w:t>
            </w:r>
          </w:p>
          <w:tbl>
            <w:tblPr>
              <w:tblStyle w:val="22"/>
              <w:tblW w:w="77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7"/>
              <w:gridCol w:w="3784"/>
              <w:gridCol w:w="2515"/>
              <w:gridCol w:w="832"/>
            </w:tblGrid>
            <w:tr w14:paraId="76B7C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607" w:type="dxa"/>
                  <w:tcBorders>
                    <w:tl2br w:val="nil"/>
                    <w:tr2bl w:val="nil"/>
                  </w:tcBorders>
                  <w:vAlign w:val="center"/>
                </w:tcPr>
                <w:p w14:paraId="05C97F8A">
                  <w:pPr>
                    <w:autoSpaceDE w:val="0"/>
                    <w:autoSpaceDN w:val="0"/>
                    <w:adjustRightInd w:val="0"/>
                    <w:snapToGrid w:val="0"/>
                    <w:jc w:val="center"/>
                    <w:rPr>
                      <w:b/>
                      <w:strike w:val="0"/>
                      <w:dstrike w:val="0"/>
                      <w:color w:val="auto"/>
                      <w:kern w:val="0"/>
                      <w:szCs w:val="21"/>
                      <w:highlight w:val="none"/>
                    </w:rPr>
                  </w:pPr>
                  <w:r>
                    <w:rPr>
                      <w:b/>
                      <w:strike w:val="0"/>
                      <w:dstrike w:val="0"/>
                      <w:color w:val="auto"/>
                      <w:kern w:val="0"/>
                      <w:szCs w:val="21"/>
                      <w:highlight w:val="none"/>
                    </w:rPr>
                    <w:t>序号</w:t>
                  </w:r>
                </w:p>
              </w:tc>
              <w:tc>
                <w:tcPr>
                  <w:tcW w:w="3784" w:type="dxa"/>
                  <w:tcBorders>
                    <w:tl2br w:val="nil"/>
                    <w:tr2bl w:val="nil"/>
                  </w:tcBorders>
                  <w:vAlign w:val="center"/>
                </w:tcPr>
                <w:p w14:paraId="0D068A8B">
                  <w:pPr>
                    <w:autoSpaceDE w:val="0"/>
                    <w:autoSpaceDN w:val="0"/>
                    <w:adjustRightInd w:val="0"/>
                    <w:snapToGrid w:val="0"/>
                    <w:jc w:val="center"/>
                    <w:rPr>
                      <w:b/>
                      <w:strike w:val="0"/>
                      <w:dstrike w:val="0"/>
                      <w:color w:val="auto"/>
                      <w:kern w:val="0"/>
                      <w:szCs w:val="21"/>
                      <w:highlight w:val="none"/>
                    </w:rPr>
                  </w:pPr>
                  <w:r>
                    <w:rPr>
                      <w:b/>
                      <w:strike w:val="0"/>
                      <w:dstrike w:val="0"/>
                      <w:color w:val="auto"/>
                      <w:szCs w:val="21"/>
                      <w:highlight w:val="none"/>
                    </w:rPr>
                    <w:t>相关</w:t>
                  </w:r>
                  <w:r>
                    <w:rPr>
                      <w:b/>
                      <w:strike w:val="0"/>
                      <w:dstrike w:val="0"/>
                      <w:color w:val="auto"/>
                      <w:kern w:val="0"/>
                      <w:szCs w:val="21"/>
                      <w:highlight w:val="none"/>
                    </w:rPr>
                    <w:t>要求</w:t>
                  </w:r>
                </w:p>
              </w:tc>
              <w:tc>
                <w:tcPr>
                  <w:tcW w:w="2515" w:type="dxa"/>
                  <w:tcBorders>
                    <w:tl2br w:val="nil"/>
                    <w:tr2bl w:val="nil"/>
                  </w:tcBorders>
                  <w:vAlign w:val="center"/>
                </w:tcPr>
                <w:p w14:paraId="55158220">
                  <w:pPr>
                    <w:autoSpaceDE w:val="0"/>
                    <w:autoSpaceDN w:val="0"/>
                    <w:adjustRightInd w:val="0"/>
                    <w:snapToGrid w:val="0"/>
                    <w:jc w:val="center"/>
                    <w:rPr>
                      <w:b/>
                      <w:strike w:val="0"/>
                      <w:dstrike w:val="0"/>
                      <w:color w:val="auto"/>
                      <w:kern w:val="0"/>
                      <w:szCs w:val="21"/>
                      <w:highlight w:val="none"/>
                    </w:rPr>
                  </w:pPr>
                  <w:r>
                    <w:rPr>
                      <w:b/>
                      <w:strike w:val="0"/>
                      <w:dstrike w:val="0"/>
                      <w:color w:val="auto"/>
                      <w:kern w:val="0"/>
                      <w:szCs w:val="21"/>
                      <w:highlight w:val="none"/>
                    </w:rPr>
                    <w:t>扩建项目</w:t>
                  </w:r>
                </w:p>
              </w:tc>
              <w:tc>
                <w:tcPr>
                  <w:tcW w:w="832" w:type="dxa"/>
                  <w:tcBorders>
                    <w:tl2br w:val="nil"/>
                    <w:tr2bl w:val="nil"/>
                  </w:tcBorders>
                  <w:vAlign w:val="center"/>
                </w:tcPr>
                <w:p w14:paraId="0A570CA7">
                  <w:pPr>
                    <w:autoSpaceDE w:val="0"/>
                    <w:autoSpaceDN w:val="0"/>
                    <w:adjustRightInd w:val="0"/>
                    <w:snapToGrid w:val="0"/>
                    <w:jc w:val="center"/>
                    <w:rPr>
                      <w:b/>
                      <w:strike w:val="0"/>
                      <w:dstrike w:val="0"/>
                      <w:color w:val="auto"/>
                      <w:kern w:val="0"/>
                      <w:szCs w:val="21"/>
                      <w:highlight w:val="none"/>
                    </w:rPr>
                  </w:pPr>
                  <w:r>
                    <w:rPr>
                      <w:b/>
                      <w:strike w:val="0"/>
                      <w:dstrike w:val="0"/>
                      <w:color w:val="auto"/>
                      <w:kern w:val="0"/>
                      <w:szCs w:val="21"/>
                      <w:highlight w:val="none"/>
                    </w:rPr>
                    <w:t>符合性</w:t>
                  </w:r>
                </w:p>
              </w:tc>
            </w:tr>
            <w:tr w14:paraId="4AA98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5" w:hRule="atLeast"/>
                <w:jc w:val="center"/>
              </w:trPr>
              <w:tc>
                <w:tcPr>
                  <w:tcW w:w="607" w:type="dxa"/>
                  <w:tcBorders>
                    <w:tl2br w:val="nil"/>
                    <w:tr2bl w:val="nil"/>
                  </w:tcBorders>
                  <w:vAlign w:val="center"/>
                </w:tcPr>
                <w:p w14:paraId="5B9BFF66">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1</w:t>
                  </w:r>
                </w:p>
              </w:tc>
              <w:tc>
                <w:tcPr>
                  <w:tcW w:w="3784" w:type="dxa"/>
                  <w:tcBorders>
                    <w:tl2br w:val="nil"/>
                    <w:tr2bl w:val="nil"/>
                  </w:tcBorders>
                  <w:vAlign w:val="center"/>
                </w:tcPr>
                <w:p w14:paraId="70AE330F">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长江流域国土空间开发利用活动应当符合国土空间用途管制要求，并依法取得规划许可。</w:t>
                  </w:r>
                </w:p>
              </w:tc>
              <w:tc>
                <w:tcPr>
                  <w:tcW w:w="2515" w:type="dxa"/>
                  <w:tcBorders>
                    <w:tl2br w:val="nil"/>
                    <w:tr2bl w:val="nil"/>
                  </w:tcBorders>
                  <w:vAlign w:val="center"/>
                </w:tcPr>
                <w:p w14:paraId="5BFAEF34">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本项目位于重庆市合川区土场镇杨柳村三社，用地</w:t>
                  </w:r>
                  <w:r>
                    <w:rPr>
                      <w:rFonts w:hint="eastAsia"/>
                      <w:strike w:val="0"/>
                      <w:dstrike w:val="0"/>
                      <w:color w:val="auto"/>
                      <w:highlight w:val="none"/>
                    </w:rPr>
                    <w:t>性质为</w:t>
                  </w:r>
                  <w:r>
                    <w:rPr>
                      <w:strike w:val="0"/>
                      <w:dstrike w:val="0"/>
                      <w:color w:val="auto"/>
                      <w:szCs w:val="21"/>
                      <w:highlight w:val="none"/>
                    </w:rPr>
                    <w:t>公共设施营业网点用地</w:t>
                  </w:r>
                  <w:r>
                    <w:rPr>
                      <w:strike w:val="0"/>
                      <w:dstrike w:val="0"/>
                      <w:color w:val="auto"/>
                      <w:sz w:val="24"/>
                      <w:szCs w:val="32"/>
                      <w:highlight w:val="none"/>
                    </w:rPr>
                    <w:t>。</w:t>
                  </w:r>
                </w:p>
              </w:tc>
              <w:tc>
                <w:tcPr>
                  <w:tcW w:w="832" w:type="dxa"/>
                  <w:tcBorders>
                    <w:tl2br w:val="nil"/>
                    <w:tr2bl w:val="nil"/>
                  </w:tcBorders>
                  <w:vAlign w:val="center"/>
                </w:tcPr>
                <w:p w14:paraId="7E5FA45E">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符合</w:t>
                  </w:r>
                </w:p>
              </w:tc>
            </w:tr>
            <w:tr w14:paraId="5F350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607" w:type="dxa"/>
                  <w:tcBorders>
                    <w:tl2br w:val="nil"/>
                    <w:tr2bl w:val="nil"/>
                  </w:tcBorders>
                  <w:vAlign w:val="center"/>
                </w:tcPr>
                <w:p w14:paraId="297A45BB">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2</w:t>
                  </w:r>
                </w:p>
              </w:tc>
              <w:tc>
                <w:tcPr>
                  <w:tcW w:w="3784" w:type="dxa"/>
                  <w:tcBorders>
                    <w:tl2br w:val="nil"/>
                    <w:tr2bl w:val="nil"/>
                  </w:tcBorders>
                  <w:vAlign w:val="center"/>
                </w:tcPr>
                <w:p w14:paraId="23999F47">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禁止在长江流域重点生态功能区布局对生态系统有严重影响的产业。</w:t>
                  </w:r>
                </w:p>
              </w:tc>
              <w:tc>
                <w:tcPr>
                  <w:tcW w:w="2515" w:type="dxa"/>
                  <w:tcBorders>
                    <w:tl2br w:val="nil"/>
                    <w:tr2bl w:val="nil"/>
                  </w:tcBorders>
                  <w:vAlign w:val="center"/>
                </w:tcPr>
                <w:p w14:paraId="53FE5607">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本项目不属于重污染企业，不会对生态系统有严重影响。</w:t>
                  </w:r>
                </w:p>
              </w:tc>
              <w:tc>
                <w:tcPr>
                  <w:tcW w:w="832" w:type="dxa"/>
                  <w:tcBorders>
                    <w:tl2br w:val="nil"/>
                    <w:tr2bl w:val="nil"/>
                  </w:tcBorders>
                  <w:vAlign w:val="center"/>
                </w:tcPr>
                <w:p w14:paraId="425CEF55">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符合</w:t>
                  </w:r>
                </w:p>
              </w:tc>
            </w:tr>
            <w:tr w14:paraId="6097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607" w:type="dxa"/>
                  <w:tcBorders>
                    <w:tl2br w:val="nil"/>
                    <w:tr2bl w:val="nil"/>
                  </w:tcBorders>
                  <w:vAlign w:val="center"/>
                </w:tcPr>
                <w:p w14:paraId="3891750F">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3</w:t>
                  </w:r>
                </w:p>
              </w:tc>
              <w:tc>
                <w:tcPr>
                  <w:tcW w:w="3784" w:type="dxa"/>
                  <w:tcBorders>
                    <w:tl2br w:val="nil"/>
                    <w:tr2bl w:val="nil"/>
                  </w:tcBorders>
                  <w:vAlign w:val="center"/>
                </w:tcPr>
                <w:p w14:paraId="7FF28007">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禁止重污染企业和项目向长江中上游转移。</w:t>
                  </w:r>
                </w:p>
              </w:tc>
              <w:tc>
                <w:tcPr>
                  <w:tcW w:w="2515" w:type="dxa"/>
                  <w:tcBorders>
                    <w:tl2br w:val="nil"/>
                    <w:tr2bl w:val="nil"/>
                  </w:tcBorders>
                  <w:vAlign w:val="center"/>
                </w:tcPr>
                <w:p w14:paraId="449D8D0D">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本项目不属于重污染企业和项目。</w:t>
                  </w:r>
                </w:p>
              </w:tc>
              <w:tc>
                <w:tcPr>
                  <w:tcW w:w="832" w:type="dxa"/>
                  <w:tcBorders>
                    <w:tl2br w:val="nil"/>
                    <w:tr2bl w:val="nil"/>
                  </w:tcBorders>
                  <w:vAlign w:val="center"/>
                </w:tcPr>
                <w:p w14:paraId="24157DED">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符合</w:t>
                  </w:r>
                </w:p>
              </w:tc>
            </w:tr>
            <w:tr w14:paraId="1FB8F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3" w:hRule="atLeast"/>
                <w:jc w:val="center"/>
              </w:trPr>
              <w:tc>
                <w:tcPr>
                  <w:tcW w:w="607" w:type="dxa"/>
                  <w:tcBorders>
                    <w:tl2br w:val="nil"/>
                    <w:tr2bl w:val="nil"/>
                  </w:tcBorders>
                  <w:vAlign w:val="center"/>
                </w:tcPr>
                <w:p w14:paraId="0DBB1644">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4</w:t>
                  </w:r>
                </w:p>
              </w:tc>
              <w:tc>
                <w:tcPr>
                  <w:tcW w:w="3784" w:type="dxa"/>
                  <w:tcBorders>
                    <w:tl2br w:val="nil"/>
                    <w:tr2bl w:val="nil"/>
                  </w:tcBorders>
                  <w:vAlign w:val="center"/>
                </w:tcPr>
                <w:p w14:paraId="7963B923">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禁止在长江干流岸线三公里范围内和重要支流岸线一公里范围内新建、改建、扩建尾矿库；但是以提升安全、生态环境保护水平为目的的改建除外。</w:t>
                  </w:r>
                </w:p>
              </w:tc>
              <w:tc>
                <w:tcPr>
                  <w:tcW w:w="2515" w:type="dxa"/>
                  <w:tcBorders>
                    <w:tl2br w:val="nil"/>
                    <w:tr2bl w:val="nil"/>
                  </w:tcBorders>
                  <w:vAlign w:val="center"/>
                </w:tcPr>
                <w:p w14:paraId="15B2299D">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本项目不属于尾矿库项目。</w:t>
                  </w:r>
                </w:p>
              </w:tc>
              <w:tc>
                <w:tcPr>
                  <w:tcW w:w="832" w:type="dxa"/>
                  <w:tcBorders>
                    <w:tl2br w:val="nil"/>
                    <w:tr2bl w:val="nil"/>
                  </w:tcBorders>
                  <w:vAlign w:val="center"/>
                </w:tcPr>
                <w:p w14:paraId="0F639ED5">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符合</w:t>
                  </w:r>
                </w:p>
              </w:tc>
            </w:tr>
            <w:tr w14:paraId="0A4A6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3" w:hRule="atLeast"/>
                <w:jc w:val="center"/>
              </w:trPr>
              <w:tc>
                <w:tcPr>
                  <w:tcW w:w="607" w:type="dxa"/>
                  <w:tcBorders>
                    <w:tl2br w:val="nil"/>
                    <w:tr2bl w:val="nil"/>
                  </w:tcBorders>
                  <w:vAlign w:val="center"/>
                </w:tcPr>
                <w:p w14:paraId="77C7C082">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5</w:t>
                  </w:r>
                </w:p>
              </w:tc>
              <w:tc>
                <w:tcPr>
                  <w:tcW w:w="3784" w:type="dxa"/>
                  <w:tcBorders>
                    <w:tl2br w:val="nil"/>
                    <w:tr2bl w:val="nil"/>
                  </w:tcBorders>
                  <w:vAlign w:val="center"/>
                </w:tcPr>
                <w:p w14:paraId="5F1D80E3">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对长江流域已建小水电工程，不符合生态保护要求的，县级以上地方人民政府应当组织分类整改或者采取措施逐步退出。</w:t>
                  </w:r>
                </w:p>
              </w:tc>
              <w:tc>
                <w:tcPr>
                  <w:tcW w:w="2515" w:type="dxa"/>
                  <w:tcBorders>
                    <w:tl2br w:val="nil"/>
                    <w:tr2bl w:val="nil"/>
                  </w:tcBorders>
                  <w:vAlign w:val="center"/>
                </w:tcPr>
                <w:p w14:paraId="0894062F">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本项目不属于小水电工程项目。</w:t>
                  </w:r>
                </w:p>
              </w:tc>
              <w:tc>
                <w:tcPr>
                  <w:tcW w:w="832" w:type="dxa"/>
                  <w:tcBorders>
                    <w:tl2br w:val="nil"/>
                    <w:tr2bl w:val="nil"/>
                  </w:tcBorders>
                  <w:vAlign w:val="center"/>
                </w:tcPr>
                <w:p w14:paraId="1187A196">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符合</w:t>
                  </w:r>
                </w:p>
              </w:tc>
            </w:tr>
            <w:tr w14:paraId="43B22C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3" w:hRule="atLeast"/>
                <w:jc w:val="center"/>
              </w:trPr>
              <w:tc>
                <w:tcPr>
                  <w:tcW w:w="607" w:type="dxa"/>
                  <w:tcBorders>
                    <w:tl2br w:val="nil"/>
                    <w:tr2bl w:val="nil"/>
                  </w:tcBorders>
                  <w:vAlign w:val="center"/>
                </w:tcPr>
                <w:p w14:paraId="6BD934CF">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6</w:t>
                  </w:r>
                </w:p>
              </w:tc>
              <w:tc>
                <w:tcPr>
                  <w:tcW w:w="3784" w:type="dxa"/>
                  <w:tcBorders>
                    <w:tl2br w:val="nil"/>
                    <w:tr2bl w:val="nil"/>
                  </w:tcBorders>
                  <w:vAlign w:val="center"/>
                </w:tcPr>
                <w:p w14:paraId="51BCCD54">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禁止在长江流域水土流失严重、生态脆弱的区域开展可能造成水土流失的生产建设活动。</w:t>
                  </w:r>
                </w:p>
              </w:tc>
              <w:tc>
                <w:tcPr>
                  <w:tcW w:w="2515" w:type="dxa"/>
                  <w:tcBorders>
                    <w:tl2br w:val="nil"/>
                    <w:tr2bl w:val="nil"/>
                  </w:tcBorders>
                  <w:vAlign w:val="center"/>
                </w:tcPr>
                <w:p w14:paraId="370FFEB8">
                  <w:pPr>
                    <w:autoSpaceDE w:val="0"/>
                    <w:autoSpaceDN w:val="0"/>
                    <w:adjustRightInd w:val="0"/>
                    <w:snapToGrid w:val="0"/>
                    <w:rPr>
                      <w:bCs/>
                      <w:strike w:val="0"/>
                      <w:dstrike w:val="0"/>
                      <w:color w:val="auto"/>
                      <w:kern w:val="0"/>
                      <w:szCs w:val="21"/>
                      <w:highlight w:val="none"/>
                    </w:rPr>
                  </w:pPr>
                  <w:r>
                    <w:rPr>
                      <w:bCs/>
                      <w:strike w:val="0"/>
                      <w:dstrike w:val="0"/>
                      <w:color w:val="auto"/>
                      <w:kern w:val="0"/>
                      <w:szCs w:val="21"/>
                      <w:highlight w:val="none"/>
                    </w:rPr>
                    <w:t>本项目位于重庆市合川区土场镇杨柳村三社，不属于水土流失严重、生态脆弱的区域。</w:t>
                  </w:r>
                </w:p>
              </w:tc>
              <w:tc>
                <w:tcPr>
                  <w:tcW w:w="832" w:type="dxa"/>
                  <w:tcBorders>
                    <w:tl2br w:val="nil"/>
                    <w:tr2bl w:val="nil"/>
                  </w:tcBorders>
                  <w:vAlign w:val="center"/>
                </w:tcPr>
                <w:p w14:paraId="611521D7">
                  <w:pPr>
                    <w:autoSpaceDE w:val="0"/>
                    <w:autoSpaceDN w:val="0"/>
                    <w:adjustRightInd w:val="0"/>
                    <w:snapToGrid w:val="0"/>
                    <w:jc w:val="center"/>
                    <w:rPr>
                      <w:b/>
                      <w:strike w:val="0"/>
                      <w:dstrike w:val="0"/>
                      <w:color w:val="auto"/>
                      <w:kern w:val="0"/>
                      <w:szCs w:val="21"/>
                      <w:highlight w:val="none"/>
                    </w:rPr>
                  </w:pPr>
                  <w:r>
                    <w:rPr>
                      <w:bCs/>
                      <w:strike w:val="0"/>
                      <w:dstrike w:val="0"/>
                      <w:color w:val="auto"/>
                      <w:kern w:val="0"/>
                      <w:szCs w:val="21"/>
                      <w:highlight w:val="none"/>
                    </w:rPr>
                    <w:t>符合</w:t>
                  </w:r>
                </w:p>
              </w:tc>
            </w:tr>
            <w:tr w14:paraId="05FCF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41" w:hRule="atLeast"/>
                <w:jc w:val="center"/>
              </w:trPr>
              <w:tc>
                <w:tcPr>
                  <w:tcW w:w="607" w:type="dxa"/>
                  <w:tcBorders>
                    <w:tl2br w:val="nil"/>
                    <w:tr2bl w:val="nil"/>
                  </w:tcBorders>
                  <w:vAlign w:val="center"/>
                </w:tcPr>
                <w:p w14:paraId="1A91A17E">
                  <w:pPr>
                    <w:autoSpaceDE w:val="0"/>
                    <w:autoSpaceDN w:val="0"/>
                    <w:adjustRightInd w:val="0"/>
                    <w:snapToGrid w:val="0"/>
                    <w:jc w:val="center"/>
                    <w:rPr>
                      <w:bCs/>
                      <w:strike w:val="0"/>
                      <w:dstrike w:val="0"/>
                      <w:color w:val="auto"/>
                      <w:kern w:val="0"/>
                      <w:szCs w:val="21"/>
                      <w:highlight w:val="none"/>
                    </w:rPr>
                  </w:pPr>
                  <w:r>
                    <w:rPr>
                      <w:bCs/>
                      <w:strike w:val="0"/>
                      <w:dstrike w:val="0"/>
                      <w:color w:val="auto"/>
                      <w:kern w:val="0"/>
                      <w:szCs w:val="21"/>
                      <w:highlight w:val="none"/>
                    </w:rPr>
                    <w:t>7</w:t>
                  </w:r>
                </w:p>
              </w:tc>
              <w:tc>
                <w:tcPr>
                  <w:tcW w:w="3784" w:type="dxa"/>
                  <w:tcBorders>
                    <w:tl2br w:val="nil"/>
                    <w:tr2bl w:val="nil"/>
                  </w:tcBorders>
                  <w:vAlign w:val="center"/>
                </w:tcPr>
                <w:p w14:paraId="7F466F9F">
                  <w:pPr>
                    <w:pStyle w:val="18"/>
                    <w:spacing w:before="0" w:beforeAutospacing="0" w:after="0" w:afterAutospacing="0"/>
                    <w:jc w:val="both"/>
                    <w:rPr>
                      <w:rFonts w:ascii="Times New Roman" w:hAnsi="Times New Roman"/>
                      <w:b/>
                      <w:strike w:val="0"/>
                      <w:dstrike w:val="0"/>
                      <w:color w:val="auto"/>
                      <w:sz w:val="21"/>
                      <w:szCs w:val="21"/>
                      <w:highlight w:val="none"/>
                    </w:rPr>
                  </w:pPr>
                  <w:r>
                    <w:rPr>
                      <w:rFonts w:ascii="Times New Roman" w:hAnsi="Times New Roman"/>
                      <w:strike w:val="0"/>
                      <w:dstrike w:val="0"/>
                      <w:color w:val="auto"/>
                      <w:sz w:val="21"/>
                      <w:szCs w:val="21"/>
                      <w:highlight w:val="none"/>
                      <w:shd w:val="clear" w:color="auto" w:fill="FFFFFF"/>
                    </w:rPr>
                    <w:t>严格限制在长江流域生态保护红线、自然保护地、水生生物重要栖息地水域实施航道整治工程；确需整治的，应当经科学论证，并依法办理相关手续。</w:t>
                  </w:r>
                </w:p>
              </w:tc>
              <w:tc>
                <w:tcPr>
                  <w:tcW w:w="2515" w:type="dxa"/>
                  <w:tcBorders>
                    <w:tl2br w:val="nil"/>
                    <w:tr2bl w:val="nil"/>
                  </w:tcBorders>
                  <w:vAlign w:val="center"/>
                </w:tcPr>
                <w:p w14:paraId="29E1CF36">
                  <w:pPr>
                    <w:autoSpaceDE w:val="0"/>
                    <w:autoSpaceDN w:val="0"/>
                    <w:adjustRightInd w:val="0"/>
                    <w:snapToGrid w:val="0"/>
                    <w:rPr>
                      <w:b/>
                      <w:strike w:val="0"/>
                      <w:dstrike w:val="0"/>
                      <w:color w:val="auto"/>
                      <w:kern w:val="0"/>
                      <w:szCs w:val="21"/>
                      <w:highlight w:val="none"/>
                    </w:rPr>
                  </w:pPr>
                  <w:r>
                    <w:rPr>
                      <w:bCs/>
                      <w:strike w:val="0"/>
                      <w:dstrike w:val="0"/>
                      <w:color w:val="auto"/>
                      <w:kern w:val="0"/>
                      <w:szCs w:val="21"/>
                      <w:highlight w:val="none"/>
                    </w:rPr>
                    <w:t>本项目不属于航道整治工程。</w:t>
                  </w:r>
                </w:p>
              </w:tc>
              <w:tc>
                <w:tcPr>
                  <w:tcW w:w="832" w:type="dxa"/>
                  <w:tcBorders>
                    <w:tl2br w:val="nil"/>
                    <w:tr2bl w:val="nil"/>
                  </w:tcBorders>
                  <w:vAlign w:val="center"/>
                </w:tcPr>
                <w:p w14:paraId="03ED4516">
                  <w:pPr>
                    <w:autoSpaceDE w:val="0"/>
                    <w:autoSpaceDN w:val="0"/>
                    <w:adjustRightInd w:val="0"/>
                    <w:snapToGrid w:val="0"/>
                    <w:jc w:val="center"/>
                    <w:rPr>
                      <w:b/>
                      <w:strike w:val="0"/>
                      <w:dstrike w:val="0"/>
                      <w:color w:val="auto"/>
                      <w:kern w:val="0"/>
                      <w:szCs w:val="21"/>
                      <w:highlight w:val="none"/>
                    </w:rPr>
                  </w:pPr>
                  <w:r>
                    <w:rPr>
                      <w:bCs/>
                      <w:strike w:val="0"/>
                      <w:dstrike w:val="0"/>
                      <w:color w:val="auto"/>
                      <w:kern w:val="0"/>
                      <w:szCs w:val="21"/>
                      <w:highlight w:val="none"/>
                    </w:rPr>
                    <w:t>符合</w:t>
                  </w:r>
                </w:p>
              </w:tc>
            </w:tr>
          </w:tbl>
          <w:p w14:paraId="564E118E">
            <w:pPr>
              <w:pStyle w:val="38"/>
              <w:ind w:firstLine="480" w:firstLineChars="200"/>
              <w:rPr>
                <w:rFonts w:ascii="Times New Roman" w:hAnsi="Times New Roman" w:cs="Times New Roman"/>
                <w:strike w:val="0"/>
                <w:dstrike w:val="0"/>
                <w:color w:val="auto"/>
                <w:kern w:val="0"/>
                <w:highlight w:val="none"/>
              </w:rPr>
            </w:pPr>
            <w:r>
              <w:rPr>
                <w:rFonts w:ascii="Times New Roman" w:hAnsi="Times New Roman" w:cs="Times New Roman"/>
                <w:strike w:val="0"/>
                <w:dstrike w:val="0"/>
                <w:color w:val="auto"/>
                <w:kern w:val="0"/>
                <w:highlight w:val="none"/>
              </w:rPr>
              <w:t>综上，本项目符合《中华人民共和国长江保护法》相关要求。</w:t>
            </w:r>
          </w:p>
          <w:p w14:paraId="3CFD190A">
            <w:pPr>
              <w:adjustRightInd w:val="0"/>
              <w:snapToGrid w:val="0"/>
              <w:spacing w:line="360" w:lineRule="auto"/>
              <w:jc w:val="left"/>
              <w:rPr>
                <w:strike w:val="0"/>
                <w:dstrike w:val="0"/>
                <w:color w:val="auto"/>
                <w:sz w:val="24"/>
                <w:highlight w:val="none"/>
              </w:rPr>
            </w:pPr>
            <w:r>
              <w:rPr>
                <w:b/>
                <w:strike w:val="0"/>
                <w:dstrike w:val="0"/>
                <w:color w:val="auto"/>
                <w:sz w:val="24"/>
                <w:highlight w:val="none"/>
              </w:rPr>
              <w:t>1.1</w:t>
            </w:r>
            <w:r>
              <w:rPr>
                <w:rFonts w:hint="eastAsia"/>
                <w:b/>
                <w:strike w:val="0"/>
                <w:dstrike w:val="0"/>
                <w:color w:val="auto"/>
                <w:sz w:val="24"/>
                <w:highlight w:val="none"/>
              </w:rPr>
              <w:t>2</w:t>
            </w:r>
            <w:r>
              <w:rPr>
                <w:b/>
                <w:strike w:val="0"/>
                <w:dstrike w:val="0"/>
                <w:color w:val="auto"/>
                <w:sz w:val="24"/>
                <w:highlight w:val="none"/>
              </w:rPr>
              <w:t>与《长江经济带发展负面清单指南（试行，2022年版）》（长江办[2022]7号）的符合性分析</w:t>
            </w:r>
          </w:p>
          <w:p w14:paraId="28184899">
            <w:pPr>
              <w:adjustRightInd w:val="0"/>
              <w:snapToGrid w:val="0"/>
              <w:spacing w:line="360" w:lineRule="auto"/>
              <w:ind w:firstLine="480" w:firstLineChars="200"/>
              <w:jc w:val="left"/>
              <w:rPr>
                <w:strike w:val="0"/>
                <w:dstrike w:val="0"/>
                <w:color w:val="auto"/>
                <w:sz w:val="24"/>
                <w:highlight w:val="none"/>
              </w:rPr>
            </w:pPr>
            <w:r>
              <w:rPr>
                <w:strike w:val="0"/>
                <w:dstrike w:val="0"/>
                <w:color w:val="auto"/>
                <w:sz w:val="24"/>
                <w:highlight w:val="none"/>
              </w:rPr>
              <w:t>本项目与《长江经济带发展负面清单指南（试行，2022年版）》（长江办[2022]7号）的符合性分析，详见表1.1</w:t>
            </w:r>
            <w:r>
              <w:rPr>
                <w:rFonts w:hint="eastAsia"/>
                <w:strike w:val="0"/>
                <w:dstrike w:val="0"/>
                <w:color w:val="auto"/>
                <w:sz w:val="24"/>
                <w:highlight w:val="none"/>
              </w:rPr>
              <w:t>2</w:t>
            </w:r>
            <w:r>
              <w:rPr>
                <w:strike w:val="0"/>
                <w:dstrike w:val="0"/>
                <w:color w:val="auto"/>
                <w:sz w:val="24"/>
                <w:highlight w:val="none"/>
              </w:rPr>
              <w:t>-1。</w:t>
            </w:r>
          </w:p>
          <w:p w14:paraId="5BB39BF6">
            <w:pPr>
              <w:jc w:val="center"/>
              <w:rPr>
                <w:b/>
                <w:strike w:val="0"/>
                <w:dstrike w:val="0"/>
                <w:color w:val="auto"/>
                <w:sz w:val="22"/>
                <w:szCs w:val="22"/>
                <w:highlight w:val="none"/>
              </w:rPr>
            </w:pPr>
            <w:r>
              <w:rPr>
                <w:b/>
                <w:strike w:val="0"/>
                <w:dstrike w:val="0"/>
                <w:color w:val="auto"/>
                <w:sz w:val="22"/>
                <w:szCs w:val="22"/>
                <w:highlight w:val="none"/>
              </w:rPr>
              <w:t>表1.1</w:t>
            </w:r>
            <w:r>
              <w:rPr>
                <w:rFonts w:hint="eastAsia"/>
                <w:b/>
                <w:strike w:val="0"/>
                <w:dstrike w:val="0"/>
                <w:color w:val="auto"/>
                <w:sz w:val="22"/>
                <w:szCs w:val="22"/>
                <w:highlight w:val="none"/>
              </w:rPr>
              <w:t>2</w:t>
            </w:r>
            <w:r>
              <w:rPr>
                <w:b/>
                <w:strike w:val="0"/>
                <w:dstrike w:val="0"/>
                <w:color w:val="auto"/>
                <w:sz w:val="22"/>
                <w:szCs w:val="22"/>
                <w:highlight w:val="none"/>
              </w:rPr>
              <w:t>-1  与《长江经济带发展负面清单指南（试行，2022年版）》符合性分析</w:t>
            </w:r>
          </w:p>
          <w:tbl>
            <w:tblPr>
              <w:tblStyle w:val="22"/>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4295"/>
              <w:gridCol w:w="2255"/>
              <w:gridCol w:w="611"/>
            </w:tblGrid>
            <w:tr w14:paraId="1D8F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17" w:type="dxa"/>
                  <w:vAlign w:val="center"/>
                </w:tcPr>
                <w:p w14:paraId="2D98EE2D">
                  <w:pPr>
                    <w:autoSpaceDE w:val="0"/>
                    <w:autoSpaceDN w:val="0"/>
                    <w:adjustRightInd w:val="0"/>
                    <w:jc w:val="center"/>
                    <w:textAlignment w:val="baseline"/>
                    <w:rPr>
                      <w:b/>
                      <w:bCs/>
                      <w:strike w:val="0"/>
                      <w:dstrike w:val="0"/>
                      <w:color w:val="auto"/>
                      <w:szCs w:val="21"/>
                      <w:highlight w:val="none"/>
                    </w:rPr>
                  </w:pPr>
                  <w:r>
                    <w:rPr>
                      <w:b/>
                      <w:bCs/>
                      <w:strike w:val="0"/>
                      <w:dstrike w:val="0"/>
                      <w:color w:val="auto"/>
                      <w:szCs w:val="21"/>
                      <w:highlight w:val="none"/>
                    </w:rPr>
                    <w:t>序号</w:t>
                  </w:r>
                </w:p>
              </w:tc>
              <w:tc>
                <w:tcPr>
                  <w:tcW w:w="4295" w:type="dxa"/>
                  <w:vAlign w:val="center"/>
                </w:tcPr>
                <w:p w14:paraId="7A4F2905">
                  <w:pPr>
                    <w:autoSpaceDE w:val="0"/>
                    <w:autoSpaceDN w:val="0"/>
                    <w:adjustRightInd w:val="0"/>
                    <w:jc w:val="center"/>
                    <w:textAlignment w:val="baseline"/>
                    <w:rPr>
                      <w:b/>
                      <w:bCs/>
                      <w:strike w:val="0"/>
                      <w:dstrike w:val="0"/>
                      <w:color w:val="auto"/>
                      <w:szCs w:val="21"/>
                      <w:highlight w:val="none"/>
                    </w:rPr>
                  </w:pPr>
                  <w:r>
                    <w:rPr>
                      <w:b/>
                      <w:bCs/>
                      <w:strike w:val="0"/>
                      <w:dstrike w:val="0"/>
                      <w:color w:val="auto"/>
                      <w:szCs w:val="21"/>
                      <w:highlight w:val="none"/>
                    </w:rPr>
                    <w:t>准入条件要求</w:t>
                  </w:r>
                </w:p>
              </w:tc>
              <w:tc>
                <w:tcPr>
                  <w:tcW w:w="2255" w:type="dxa"/>
                  <w:vAlign w:val="center"/>
                </w:tcPr>
                <w:p w14:paraId="0A31E845">
                  <w:pPr>
                    <w:autoSpaceDE w:val="0"/>
                    <w:autoSpaceDN w:val="0"/>
                    <w:adjustRightInd w:val="0"/>
                    <w:jc w:val="center"/>
                    <w:textAlignment w:val="baseline"/>
                    <w:rPr>
                      <w:b/>
                      <w:bCs/>
                      <w:strike w:val="0"/>
                      <w:dstrike w:val="0"/>
                      <w:color w:val="auto"/>
                      <w:szCs w:val="21"/>
                      <w:highlight w:val="none"/>
                    </w:rPr>
                  </w:pPr>
                  <w:r>
                    <w:rPr>
                      <w:b/>
                      <w:bCs/>
                      <w:strike w:val="0"/>
                      <w:dstrike w:val="0"/>
                      <w:color w:val="auto"/>
                      <w:szCs w:val="21"/>
                      <w:highlight w:val="none"/>
                    </w:rPr>
                    <w:t>项目实际情况</w:t>
                  </w:r>
                </w:p>
              </w:tc>
              <w:tc>
                <w:tcPr>
                  <w:tcW w:w="611" w:type="dxa"/>
                  <w:vAlign w:val="center"/>
                </w:tcPr>
                <w:p w14:paraId="44FFB632">
                  <w:pPr>
                    <w:autoSpaceDE w:val="0"/>
                    <w:autoSpaceDN w:val="0"/>
                    <w:adjustRightInd w:val="0"/>
                    <w:jc w:val="center"/>
                    <w:textAlignment w:val="baseline"/>
                    <w:rPr>
                      <w:b/>
                      <w:bCs/>
                      <w:strike w:val="0"/>
                      <w:dstrike w:val="0"/>
                      <w:color w:val="auto"/>
                      <w:szCs w:val="21"/>
                      <w:highlight w:val="none"/>
                    </w:rPr>
                  </w:pPr>
                  <w:r>
                    <w:rPr>
                      <w:b/>
                      <w:bCs/>
                      <w:strike w:val="0"/>
                      <w:dstrike w:val="0"/>
                      <w:color w:val="auto"/>
                      <w:szCs w:val="21"/>
                      <w:highlight w:val="none"/>
                    </w:rPr>
                    <w:t>符合性</w:t>
                  </w:r>
                </w:p>
              </w:tc>
            </w:tr>
            <w:tr w14:paraId="4A02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617" w:type="dxa"/>
                  <w:vAlign w:val="center"/>
                </w:tcPr>
                <w:p w14:paraId="2CDDE8E4">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1</w:t>
                  </w:r>
                </w:p>
              </w:tc>
              <w:tc>
                <w:tcPr>
                  <w:tcW w:w="4295" w:type="dxa"/>
                  <w:vAlign w:val="center"/>
                </w:tcPr>
                <w:p w14:paraId="002CDBD7">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禁止建设不符合全国和省级港口布局规划以及港口总体规划的码头项目，禁止建设不符合《长江干线过江通道布局规划》的过长江通道项目。</w:t>
                  </w:r>
                </w:p>
              </w:tc>
              <w:tc>
                <w:tcPr>
                  <w:tcW w:w="2255" w:type="dxa"/>
                  <w:vAlign w:val="center"/>
                </w:tcPr>
                <w:p w14:paraId="405B058A">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项目不属于码头项目，也不属于过长江通道的建设项目。</w:t>
                  </w:r>
                </w:p>
              </w:tc>
              <w:tc>
                <w:tcPr>
                  <w:tcW w:w="611" w:type="dxa"/>
                  <w:vAlign w:val="center"/>
                </w:tcPr>
                <w:p w14:paraId="64F60FEF">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20C7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617" w:type="dxa"/>
                  <w:vAlign w:val="center"/>
                </w:tcPr>
                <w:p w14:paraId="2FF3F3F4">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2</w:t>
                  </w:r>
                </w:p>
              </w:tc>
              <w:tc>
                <w:tcPr>
                  <w:tcW w:w="4295" w:type="dxa"/>
                  <w:vAlign w:val="center"/>
                </w:tcPr>
                <w:p w14:paraId="429FD4D1">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2255" w:type="dxa"/>
                  <w:vAlign w:val="center"/>
                </w:tcPr>
                <w:p w14:paraId="5B211E50">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项目不在自然保护区、风景名胜区等环境敏感区内。</w:t>
                  </w:r>
                </w:p>
              </w:tc>
              <w:tc>
                <w:tcPr>
                  <w:tcW w:w="611" w:type="dxa"/>
                  <w:vAlign w:val="center"/>
                </w:tcPr>
                <w:p w14:paraId="686B8762">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0241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617" w:type="dxa"/>
                  <w:vAlign w:val="center"/>
                </w:tcPr>
                <w:p w14:paraId="4C5911EE">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3</w:t>
                  </w:r>
                </w:p>
              </w:tc>
              <w:tc>
                <w:tcPr>
                  <w:tcW w:w="4295" w:type="dxa"/>
                  <w:vAlign w:val="center"/>
                </w:tcPr>
                <w:p w14:paraId="1A688028">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55" w:type="dxa"/>
                  <w:vAlign w:val="center"/>
                </w:tcPr>
                <w:p w14:paraId="22571B38">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项目不在饮用水水源一级、二级保护区的岸线和河段范围内。</w:t>
                  </w:r>
                </w:p>
              </w:tc>
              <w:tc>
                <w:tcPr>
                  <w:tcW w:w="611" w:type="dxa"/>
                  <w:vAlign w:val="center"/>
                </w:tcPr>
                <w:p w14:paraId="5831C4C1">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708C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617" w:type="dxa"/>
                  <w:vAlign w:val="center"/>
                </w:tcPr>
                <w:p w14:paraId="19AE579F">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4</w:t>
                  </w:r>
                </w:p>
              </w:tc>
              <w:tc>
                <w:tcPr>
                  <w:tcW w:w="4295" w:type="dxa"/>
                  <w:vAlign w:val="center"/>
                </w:tcPr>
                <w:p w14:paraId="62513854">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255" w:type="dxa"/>
                  <w:vAlign w:val="center"/>
                </w:tcPr>
                <w:p w14:paraId="2267B83E">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项目不在上述区域。</w:t>
                  </w:r>
                </w:p>
              </w:tc>
              <w:tc>
                <w:tcPr>
                  <w:tcW w:w="611" w:type="dxa"/>
                  <w:vAlign w:val="center"/>
                </w:tcPr>
                <w:p w14:paraId="333921CE">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3BF4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17" w:type="dxa"/>
                  <w:vAlign w:val="center"/>
                </w:tcPr>
                <w:p w14:paraId="3A803C07">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5</w:t>
                  </w:r>
                </w:p>
              </w:tc>
              <w:tc>
                <w:tcPr>
                  <w:tcW w:w="4295" w:type="dxa"/>
                  <w:vAlign w:val="center"/>
                </w:tcPr>
                <w:p w14:paraId="45D3529E">
                  <w:pPr>
                    <w:adjustRightInd w:val="0"/>
                    <w:snapToGrid w:val="0"/>
                    <w:jc w:val="left"/>
                    <w:textAlignment w:val="baseline"/>
                    <w:rPr>
                      <w:strike w:val="0"/>
                      <w:dstrike w:val="0"/>
                      <w:color w:val="auto"/>
                      <w:kern w:val="0"/>
                      <w:szCs w:val="21"/>
                      <w:highlight w:val="none"/>
                    </w:rPr>
                  </w:pPr>
                  <w:r>
                    <w:rPr>
                      <w:strike w:val="0"/>
                      <w:dstrike w:val="0"/>
                      <w:color w:val="auto"/>
                      <w:kern w:val="0"/>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255" w:type="dxa"/>
                  <w:vAlign w:val="center"/>
                </w:tcPr>
                <w:p w14:paraId="7FD28BF6">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项目不在《长江岸线保护和开发利用总体规划》划定的岸线保护区内，不在《全国重要江河湖泊水功能区划》划定的河段保护区、保留区内。</w:t>
                  </w:r>
                </w:p>
              </w:tc>
              <w:tc>
                <w:tcPr>
                  <w:tcW w:w="611" w:type="dxa"/>
                  <w:vAlign w:val="center"/>
                </w:tcPr>
                <w:p w14:paraId="3108F9B8">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08A2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617" w:type="dxa"/>
                  <w:vAlign w:val="center"/>
                </w:tcPr>
                <w:p w14:paraId="1EEC0175">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6</w:t>
                  </w:r>
                </w:p>
              </w:tc>
              <w:tc>
                <w:tcPr>
                  <w:tcW w:w="4295" w:type="dxa"/>
                  <w:vAlign w:val="center"/>
                </w:tcPr>
                <w:p w14:paraId="53EBE450">
                  <w:pPr>
                    <w:adjustRightInd w:val="0"/>
                    <w:snapToGrid w:val="0"/>
                    <w:jc w:val="left"/>
                    <w:rPr>
                      <w:b/>
                      <w:bCs/>
                      <w:strike w:val="0"/>
                      <w:dstrike w:val="0"/>
                      <w:color w:val="auto"/>
                      <w:szCs w:val="21"/>
                      <w:highlight w:val="none"/>
                    </w:rPr>
                  </w:pPr>
                  <w:r>
                    <w:rPr>
                      <w:strike w:val="0"/>
                      <w:dstrike w:val="0"/>
                      <w:color w:val="auto"/>
                      <w:szCs w:val="21"/>
                      <w:highlight w:val="none"/>
                    </w:rPr>
                    <w:t>禁止未经许可在长江干支流及湖泊新设、改设或扩大排污口。</w:t>
                  </w:r>
                </w:p>
              </w:tc>
              <w:tc>
                <w:tcPr>
                  <w:tcW w:w="2255" w:type="dxa"/>
                  <w:vAlign w:val="center"/>
                </w:tcPr>
                <w:p w14:paraId="2A4B2C8B">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项目废水排入</w:t>
                  </w:r>
                  <w:r>
                    <w:rPr>
                      <w:rFonts w:hint="eastAsia"/>
                      <w:strike w:val="0"/>
                      <w:dstrike w:val="0"/>
                      <w:color w:val="auto"/>
                      <w:szCs w:val="21"/>
                      <w:highlight w:val="none"/>
                      <w:lang w:eastAsia="zh-CN"/>
                    </w:rPr>
                    <w:t>微车基地污水处理厂</w:t>
                  </w:r>
                  <w:r>
                    <w:rPr>
                      <w:strike w:val="0"/>
                      <w:dstrike w:val="0"/>
                      <w:color w:val="auto"/>
                      <w:szCs w:val="21"/>
                      <w:highlight w:val="none"/>
                    </w:rPr>
                    <w:t>处理达标后排放，不单独设排污口。</w:t>
                  </w:r>
                </w:p>
              </w:tc>
              <w:tc>
                <w:tcPr>
                  <w:tcW w:w="611" w:type="dxa"/>
                  <w:vAlign w:val="center"/>
                </w:tcPr>
                <w:p w14:paraId="2FE16DC4">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6710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17" w:type="dxa"/>
                  <w:vAlign w:val="center"/>
                </w:tcPr>
                <w:p w14:paraId="2851E7A5">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7</w:t>
                  </w:r>
                </w:p>
              </w:tc>
              <w:tc>
                <w:tcPr>
                  <w:tcW w:w="4295" w:type="dxa"/>
                  <w:vAlign w:val="center"/>
                </w:tcPr>
                <w:p w14:paraId="38E2FAF2">
                  <w:pPr>
                    <w:adjustRightInd w:val="0"/>
                    <w:snapToGrid w:val="0"/>
                    <w:jc w:val="left"/>
                    <w:rPr>
                      <w:strike w:val="0"/>
                      <w:dstrike w:val="0"/>
                      <w:color w:val="auto"/>
                      <w:szCs w:val="21"/>
                      <w:highlight w:val="none"/>
                    </w:rPr>
                  </w:pPr>
                  <w:r>
                    <w:rPr>
                      <w:strike w:val="0"/>
                      <w:dstrike w:val="0"/>
                      <w:color w:val="auto"/>
                      <w:szCs w:val="21"/>
                      <w:highlight w:val="none"/>
                    </w:rPr>
                    <w:t>禁止在“一江一口两湖七河</w:t>
                  </w:r>
                  <w:r>
                    <w:rPr>
                      <w:rFonts w:hint="eastAsia"/>
                      <w:strike w:val="0"/>
                      <w:dstrike w:val="0"/>
                      <w:color w:val="auto"/>
                      <w:szCs w:val="21"/>
                      <w:highlight w:val="none"/>
                    </w:rPr>
                    <w:t>”</w:t>
                  </w:r>
                  <w:r>
                    <w:rPr>
                      <w:strike w:val="0"/>
                      <w:dstrike w:val="0"/>
                      <w:color w:val="auto"/>
                      <w:szCs w:val="21"/>
                      <w:highlight w:val="none"/>
                    </w:rPr>
                    <w:t>和332个水生生物保护区开展生产性捕捞。</w:t>
                  </w:r>
                </w:p>
              </w:tc>
              <w:tc>
                <w:tcPr>
                  <w:tcW w:w="2255" w:type="dxa"/>
                  <w:vAlign w:val="center"/>
                </w:tcPr>
                <w:p w14:paraId="2111EC0C">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项目不涉及。</w:t>
                  </w:r>
                </w:p>
              </w:tc>
              <w:tc>
                <w:tcPr>
                  <w:tcW w:w="611" w:type="dxa"/>
                  <w:vAlign w:val="center"/>
                </w:tcPr>
                <w:p w14:paraId="4D63818F">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688F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617" w:type="dxa"/>
                  <w:vAlign w:val="center"/>
                </w:tcPr>
                <w:p w14:paraId="47747271">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8</w:t>
                  </w:r>
                </w:p>
              </w:tc>
              <w:tc>
                <w:tcPr>
                  <w:tcW w:w="4295" w:type="dxa"/>
                  <w:vAlign w:val="center"/>
                </w:tcPr>
                <w:p w14:paraId="30B6E878">
                  <w:pPr>
                    <w:adjustRightInd w:val="0"/>
                    <w:snapToGrid w:val="0"/>
                    <w:jc w:val="left"/>
                    <w:rPr>
                      <w:strike w:val="0"/>
                      <w:dstrike w:val="0"/>
                      <w:color w:val="auto"/>
                      <w:szCs w:val="21"/>
                      <w:highlight w:val="none"/>
                    </w:rPr>
                  </w:pPr>
                  <w:r>
                    <w:rPr>
                      <w:strike w:val="0"/>
                      <w:dstrike w:val="0"/>
                      <w:color w:val="auto"/>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255" w:type="dxa"/>
                  <w:vAlign w:val="center"/>
                </w:tcPr>
                <w:p w14:paraId="788219D2">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项目不属于石化项目，不涉及尾矿库、冶炼渣库和磷石膏库。</w:t>
                  </w:r>
                </w:p>
              </w:tc>
              <w:tc>
                <w:tcPr>
                  <w:tcW w:w="611" w:type="dxa"/>
                  <w:vAlign w:val="center"/>
                </w:tcPr>
                <w:p w14:paraId="6F0FB656">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6FB8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617" w:type="dxa"/>
                  <w:vAlign w:val="center"/>
                </w:tcPr>
                <w:p w14:paraId="1AA87476">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9</w:t>
                  </w:r>
                </w:p>
              </w:tc>
              <w:tc>
                <w:tcPr>
                  <w:tcW w:w="4295" w:type="dxa"/>
                  <w:vAlign w:val="center"/>
                </w:tcPr>
                <w:p w14:paraId="099648EC">
                  <w:pPr>
                    <w:adjustRightInd w:val="0"/>
                    <w:snapToGrid w:val="0"/>
                    <w:jc w:val="left"/>
                    <w:rPr>
                      <w:strike w:val="0"/>
                      <w:dstrike w:val="0"/>
                      <w:color w:val="auto"/>
                      <w:szCs w:val="21"/>
                      <w:highlight w:val="none"/>
                    </w:rPr>
                  </w:pPr>
                  <w:r>
                    <w:rPr>
                      <w:strike w:val="0"/>
                      <w:dstrike w:val="0"/>
                      <w:color w:val="auto"/>
                      <w:szCs w:val="21"/>
                      <w:highlight w:val="none"/>
                    </w:rPr>
                    <w:t>禁止在合规园区外新建、扩建钢铁、石化、化工、焦化、建材、有色、制浆造纸等高污染项目。</w:t>
                  </w:r>
                </w:p>
              </w:tc>
              <w:tc>
                <w:tcPr>
                  <w:tcW w:w="2255" w:type="dxa"/>
                  <w:vAlign w:val="center"/>
                </w:tcPr>
                <w:p w14:paraId="07603A5E">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项目位于重庆市合川区土场镇杨柳村三社，不属于高污染项目。</w:t>
                  </w:r>
                </w:p>
              </w:tc>
              <w:tc>
                <w:tcPr>
                  <w:tcW w:w="611" w:type="dxa"/>
                  <w:vAlign w:val="center"/>
                </w:tcPr>
                <w:p w14:paraId="2A6F2A19">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49EC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17" w:type="dxa"/>
                  <w:vAlign w:val="center"/>
                </w:tcPr>
                <w:p w14:paraId="69E24D0E">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10</w:t>
                  </w:r>
                </w:p>
              </w:tc>
              <w:tc>
                <w:tcPr>
                  <w:tcW w:w="4295" w:type="dxa"/>
                  <w:vAlign w:val="center"/>
                </w:tcPr>
                <w:p w14:paraId="4CDC0017">
                  <w:pPr>
                    <w:adjustRightInd w:val="0"/>
                    <w:snapToGrid w:val="0"/>
                    <w:jc w:val="left"/>
                    <w:rPr>
                      <w:strike w:val="0"/>
                      <w:dstrike w:val="0"/>
                      <w:color w:val="auto"/>
                      <w:szCs w:val="21"/>
                      <w:highlight w:val="none"/>
                    </w:rPr>
                  </w:pPr>
                  <w:r>
                    <w:rPr>
                      <w:strike w:val="0"/>
                      <w:dstrike w:val="0"/>
                      <w:color w:val="auto"/>
                      <w:szCs w:val="21"/>
                      <w:highlight w:val="none"/>
                    </w:rPr>
                    <w:t>禁止新建、扩建不符合国家石化、现代煤化工等产业布局规划的项目。</w:t>
                  </w:r>
                </w:p>
              </w:tc>
              <w:tc>
                <w:tcPr>
                  <w:tcW w:w="2255" w:type="dxa"/>
                  <w:vAlign w:val="center"/>
                </w:tcPr>
                <w:p w14:paraId="36AF0E75">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项目不属于石化、现代煤化工等目。</w:t>
                  </w:r>
                </w:p>
              </w:tc>
              <w:tc>
                <w:tcPr>
                  <w:tcW w:w="611" w:type="dxa"/>
                  <w:vAlign w:val="center"/>
                </w:tcPr>
                <w:p w14:paraId="706ECB95">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4A98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617" w:type="dxa"/>
                  <w:vAlign w:val="center"/>
                </w:tcPr>
                <w:p w14:paraId="2098E58F">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11</w:t>
                  </w:r>
                </w:p>
              </w:tc>
              <w:tc>
                <w:tcPr>
                  <w:tcW w:w="4295" w:type="dxa"/>
                  <w:vAlign w:val="center"/>
                </w:tcPr>
                <w:p w14:paraId="7328A0CE">
                  <w:pPr>
                    <w:adjustRightInd w:val="0"/>
                    <w:snapToGrid w:val="0"/>
                    <w:jc w:val="left"/>
                    <w:rPr>
                      <w:strike w:val="0"/>
                      <w:dstrike w:val="0"/>
                      <w:color w:val="auto"/>
                      <w:szCs w:val="21"/>
                      <w:highlight w:val="none"/>
                    </w:rPr>
                  </w:pPr>
                  <w:r>
                    <w:rPr>
                      <w:strike w:val="0"/>
                      <w:dstrike w:val="0"/>
                      <w:color w:val="auto"/>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2255" w:type="dxa"/>
                  <w:vAlign w:val="center"/>
                </w:tcPr>
                <w:p w14:paraId="3CCA4FD2">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项目不属于禁止的落后产能项目，不属于过剩产能行业，不属于高耗能高排放项目。</w:t>
                  </w:r>
                </w:p>
              </w:tc>
              <w:tc>
                <w:tcPr>
                  <w:tcW w:w="611" w:type="dxa"/>
                  <w:vAlign w:val="center"/>
                </w:tcPr>
                <w:p w14:paraId="7F7A3593">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r w14:paraId="05C0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17" w:type="dxa"/>
                  <w:vAlign w:val="center"/>
                </w:tcPr>
                <w:p w14:paraId="2888345C">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12</w:t>
                  </w:r>
                </w:p>
              </w:tc>
              <w:tc>
                <w:tcPr>
                  <w:tcW w:w="4295" w:type="dxa"/>
                  <w:vAlign w:val="center"/>
                </w:tcPr>
                <w:p w14:paraId="07DC512A">
                  <w:pPr>
                    <w:adjustRightInd w:val="0"/>
                    <w:snapToGrid w:val="0"/>
                    <w:jc w:val="left"/>
                    <w:rPr>
                      <w:strike w:val="0"/>
                      <w:dstrike w:val="0"/>
                      <w:color w:val="auto"/>
                      <w:szCs w:val="21"/>
                      <w:highlight w:val="none"/>
                    </w:rPr>
                  </w:pPr>
                  <w:r>
                    <w:rPr>
                      <w:strike w:val="0"/>
                      <w:dstrike w:val="0"/>
                      <w:color w:val="auto"/>
                      <w:szCs w:val="21"/>
                      <w:highlight w:val="none"/>
                    </w:rPr>
                    <w:t>法律法规及相关政策文件有更加严格规定的从其规定。</w:t>
                  </w:r>
                </w:p>
              </w:tc>
              <w:tc>
                <w:tcPr>
                  <w:tcW w:w="2255" w:type="dxa"/>
                  <w:vAlign w:val="center"/>
                </w:tcPr>
                <w:p w14:paraId="082BB8E4">
                  <w:pPr>
                    <w:autoSpaceDE w:val="0"/>
                    <w:autoSpaceDN w:val="0"/>
                    <w:adjustRightInd w:val="0"/>
                    <w:textAlignment w:val="baseline"/>
                    <w:rPr>
                      <w:strike w:val="0"/>
                      <w:dstrike w:val="0"/>
                      <w:color w:val="auto"/>
                      <w:szCs w:val="21"/>
                      <w:highlight w:val="none"/>
                    </w:rPr>
                  </w:pPr>
                  <w:r>
                    <w:rPr>
                      <w:strike w:val="0"/>
                      <w:dstrike w:val="0"/>
                      <w:color w:val="auto"/>
                      <w:szCs w:val="21"/>
                      <w:highlight w:val="none"/>
                    </w:rPr>
                    <w:t>项目遵守相关法律法规要求。</w:t>
                  </w:r>
                </w:p>
              </w:tc>
              <w:tc>
                <w:tcPr>
                  <w:tcW w:w="611" w:type="dxa"/>
                  <w:vAlign w:val="center"/>
                </w:tcPr>
                <w:p w14:paraId="4422A06D">
                  <w:pPr>
                    <w:autoSpaceDE w:val="0"/>
                    <w:autoSpaceDN w:val="0"/>
                    <w:adjustRightInd w:val="0"/>
                    <w:jc w:val="center"/>
                    <w:textAlignment w:val="baseline"/>
                    <w:rPr>
                      <w:strike w:val="0"/>
                      <w:dstrike w:val="0"/>
                      <w:color w:val="auto"/>
                      <w:szCs w:val="21"/>
                      <w:highlight w:val="none"/>
                    </w:rPr>
                  </w:pPr>
                  <w:r>
                    <w:rPr>
                      <w:strike w:val="0"/>
                      <w:dstrike w:val="0"/>
                      <w:color w:val="auto"/>
                      <w:szCs w:val="21"/>
                      <w:highlight w:val="none"/>
                    </w:rPr>
                    <w:t>符合</w:t>
                  </w:r>
                </w:p>
              </w:tc>
            </w:tr>
          </w:tbl>
          <w:p w14:paraId="085AAF24">
            <w:pPr>
              <w:adjustRightInd w:val="0"/>
              <w:snapToGrid w:val="0"/>
              <w:spacing w:line="360" w:lineRule="auto"/>
              <w:ind w:firstLine="480" w:firstLineChars="200"/>
              <w:rPr>
                <w:bCs/>
                <w:strike w:val="0"/>
                <w:dstrike w:val="0"/>
                <w:color w:val="auto"/>
                <w:sz w:val="24"/>
                <w:highlight w:val="none"/>
              </w:rPr>
            </w:pPr>
            <w:r>
              <w:rPr>
                <w:strike w:val="0"/>
                <w:dstrike w:val="0"/>
                <w:color w:val="auto"/>
                <w:sz w:val="24"/>
                <w:highlight w:val="none"/>
              </w:rPr>
              <w:t>由上表可知，本项目符合《长江经济带发展负面清单指南（试行，2022年版）》（长江办[2022]7号）中相应要求</w:t>
            </w:r>
            <w:r>
              <w:rPr>
                <w:bCs/>
                <w:strike w:val="0"/>
                <w:dstrike w:val="0"/>
                <w:color w:val="auto"/>
                <w:sz w:val="24"/>
                <w:highlight w:val="none"/>
              </w:rPr>
              <w:t>。</w:t>
            </w:r>
          </w:p>
          <w:p w14:paraId="053C36F5">
            <w:pPr>
              <w:spacing w:line="360" w:lineRule="auto"/>
              <w:jc w:val="left"/>
              <w:rPr>
                <w:b/>
                <w:bCs/>
                <w:strike w:val="0"/>
                <w:dstrike w:val="0"/>
                <w:color w:val="auto"/>
                <w:sz w:val="24"/>
                <w:highlight w:val="none"/>
              </w:rPr>
            </w:pPr>
            <w:r>
              <w:rPr>
                <w:b/>
                <w:bCs/>
                <w:strike w:val="0"/>
                <w:dstrike w:val="0"/>
                <w:color w:val="auto"/>
                <w:sz w:val="24"/>
                <w:highlight w:val="none"/>
              </w:rPr>
              <w:t>1.1</w:t>
            </w:r>
            <w:r>
              <w:rPr>
                <w:rFonts w:hint="eastAsia"/>
                <w:b/>
                <w:bCs/>
                <w:strike w:val="0"/>
                <w:dstrike w:val="0"/>
                <w:color w:val="auto"/>
                <w:sz w:val="24"/>
                <w:highlight w:val="none"/>
              </w:rPr>
              <w:t>3</w:t>
            </w:r>
            <w:r>
              <w:rPr>
                <w:b/>
                <w:bCs/>
                <w:strike w:val="0"/>
                <w:dstrike w:val="0"/>
                <w:color w:val="auto"/>
                <w:sz w:val="24"/>
                <w:highlight w:val="none"/>
              </w:rPr>
              <w:t>与《汽车加油加气加氢站技术标准》（GB50156-2021）的符合性分析</w:t>
            </w:r>
          </w:p>
          <w:p w14:paraId="26F4FC79">
            <w:pPr>
              <w:spacing w:line="360" w:lineRule="auto"/>
              <w:ind w:firstLine="480" w:firstLineChars="200"/>
              <w:jc w:val="left"/>
              <w:rPr>
                <w:rFonts w:hint="default"/>
                <w:strike w:val="0"/>
                <w:dstrike w:val="0"/>
                <w:color w:val="auto"/>
                <w:sz w:val="24"/>
                <w:highlight w:val="none"/>
                <w:lang w:val="en-US"/>
              </w:rPr>
            </w:pPr>
            <w:r>
              <w:rPr>
                <w:rFonts w:hint="eastAsia"/>
                <w:strike w:val="0"/>
                <w:dstrike w:val="0"/>
                <w:color w:val="auto"/>
                <w:sz w:val="24"/>
                <w:highlight w:val="none"/>
                <w:lang w:val="en-US" w:eastAsia="zh-CN"/>
              </w:rPr>
              <w:t>本项目属于二级站，南侧有中微大道（城市主干道），北侧有架空电力线路（无绝缘层）。</w:t>
            </w:r>
            <w:r>
              <w:rPr>
                <w:strike w:val="0"/>
                <w:dstrike w:val="0"/>
                <w:color w:val="auto"/>
                <w:sz w:val="24"/>
                <w:highlight w:val="none"/>
              </w:rPr>
              <w:t>站内间距及与周围建筑之间的距离都严格按《汽车加油加气加氢站技术标准》</w:t>
            </w:r>
            <w:r>
              <w:rPr>
                <w:rFonts w:hint="eastAsia"/>
                <w:strike w:val="0"/>
                <w:dstrike w:val="0"/>
                <w:color w:val="auto"/>
                <w:sz w:val="24"/>
                <w:highlight w:val="none"/>
              </w:rPr>
              <w:t>（</w:t>
            </w:r>
            <w:r>
              <w:rPr>
                <w:strike w:val="0"/>
                <w:dstrike w:val="0"/>
                <w:color w:val="auto"/>
                <w:sz w:val="24"/>
                <w:highlight w:val="none"/>
              </w:rPr>
              <w:t>GB50156-2021</w:t>
            </w:r>
            <w:r>
              <w:rPr>
                <w:rFonts w:hint="eastAsia"/>
                <w:strike w:val="0"/>
                <w:dstrike w:val="0"/>
                <w:color w:val="auto"/>
                <w:highlight w:val="none"/>
              </w:rPr>
              <w:t>）</w:t>
            </w:r>
            <w:r>
              <w:rPr>
                <w:strike w:val="0"/>
                <w:dstrike w:val="0"/>
                <w:color w:val="auto"/>
                <w:sz w:val="24"/>
                <w:highlight w:val="none"/>
              </w:rPr>
              <w:t>控制，消防车道的设置使各建构筑物都有足够的的消防扑救面，单车道宽度大于4m，双车道大于6m。站内汽、柴油设备与站外构筑物安全防火距离见表1.1</w:t>
            </w:r>
            <w:r>
              <w:rPr>
                <w:rFonts w:hint="eastAsia"/>
                <w:strike w:val="0"/>
                <w:dstrike w:val="0"/>
                <w:color w:val="auto"/>
                <w:sz w:val="24"/>
                <w:highlight w:val="none"/>
              </w:rPr>
              <w:t>3</w:t>
            </w:r>
            <w:r>
              <w:rPr>
                <w:strike w:val="0"/>
                <w:dstrike w:val="0"/>
                <w:color w:val="auto"/>
                <w:sz w:val="24"/>
                <w:highlight w:val="none"/>
              </w:rPr>
              <w:t>-1，站内LNG加气设备与站外构筑物安全防火距离见表1.1</w:t>
            </w:r>
            <w:r>
              <w:rPr>
                <w:rFonts w:hint="eastAsia"/>
                <w:strike w:val="0"/>
                <w:dstrike w:val="0"/>
                <w:color w:val="auto"/>
                <w:sz w:val="24"/>
                <w:highlight w:val="none"/>
              </w:rPr>
              <w:t>3</w:t>
            </w:r>
            <w:r>
              <w:rPr>
                <w:strike w:val="0"/>
                <w:dstrike w:val="0"/>
                <w:color w:val="auto"/>
                <w:sz w:val="24"/>
                <w:highlight w:val="none"/>
              </w:rPr>
              <w:t>-2。</w:t>
            </w:r>
            <w:r>
              <w:rPr>
                <w:rFonts w:hint="eastAsia"/>
                <w:strike w:val="0"/>
                <w:dstrike w:val="0"/>
                <w:color w:val="auto"/>
                <w:sz w:val="24"/>
                <w:highlight w:val="none"/>
                <w:lang w:val="en-US" w:eastAsia="zh-CN"/>
              </w:rPr>
              <w:t>汽油、柴油工艺设备站内设施的防火间距见表1.13-3，LNG工艺设备站内设施的防火间距见表1.13-4。</w:t>
            </w:r>
          </w:p>
          <w:p w14:paraId="5015AA04">
            <w:pPr>
              <w:jc w:val="center"/>
              <w:rPr>
                <w:b/>
                <w:bCs/>
                <w:strike w:val="0"/>
                <w:dstrike w:val="0"/>
                <w:color w:val="auto"/>
                <w:sz w:val="24"/>
                <w:szCs w:val="32"/>
                <w:highlight w:val="none"/>
              </w:rPr>
            </w:pPr>
            <w:r>
              <w:rPr>
                <w:b/>
                <w:bCs/>
                <w:strike w:val="0"/>
                <w:dstrike w:val="0"/>
                <w:color w:val="auto"/>
                <w:sz w:val="24"/>
                <w:szCs w:val="32"/>
                <w:highlight w:val="none"/>
              </w:rPr>
              <w:t>表1.1</w:t>
            </w:r>
            <w:r>
              <w:rPr>
                <w:rFonts w:hint="eastAsia"/>
                <w:b/>
                <w:bCs/>
                <w:strike w:val="0"/>
                <w:dstrike w:val="0"/>
                <w:color w:val="auto"/>
                <w:sz w:val="24"/>
                <w:szCs w:val="32"/>
                <w:highlight w:val="none"/>
              </w:rPr>
              <w:t>3</w:t>
            </w:r>
            <w:r>
              <w:rPr>
                <w:b/>
                <w:bCs/>
                <w:strike w:val="0"/>
                <w:dstrike w:val="0"/>
                <w:color w:val="auto"/>
                <w:sz w:val="24"/>
                <w:szCs w:val="32"/>
                <w:highlight w:val="none"/>
              </w:rPr>
              <w:t>-1  项目汽、柴油设备</w:t>
            </w:r>
            <w:r>
              <w:rPr>
                <w:rFonts w:hint="eastAsia"/>
                <w:b/>
                <w:bCs/>
                <w:strike w:val="0"/>
                <w:dstrike w:val="0"/>
                <w:color w:val="auto"/>
                <w:sz w:val="24"/>
                <w:szCs w:val="32"/>
                <w:highlight w:val="none"/>
                <w:lang w:eastAsia="zh-CN"/>
              </w:rPr>
              <w:t>（</w:t>
            </w:r>
            <w:r>
              <w:rPr>
                <w:rFonts w:hint="eastAsia"/>
                <w:b/>
                <w:bCs/>
                <w:strike w:val="0"/>
                <w:dstrike w:val="0"/>
                <w:color w:val="auto"/>
                <w:sz w:val="24"/>
                <w:szCs w:val="32"/>
                <w:highlight w:val="none"/>
                <w:lang w:val="en-US" w:eastAsia="zh-CN"/>
              </w:rPr>
              <w:t>二级站</w:t>
            </w:r>
            <w:r>
              <w:rPr>
                <w:rFonts w:hint="eastAsia"/>
                <w:b/>
                <w:bCs/>
                <w:strike w:val="0"/>
                <w:dstrike w:val="0"/>
                <w:color w:val="auto"/>
                <w:sz w:val="24"/>
                <w:szCs w:val="32"/>
                <w:highlight w:val="none"/>
                <w:lang w:eastAsia="zh-CN"/>
              </w:rPr>
              <w:t>）</w:t>
            </w:r>
            <w:r>
              <w:rPr>
                <w:b/>
                <w:bCs/>
                <w:strike w:val="0"/>
                <w:dstrike w:val="0"/>
                <w:color w:val="auto"/>
                <w:sz w:val="24"/>
                <w:szCs w:val="32"/>
                <w:highlight w:val="none"/>
              </w:rPr>
              <w:t>与站外构筑物安全防火距离</w:t>
            </w:r>
          </w:p>
          <w:p w14:paraId="2B3D4580">
            <w:pPr>
              <w:jc w:val="center"/>
              <w:rPr>
                <w:b/>
                <w:bCs/>
                <w:strike w:val="0"/>
                <w:dstrike w:val="0"/>
                <w:color w:val="auto"/>
                <w:sz w:val="24"/>
                <w:szCs w:val="32"/>
                <w:highlight w:val="none"/>
              </w:rPr>
            </w:pPr>
            <w:r>
              <w:rPr>
                <w:b/>
                <w:bCs/>
                <w:strike w:val="0"/>
                <w:dstrike w:val="0"/>
                <w:color w:val="auto"/>
                <w:sz w:val="24"/>
                <w:szCs w:val="32"/>
                <w:highlight w:val="none"/>
              </w:rPr>
              <w:t>（单位：m）</w:t>
            </w:r>
          </w:p>
          <w:tbl>
            <w:tblPr>
              <w:tblStyle w:val="23"/>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3"/>
              <w:gridCol w:w="901"/>
              <w:gridCol w:w="931"/>
              <w:gridCol w:w="756"/>
              <w:gridCol w:w="913"/>
              <w:gridCol w:w="675"/>
              <w:gridCol w:w="921"/>
            </w:tblGrid>
            <w:tr w14:paraId="4FA5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43" w:type="dxa"/>
                  <w:vMerge w:val="restart"/>
                  <w:vAlign w:val="center"/>
                </w:tcPr>
                <w:p w14:paraId="3FA73424">
                  <w:pPr>
                    <w:pStyle w:val="43"/>
                    <w:kinsoku w:val="0"/>
                    <w:overflowPunct w:val="0"/>
                    <w:jc w:val="center"/>
                    <w:rPr>
                      <w:rFonts w:hint="default" w:eastAsia="宋体"/>
                      <w:b/>
                      <w:bCs/>
                      <w:strike w:val="0"/>
                      <w:dstrike w:val="0"/>
                      <w:color w:val="auto"/>
                      <w:sz w:val="21"/>
                      <w:szCs w:val="21"/>
                      <w:highlight w:val="none"/>
                      <w:lang w:val="en-US" w:eastAsia="zh-CN"/>
                    </w:rPr>
                  </w:pPr>
                  <w:r>
                    <w:rPr>
                      <w:rFonts w:hint="eastAsia"/>
                      <w:b/>
                      <w:bCs/>
                      <w:strike w:val="0"/>
                      <w:dstrike w:val="0"/>
                      <w:color w:val="auto"/>
                      <w:sz w:val="21"/>
                      <w:szCs w:val="21"/>
                      <w:highlight w:val="none"/>
                      <w:lang w:val="en-US" w:eastAsia="zh-CN"/>
                    </w:rPr>
                    <w:t>站外建（构）筑物</w:t>
                  </w:r>
                </w:p>
              </w:tc>
              <w:tc>
                <w:tcPr>
                  <w:tcW w:w="1832" w:type="dxa"/>
                  <w:gridSpan w:val="2"/>
                  <w:vAlign w:val="center"/>
                </w:tcPr>
                <w:p w14:paraId="0D794A31">
                  <w:pPr>
                    <w:pStyle w:val="43"/>
                    <w:kinsoku w:val="0"/>
                    <w:overflowPunct w:val="0"/>
                    <w:jc w:val="center"/>
                    <w:rPr>
                      <w:rFonts w:hint="eastAsia" w:eastAsia="宋体"/>
                      <w:b/>
                      <w:bCs/>
                      <w:strike w:val="0"/>
                      <w:dstrike w:val="0"/>
                      <w:color w:val="auto"/>
                      <w:kern w:val="2"/>
                      <w:sz w:val="21"/>
                      <w:szCs w:val="21"/>
                      <w:highlight w:val="none"/>
                      <w:lang w:val="en-US" w:eastAsia="zh-CN"/>
                    </w:rPr>
                  </w:pPr>
                  <w:r>
                    <w:rPr>
                      <w:rFonts w:hint="eastAsia"/>
                      <w:b/>
                      <w:bCs/>
                      <w:strike w:val="0"/>
                      <w:dstrike w:val="0"/>
                      <w:color w:val="auto"/>
                      <w:kern w:val="2"/>
                      <w:sz w:val="21"/>
                      <w:szCs w:val="21"/>
                      <w:highlight w:val="none"/>
                      <w:lang w:val="en-US" w:eastAsia="zh-CN"/>
                    </w:rPr>
                    <w:t>埋地油罐</w:t>
                  </w:r>
                </w:p>
              </w:tc>
              <w:tc>
                <w:tcPr>
                  <w:tcW w:w="1669" w:type="dxa"/>
                  <w:gridSpan w:val="2"/>
                  <w:vAlign w:val="center"/>
                </w:tcPr>
                <w:p w14:paraId="58D627E8">
                  <w:pPr>
                    <w:pStyle w:val="43"/>
                    <w:kinsoku w:val="0"/>
                    <w:overflowPunct w:val="0"/>
                    <w:jc w:val="center"/>
                    <w:rPr>
                      <w:b/>
                      <w:bCs/>
                      <w:strike w:val="0"/>
                      <w:dstrike w:val="0"/>
                      <w:color w:val="auto"/>
                      <w:kern w:val="2"/>
                      <w:sz w:val="21"/>
                      <w:szCs w:val="21"/>
                      <w:highlight w:val="none"/>
                    </w:rPr>
                  </w:pPr>
                  <w:r>
                    <w:rPr>
                      <w:rFonts w:hint="eastAsia"/>
                      <w:b/>
                      <w:bCs/>
                      <w:strike w:val="0"/>
                      <w:dstrike w:val="0"/>
                      <w:color w:val="auto"/>
                      <w:kern w:val="2"/>
                      <w:sz w:val="21"/>
                      <w:szCs w:val="21"/>
                      <w:highlight w:val="none"/>
                      <w:lang w:val="en-US" w:eastAsia="zh-CN"/>
                    </w:rPr>
                    <w:t>通气管管口</w:t>
                  </w:r>
                </w:p>
              </w:tc>
              <w:tc>
                <w:tcPr>
                  <w:tcW w:w="1596" w:type="dxa"/>
                  <w:gridSpan w:val="2"/>
                  <w:vAlign w:val="center"/>
                </w:tcPr>
                <w:p w14:paraId="5723AF55">
                  <w:pPr>
                    <w:pStyle w:val="43"/>
                    <w:kinsoku w:val="0"/>
                    <w:overflowPunct w:val="0"/>
                    <w:jc w:val="center"/>
                    <w:rPr>
                      <w:rFonts w:hint="eastAsia" w:eastAsia="宋体"/>
                      <w:b/>
                      <w:bCs/>
                      <w:strike w:val="0"/>
                      <w:dstrike w:val="0"/>
                      <w:color w:val="auto"/>
                      <w:sz w:val="21"/>
                      <w:szCs w:val="21"/>
                      <w:highlight w:val="none"/>
                      <w:lang w:val="en-US" w:eastAsia="zh-CN"/>
                    </w:rPr>
                  </w:pPr>
                  <w:r>
                    <w:rPr>
                      <w:rFonts w:hint="eastAsia"/>
                      <w:b/>
                      <w:bCs/>
                      <w:strike w:val="0"/>
                      <w:dstrike w:val="0"/>
                      <w:color w:val="auto"/>
                      <w:sz w:val="21"/>
                      <w:szCs w:val="21"/>
                      <w:highlight w:val="none"/>
                      <w:lang w:val="en-US" w:eastAsia="zh-CN"/>
                    </w:rPr>
                    <w:t>加油机</w:t>
                  </w:r>
                </w:p>
              </w:tc>
            </w:tr>
            <w:tr w14:paraId="6D62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43" w:type="dxa"/>
                  <w:vMerge w:val="continue"/>
                  <w:vAlign w:val="center"/>
                </w:tcPr>
                <w:p w14:paraId="3A17BDC2">
                  <w:pPr>
                    <w:pStyle w:val="43"/>
                    <w:kinsoku w:val="0"/>
                    <w:overflowPunct w:val="0"/>
                    <w:jc w:val="center"/>
                    <w:rPr>
                      <w:rFonts w:hint="default" w:eastAsia="宋体"/>
                      <w:b/>
                      <w:bCs/>
                      <w:strike w:val="0"/>
                      <w:dstrike w:val="0"/>
                      <w:color w:val="auto"/>
                      <w:sz w:val="21"/>
                      <w:szCs w:val="21"/>
                      <w:highlight w:val="none"/>
                      <w:lang w:val="en-US" w:eastAsia="zh-CN"/>
                    </w:rPr>
                  </w:pPr>
                </w:p>
              </w:tc>
              <w:tc>
                <w:tcPr>
                  <w:tcW w:w="901" w:type="dxa"/>
                  <w:shd w:val="clear" w:color="auto" w:fill="auto"/>
                  <w:vAlign w:val="center"/>
                </w:tcPr>
                <w:p w14:paraId="70ADD9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规范</w:t>
                  </w:r>
                </w:p>
              </w:tc>
              <w:tc>
                <w:tcPr>
                  <w:tcW w:w="931" w:type="dxa"/>
                  <w:shd w:val="clear" w:color="auto" w:fill="auto"/>
                  <w:vAlign w:val="center"/>
                </w:tcPr>
                <w:p w14:paraId="12E7EC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本项目</w:t>
                  </w:r>
                </w:p>
              </w:tc>
              <w:tc>
                <w:tcPr>
                  <w:tcW w:w="756" w:type="dxa"/>
                  <w:shd w:val="clear" w:color="auto" w:fill="auto"/>
                  <w:vAlign w:val="center"/>
                </w:tcPr>
                <w:p w14:paraId="361B8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规范</w:t>
                  </w:r>
                </w:p>
              </w:tc>
              <w:tc>
                <w:tcPr>
                  <w:tcW w:w="913" w:type="dxa"/>
                  <w:shd w:val="clear" w:color="auto" w:fill="auto"/>
                  <w:vAlign w:val="center"/>
                </w:tcPr>
                <w:p w14:paraId="50180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本项目</w:t>
                  </w:r>
                </w:p>
              </w:tc>
              <w:tc>
                <w:tcPr>
                  <w:tcW w:w="675" w:type="dxa"/>
                  <w:vAlign w:val="center"/>
                </w:tcPr>
                <w:p w14:paraId="6F2318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21"/>
                      <w:szCs w:val="21"/>
                      <w:highlight w:val="none"/>
                    </w:rPr>
                  </w:pPr>
                  <w:r>
                    <w:rPr>
                      <w:rFonts w:hint="eastAsia"/>
                      <w:b/>
                      <w:bCs/>
                      <w:strike w:val="0"/>
                      <w:dstrike w:val="0"/>
                      <w:color w:val="auto"/>
                      <w:sz w:val="21"/>
                      <w:szCs w:val="21"/>
                      <w:highlight w:val="none"/>
                      <w:vertAlign w:val="baseline"/>
                      <w:lang w:val="en-US" w:eastAsia="zh-CN"/>
                    </w:rPr>
                    <w:t>规范</w:t>
                  </w:r>
                </w:p>
              </w:tc>
              <w:tc>
                <w:tcPr>
                  <w:tcW w:w="921" w:type="dxa"/>
                  <w:vAlign w:val="center"/>
                </w:tcPr>
                <w:p w14:paraId="4A643D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21"/>
                      <w:szCs w:val="21"/>
                      <w:highlight w:val="none"/>
                    </w:rPr>
                  </w:pPr>
                  <w:r>
                    <w:rPr>
                      <w:rFonts w:hint="eastAsia"/>
                      <w:b/>
                      <w:bCs/>
                      <w:strike w:val="0"/>
                      <w:dstrike w:val="0"/>
                      <w:color w:val="auto"/>
                      <w:sz w:val="21"/>
                      <w:szCs w:val="21"/>
                      <w:highlight w:val="none"/>
                      <w:vertAlign w:val="baseline"/>
                      <w:lang w:val="en-US" w:eastAsia="zh-CN"/>
                    </w:rPr>
                    <w:t>本项目</w:t>
                  </w:r>
                </w:p>
              </w:tc>
            </w:tr>
            <w:tr w14:paraId="4CDA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643" w:type="dxa"/>
                  <w:shd w:val="clear" w:color="auto" w:fill="auto"/>
                  <w:vAlign w:val="center"/>
                </w:tcPr>
                <w:p w14:paraId="13A8CF64">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城市快速路、主干路和高速公路、一二级公路</w:t>
                  </w:r>
                </w:p>
              </w:tc>
              <w:tc>
                <w:tcPr>
                  <w:tcW w:w="901" w:type="dxa"/>
                  <w:vAlign w:val="center"/>
                </w:tcPr>
                <w:p w14:paraId="1CB552DD">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3</w:t>
                  </w:r>
                </w:p>
              </w:tc>
              <w:tc>
                <w:tcPr>
                  <w:tcW w:w="931" w:type="dxa"/>
                  <w:vAlign w:val="center"/>
                </w:tcPr>
                <w:p w14:paraId="1EB09DA9">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28</w:t>
                  </w:r>
                </w:p>
              </w:tc>
              <w:tc>
                <w:tcPr>
                  <w:tcW w:w="756" w:type="dxa"/>
                  <w:vAlign w:val="center"/>
                </w:tcPr>
                <w:p w14:paraId="5AB5D88E">
                  <w:pPr>
                    <w:pStyle w:val="43"/>
                    <w:kinsoku w:val="0"/>
                    <w:overflowPunct w:val="0"/>
                    <w:jc w:val="center"/>
                    <w:rPr>
                      <w:rFonts w:hint="eastAsia"/>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3</w:t>
                  </w:r>
                </w:p>
              </w:tc>
              <w:tc>
                <w:tcPr>
                  <w:tcW w:w="913" w:type="dxa"/>
                  <w:vAlign w:val="center"/>
                </w:tcPr>
                <w:p w14:paraId="175A7226">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35</w:t>
                  </w:r>
                </w:p>
              </w:tc>
              <w:tc>
                <w:tcPr>
                  <w:tcW w:w="675" w:type="dxa"/>
                  <w:vAlign w:val="center"/>
                </w:tcPr>
                <w:p w14:paraId="2675C359">
                  <w:pPr>
                    <w:pStyle w:val="43"/>
                    <w:kinsoku w:val="0"/>
                    <w:overflowPunct w:val="0"/>
                    <w:jc w:val="center"/>
                    <w:rPr>
                      <w:rFonts w:hint="eastAsia"/>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3</w:t>
                  </w:r>
                </w:p>
              </w:tc>
              <w:tc>
                <w:tcPr>
                  <w:tcW w:w="921" w:type="dxa"/>
                  <w:vAlign w:val="center"/>
                </w:tcPr>
                <w:p w14:paraId="2C8D1B91">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13.5</w:t>
                  </w:r>
                </w:p>
              </w:tc>
            </w:tr>
            <w:tr w14:paraId="338E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643" w:type="dxa"/>
                  <w:vAlign w:val="center"/>
                </w:tcPr>
                <w:p w14:paraId="781FB0B7">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架空电力线路（无绝缘层）</w:t>
                  </w:r>
                </w:p>
              </w:tc>
              <w:tc>
                <w:tcPr>
                  <w:tcW w:w="901" w:type="dxa"/>
                  <w:vAlign w:val="center"/>
                </w:tcPr>
                <w:p w14:paraId="21AE28F4">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0.75H且≥6.5</w:t>
                  </w:r>
                </w:p>
              </w:tc>
              <w:tc>
                <w:tcPr>
                  <w:tcW w:w="931" w:type="dxa"/>
                  <w:vAlign w:val="center"/>
                </w:tcPr>
                <w:p w14:paraId="0C1ABDA2">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57</w:t>
                  </w:r>
                </w:p>
              </w:tc>
              <w:tc>
                <w:tcPr>
                  <w:tcW w:w="756" w:type="dxa"/>
                  <w:vAlign w:val="center"/>
                </w:tcPr>
                <w:p w14:paraId="46FCD641">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6.5</w:t>
                  </w:r>
                </w:p>
              </w:tc>
              <w:tc>
                <w:tcPr>
                  <w:tcW w:w="913" w:type="dxa"/>
                  <w:vAlign w:val="center"/>
                </w:tcPr>
                <w:p w14:paraId="24388753">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63</w:t>
                  </w:r>
                </w:p>
              </w:tc>
              <w:tc>
                <w:tcPr>
                  <w:tcW w:w="675" w:type="dxa"/>
                  <w:vAlign w:val="center"/>
                </w:tcPr>
                <w:p w14:paraId="2BD2DD5F">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6.5</w:t>
                  </w:r>
                </w:p>
              </w:tc>
              <w:tc>
                <w:tcPr>
                  <w:tcW w:w="921" w:type="dxa"/>
                  <w:vAlign w:val="center"/>
                </w:tcPr>
                <w:p w14:paraId="721F2824">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41</w:t>
                  </w:r>
                </w:p>
              </w:tc>
            </w:tr>
            <w:tr w14:paraId="208C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7740" w:type="dxa"/>
                  <w:gridSpan w:val="7"/>
                  <w:vAlign w:val="center"/>
                </w:tcPr>
                <w:p w14:paraId="55D46DA4">
                  <w:pPr>
                    <w:keepNext w:val="0"/>
                    <w:keepLines w:val="0"/>
                    <w:pageBreakBefore w:val="0"/>
                    <w:widowControl w:val="0"/>
                    <w:kinsoku/>
                    <w:wordWrap/>
                    <w:overflowPunct/>
                    <w:topLinePunct w:val="0"/>
                    <w:autoSpaceDE/>
                    <w:autoSpaceDN/>
                    <w:bidi w:val="0"/>
                    <w:adjustRightInd/>
                    <w:snapToGrid/>
                    <w:jc w:val="left"/>
                    <w:textAlignment w:val="auto"/>
                    <w:rPr>
                      <w:rFonts w:hint="default" w:eastAsia="宋体"/>
                      <w:strike w:val="0"/>
                      <w:dstrike w:val="0"/>
                      <w:color w:val="auto"/>
                      <w:sz w:val="21"/>
                      <w:szCs w:val="21"/>
                      <w:highlight w:val="none"/>
                      <w:lang w:val="en-US" w:eastAsia="zh-CN"/>
                    </w:rPr>
                  </w:pPr>
                  <w:r>
                    <w:rPr>
                      <w:strike w:val="0"/>
                      <w:dstrike w:val="0"/>
                      <w:color w:val="auto"/>
                      <w:highlight w:val="none"/>
                    </w:rPr>
                    <w:t>备注：表中</w:t>
                  </w:r>
                  <w:r>
                    <w:rPr>
                      <w:rFonts w:hint="eastAsia"/>
                      <w:strike w:val="0"/>
                      <w:dstrike w:val="0"/>
                      <w:color w:val="auto"/>
                      <w:highlight w:val="none"/>
                      <w:lang w:val="en-US" w:eastAsia="zh-CN"/>
                    </w:rPr>
                    <w:t>H标识架空通讯线的杆高和电力线的杆高或塔高</w:t>
                  </w:r>
                </w:p>
              </w:tc>
            </w:tr>
          </w:tbl>
          <w:p w14:paraId="1885D5B1">
            <w:pPr>
              <w:jc w:val="center"/>
              <w:rPr>
                <w:b/>
                <w:bCs/>
                <w:strike w:val="0"/>
                <w:dstrike w:val="0"/>
                <w:color w:val="auto"/>
                <w:sz w:val="24"/>
                <w:szCs w:val="32"/>
                <w:highlight w:val="none"/>
              </w:rPr>
            </w:pPr>
            <w:r>
              <w:rPr>
                <w:b/>
                <w:bCs/>
                <w:strike w:val="0"/>
                <w:dstrike w:val="0"/>
                <w:color w:val="auto"/>
                <w:sz w:val="24"/>
                <w:szCs w:val="32"/>
                <w:highlight w:val="none"/>
              </w:rPr>
              <w:t>表1.1</w:t>
            </w:r>
            <w:r>
              <w:rPr>
                <w:rFonts w:hint="eastAsia"/>
                <w:b/>
                <w:bCs/>
                <w:strike w:val="0"/>
                <w:dstrike w:val="0"/>
                <w:color w:val="auto"/>
                <w:sz w:val="24"/>
                <w:szCs w:val="32"/>
                <w:highlight w:val="none"/>
              </w:rPr>
              <w:t>3</w:t>
            </w:r>
            <w:r>
              <w:rPr>
                <w:b/>
                <w:bCs/>
                <w:strike w:val="0"/>
                <w:dstrike w:val="0"/>
                <w:color w:val="auto"/>
                <w:sz w:val="24"/>
                <w:szCs w:val="32"/>
                <w:highlight w:val="none"/>
              </w:rPr>
              <w:t>-2  站内LNG 加气设备与站外构筑物安全防火距离（单位：m）</w:t>
            </w:r>
          </w:p>
          <w:tbl>
            <w:tblPr>
              <w:tblStyle w:val="23"/>
              <w:tblW w:w="7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9"/>
              <w:gridCol w:w="611"/>
              <w:gridCol w:w="739"/>
              <w:gridCol w:w="643"/>
              <w:gridCol w:w="718"/>
              <w:gridCol w:w="632"/>
              <w:gridCol w:w="697"/>
              <w:gridCol w:w="632"/>
              <w:gridCol w:w="681"/>
            </w:tblGrid>
            <w:tr w14:paraId="0647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69" w:type="dxa"/>
                  <w:vMerge w:val="restart"/>
                  <w:vAlign w:val="center"/>
                </w:tcPr>
                <w:p w14:paraId="6DC1A319">
                  <w:pPr>
                    <w:pStyle w:val="43"/>
                    <w:kinsoku w:val="0"/>
                    <w:overflowPunct w:val="0"/>
                    <w:jc w:val="center"/>
                    <w:rPr>
                      <w:rFonts w:hint="default" w:eastAsia="宋体"/>
                      <w:b/>
                      <w:bCs/>
                      <w:strike w:val="0"/>
                      <w:dstrike w:val="0"/>
                      <w:color w:val="auto"/>
                      <w:sz w:val="21"/>
                      <w:szCs w:val="21"/>
                      <w:highlight w:val="none"/>
                      <w:lang w:val="en-US" w:eastAsia="zh-CN"/>
                    </w:rPr>
                  </w:pPr>
                  <w:r>
                    <w:rPr>
                      <w:rFonts w:hint="eastAsia"/>
                      <w:b/>
                      <w:bCs/>
                      <w:strike w:val="0"/>
                      <w:dstrike w:val="0"/>
                      <w:color w:val="auto"/>
                      <w:sz w:val="21"/>
                      <w:szCs w:val="21"/>
                      <w:highlight w:val="none"/>
                      <w:lang w:val="en-US" w:eastAsia="zh-CN"/>
                    </w:rPr>
                    <w:t>站外建（构）筑物</w:t>
                  </w:r>
                </w:p>
              </w:tc>
              <w:tc>
                <w:tcPr>
                  <w:tcW w:w="1350" w:type="dxa"/>
                  <w:gridSpan w:val="2"/>
                  <w:vAlign w:val="center"/>
                </w:tcPr>
                <w:p w14:paraId="78B07262">
                  <w:pPr>
                    <w:pStyle w:val="43"/>
                    <w:kinsoku w:val="0"/>
                    <w:overflowPunct w:val="0"/>
                    <w:jc w:val="center"/>
                    <w:rPr>
                      <w:rFonts w:hint="eastAsia" w:eastAsia="宋体"/>
                      <w:b/>
                      <w:bCs/>
                      <w:strike w:val="0"/>
                      <w:dstrike w:val="0"/>
                      <w:color w:val="auto"/>
                      <w:kern w:val="2"/>
                      <w:sz w:val="21"/>
                      <w:szCs w:val="21"/>
                      <w:highlight w:val="none"/>
                      <w:lang w:val="en-US" w:eastAsia="zh-CN"/>
                    </w:rPr>
                  </w:pPr>
                  <w:r>
                    <w:rPr>
                      <w:b/>
                      <w:bCs/>
                      <w:strike w:val="0"/>
                      <w:dstrike w:val="0"/>
                      <w:color w:val="auto"/>
                      <w:sz w:val="21"/>
                      <w:szCs w:val="21"/>
                      <w:highlight w:val="none"/>
                    </w:rPr>
                    <w:t>LNG</w:t>
                  </w:r>
                  <w:r>
                    <w:rPr>
                      <w:rFonts w:hint="eastAsia"/>
                      <w:b/>
                      <w:bCs/>
                      <w:strike w:val="0"/>
                      <w:dstrike w:val="0"/>
                      <w:color w:val="auto"/>
                      <w:sz w:val="21"/>
                      <w:szCs w:val="21"/>
                      <w:highlight w:val="none"/>
                      <w:lang w:val="en-US" w:eastAsia="zh-CN"/>
                    </w:rPr>
                    <w:t>加气机</w:t>
                  </w:r>
                </w:p>
              </w:tc>
              <w:tc>
                <w:tcPr>
                  <w:tcW w:w="1361" w:type="dxa"/>
                  <w:gridSpan w:val="2"/>
                  <w:vAlign w:val="center"/>
                </w:tcPr>
                <w:p w14:paraId="2202A11F">
                  <w:pPr>
                    <w:pStyle w:val="43"/>
                    <w:kinsoku w:val="0"/>
                    <w:overflowPunct w:val="0"/>
                    <w:jc w:val="center"/>
                    <w:rPr>
                      <w:rFonts w:hint="default" w:eastAsia="宋体"/>
                      <w:b/>
                      <w:bCs/>
                      <w:strike w:val="0"/>
                      <w:dstrike w:val="0"/>
                      <w:color w:val="auto"/>
                      <w:kern w:val="2"/>
                      <w:sz w:val="21"/>
                      <w:szCs w:val="21"/>
                      <w:highlight w:val="none"/>
                      <w:lang w:val="en-US" w:eastAsia="zh-CN"/>
                    </w:rPr>
                  </w:pPr>
                  <w:r>
                    <w:rPr>
                      <w:b/>
                      <w:bCs/>
                      <w:strike w:val="0"/>
                      <w:dstrike w:val="0"/>
                      <w:color w:val="auto"/>
                      <w:sz w:val="21"/>
                      <w:szCs w:val="21"/>
                      <w:highlight w:val="none"/>
                    </w:rPr>
                    <w:t>LNG</w:t>
                  </w:r>
                  <w:r>
                    <w:rPr>
                      <w:rFonts w:hint="eastAsia"/>
                      <w:b/>
                      <w:bCs/>
                      <w:strike w:val="0"/>
                      <w:dstrike w:val="0"/>
                      <w:color w:val="auto"/>
                      <w:sz w:val="21"/>
                      <w:szCs w:val="21"/>
                      <w:highlight w:val="none"/>
                      <w:lang w:val="en-US" w:eastAsia="zh-CN"/>
                    </w:rPr>
                    <w:t>集中放散管管口</w:t>
                  </w:r>
                </w:p>
              </w:tc>
              <w:tc>
                <w:tcPr>
                  <w:tcW w:w="1329" w:type="dxa"/>
                  <w:gridSpan w:val="2"/>
                  <w:vAlign w:val="center"/>
                </w:tcPr>
                <w:p w14:paraId="60D47A9F">
                  <w:pPr>
                    <w:pStyle w:val="43"/>
                    <w:kinsoku w:val="0"/>
                    <w:overflowPunct w:val="0"/>
                    <w:jc w:val="center"/>
                    <w:rPr>
                      <w:rFonts w:hint="eastAsia" w:eastAsia="宋体"/>
                      <w:b/>
                      <w:bCs/>
                      <w:strike w:val="0"/>
                      <w:dstrike w:val="0"/>
                      <w:color w:val="auto"/>
                      <w:sz w:val="21"/>
                      <w:szCs w:val="21"/>
                      <w:highlight w:val="none"/>
                      <w:lang w:val="en-US" w:eastAsia="zh-CN"/>
                    </w:rPr>
                  </w:pPr>
                  <w:r>
                    <w:rPr>
                      <w:b/>
                      <w:bCs/>
                      <w:strike w:val="0"/>
                      <w:dstrike w:val="0"/>
                      <w:color w:val="auto"/>
                      <w:sz w:val="21"/>
                      <w:szCs w:val="21"/>
                      <w:highlight w:val="none"/>
                    </w:rPr>
                    <w:t>LNG</w:t>
                  </w:r>
                  <w:r>
                    <w:rPr>
                      <w:rFonts w:hint="eastAsia"/>
                      <w:b/>
                      <w:bCs/>
                      <w:strike w:val="0"/>
                      <w:dstrike w:val="0"/>
                      <w:color w:val="auto"/>
                      <w:sz w:val="21"/>
                      <w:szCs w:val="21"/>
                      <w:highlight w:val="none"/>
                      <w:lang w:val="en-US" w:eastAsia="zh-CN"/>
                    </w:rPr>
                    <w:t>储罐（二级站）</w:t>
                  </w:r>
                </w:p>
              </w:tc>
              <w:tc>
                <w:tcPr>
                  <w:tcW w:w="1313" w:type="dxa"/>
                  <w:gridSpan w:val="2"/>
                  <w:vAlign w:val="center"/>
                </w:tcPr>
                <w:p w14:paraId="2E4FAA7C">
                  <w:pPr>
                    <w:pStyle w:val="43"/>
                    <w:kinsoku w:val="0"/>
                    <w:overflowPunct w:val="0"/>
                    <w:jc w:val="center"/>
                    <w:rPr>
                      <w:rFonts w:hint="eastAsia" w:eastAsia="宋体"/>
                      <w:b/>
                      <w:bCs/>
                      <w:strike w:val="0"/>
                      <w:dstrike w:val="0"/>
                      <w:color w:val="auto"/>
                      <w:sz w:val="21"/>
                      <w:szCs w:val="21"/>
                      <w:highlight w:val="none"/>
                      <w:lang w:val="en-US" w:eastAsia="zh-CN"/>
                    </w:rPr>
                  </w:pPr>
                  <w:r>
                    <w:rPr>
                      <w:b/>
                      <w:bCs/>
                      <w:strike w:val="0"/>
                      <w:dstrike w:val="0"/>
                      <w:color w:val="auto"/>
                      <w:sz w:val="21"/>
                      <w:szCs w:val="21"/>
                      <w:highlight w:val="none"/>
                    </w:rPr>
                    <w:t>LNG</w:t>
                  </w:r>
                  <w:r>
                    <w:rPr>
                      <w:rFonts w:hint="eastAsia"/>
                      <w:b/>
                      <w:bCs/>
                      <w:strike w:val="0"/>
                      <w:dstrike w:val="0"/>
                      <w:color w:val="auto"/>
                      <w:sz w:val="21"/>
                      <w:szCs w:val="21"/>
                      <w:highlight w:val="none"/>
                      <w:lang w:val="en-US" w:eastAsia="zh-CN"/>
                    </w:rPr>
                    <w:t>卸车点</w:t>
                  </w:r>
                </w:p>
              </w:tc>
            </w:tr>
            <w:tr w14:paraId="42A2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469" w:type="dxa"/>
                  <w:vMerge w:val="continue"/>
                  <w:vAlign w:val="center"/>
                </w:tcPr>
                <w:p w14:paraId="7A01F8FB">
                  <w:pPr>
                    <w:pStyle w:val="43"/>
                    <w:kinsoku w:val="0"/>
                    <w:overflowPunct w:val="0"/>
                    <w:jc w:val="center"/>
                    <w:rPr>
                      <w:rFonts w:hint="default" w:eastAsia="宋体"/>
                      <w:b/>
                      <w:bCs/>
                      <w:strike w:val="0"/>
                      <w:dstrike w:val="0"/>
                      <w:color w:val="auto"/>
                      <w:sz w:val="21"/>
                      <w:szCs w:val="21"/>
                      <w:highlight w:val="none"/>
                      <w:lang w:val="en-US" w:eastAsia="zh-CN"/>
                    </w:rPr>
                  </w:pPr>
                </w:p>
              </w:tc>
              <w:tc>
                <w:tcPr>
                  <w:tcW w:w="611" w:type="dxa"/>
                  <w:shd w:val="clear" w:color="auto" w:fill="auto"/>
                  <w:vAlign w:val="center"/>
                </w:tcPr>
                <w:p w14:paraId="347F5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规范</w:t>
                  </w:r>
                </w:p>
              </w:tc>
              <w:tc>
                <w:tcPr>
                  <w:tcW w:w="739" w:type="dxa"/>
                  <w:shd w:val="clear" w:color="auto" w:fill="auto"/>
                  <w:vAlign w:val="center"/>
                </w:tcPr>
                <w:p w14:paraId="35F84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本项目</w:t>
                  </w:r>
                </w:p>
              </w:tc>
              <w:tc>
                <w:tcPr>
                  <w:tcW w:w="643" w:type="dxa"/>
                  <w:shd w:val="clear" w:color="auto" w:fill="auto"/>
                  <w:vAlign w:val="center"/>
                </w:tcPr>
                <w:p w14:paraId="1708D9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规范</w:t>
                  </w:r>
                </w:p>
              </w:tc>
              <w:tc>
                <w:tcPr>
                  <w:tcW w:w="718" w:type="dxa"/>
                  <w:shd w:val="clear" w:color="auto" w:fill="auto"/>
                  <w:vAlign w:val="center"/>
                </w:tcPr>
                <w:p w14:paraId="66E9A6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本项目</w:t>
                  </w:r>
                </w:p>
              </w:tc>
              <w:tc>
                <w:tcPr>
                  <w:tcW w:w="632" w:type="dxa"/>
                  <w:vAlign w:val="center"/>
                </w:tcPr>
                <w:p w14:paraId="583FE8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21"/>
                      <w:szCs w:val="21"/>
                      <w:highlight w:val="none"/>
                    </w:rPr>
                  </w:pPr>
                  <w:r>
                    <w:rPr>
                      <w:rFonts w:hint="eastAsia"/>
                      <w:b/>
                      <w:bCs/>
                      <w:strike w:val="0"/>
                      <w:dstrike w:val="0"/>
                      <w:color w:val="auto"/>
                      <w:sz w:val="21"/>
                      <w:szCs w:val="21"/>
                      <w:highlight w:val="none"/>
                      <w:vertAlign w:val="baseline"/>
                      <w:lang w:val="en-US" w:eastAsia="zh-CN"/>
                    </w:rPr>
                    <w:t>规范</w:t>
                  </w:r>
                </w:p>
              </w:tc>
              <w:tc>
                <w:tcPr>
                  <w:tcW w:w="697" w:type="dxa"/>
                  <w:vAlign w:val="center"/>
                </w:tcPr>
                <w:p w14:paraId="56420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21"/>
                      <w:szCs w:val="21"/>
                      <w:highlight w:val="none"/>
                    </w:rPr>
                  </w:pPr>
                  <w:r>
                    <w:rPr>
                      <w:rFonts w:hint="eastAsia"/>
                      <w:b/>
                      <w:bCs/>
                      <w:strike w:val="0"/>
                      <w:dstrike w:val="0"/>
                      <w:color w:val="auto"/>
                      <w:sz w:val="21"/>
                      <w:szCs w:val="21"/>
                      <w:highlight w:val="none"/>
                      <w:vertAlign w:val="baseline"/>
                      <w:lang w:val="en-US" w:eastAsia="zh-CN"/>
                    </w:rPr>
                    <w:t>本项目</w:t>
                  </w:r>
                </w:p>
              </w:tc>
              <w:tc>
                <w:tcPr>
                  <w:tcW w:w="632" w:type="dxa"/>
                  <w:shd w:val="clear" w:color="auto" w:fill="auto"/>
                  <w:vAlign w:val="center"/>
                </w:tcPr>
                <w:p w14:paraId="63AD6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trike w:val="0"/>
                      <w:dstrike w:val="0"/>
                      <w:color w:val="auto"/>
                      <w:kern w:val="2"/>
                      <w:sz w:val="21"/>
                      <w:szCs w:val="21"/>
                      <w:highlight w:val="none"/>
                      <w:lang w:val="en-US" w:eastAsia="zh-CN" w:bidi="ar-SA"/>
                    </w:rPr>
                  </w:pPr>
                  <w:r>
                    <w:rPr>
                      <w:rFonts w:hint="eastAsia"/>
                      <w:b/>
                      <w:bCs/>
                      <w:strike w:val="0"/>
                      <w:dstrike w:val="0"/>
                      <w:color w:val="auto"/>
                      <w:sz w:val="21"/>
                      <w:szCs w:val="21"/>
                      <w:highlight w:val="none"/>
                      <w:vertAlign w:val="baseline"/>
                      <w:lang w:val="en-US" w:eastAsia="zh-CN"/>
                    </w:rPr>
                    <w:t>规范</w:t>
                  </w:r>
                </w:p>
              </w:tc>
              <w:tc>
                <w:tcPr>
                  <w:tcW w:w="681" w:type="dxa"/>
                  <w:shd w:val="clear" w:color="auto" w:fill="auto"/>
                  <w:vAlign w:val="center"/>
                </w:tcPr>
                <w:p w14:paraId="52B12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trike w:val="0"/>
                      <w:dstrike w:val="0"/>
                      <w:color w:val="auto"/>
                      <w:kern w:val="2"/>
                      <w:sz w:val="21"/>
                      <w:szCs w:val="21"/>
                      <w:highlight w:val="none"/>
                      <w:lang w:val="en-US" w:eastAsia="zh-CN" w:bidi="ar-SA"/>
                    </w:rPr>
                  </w:pPr>
                  <w:r>
                    <w:rPr>
                      <w:rFonts w:hint="eastAsia"/>
                      <w:b/>
                      <w:bCs/>
                      <w:strike w:val="0"/>
                      <w:dstrike w:val="0"/>
                      <w:color w:val="auto"/>
                      <w:sz w:val="21"/>
                      <w:szCs w:val="21"/>
                      <w:highlight w:val="none"/>
                      <w:vertAlign w:val="baseline"/>
                      <w:lang w:val="en-US" w:eastAsia="zh-CN"/>
                    </w:rPr>
                    <w:t>本项目</w:t>
                  </w:r>
                </w:p>
              </w:tc>
            </w:tr>
            <w:tr w14:paraId="7F5F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69" w:type="dxa"/>
                  <w:shd w:val="clear" w:color="auto" w:fill="auto"/>
                  <w:vAlign w:val="center"/>
                </w:tcPr>
                <w:p w14:paraId="4D2FE06B">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城市快速路、主干路和高速公路、一二级公路</w:t>
                  </w:r>
                </w:p>
              </w:tc>
              <w:tc>
                <w:tcPr>
                  <w:tcW w:w="611" w:type="dxa"/>
                  <w:vAlign w:val="center"/>
                </w:tcPr>
                <w:p w14:paraId="450EA6BD">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8</w:t>
                  </w:r>
                </w:p>
              </w:tc>
              <w:tc>
                <w:tcPr>
                  <w:tcW w:w="739" w:type="dxa"/>
                  <w:vAlign w:val="center"/>
                </w:tcPr>
                <w:p w14:paraId="3415DDDD">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29</w:t>
                  </w:r>
                </w:p>
              </w:tc>
              <w:tc>
                <w:tcPr>
                  <w:tcW w:w="643" w:type="dxa"/>
                  <w:shd w:val="clear" w:color="auto" w:fill="auto"/>
                  <w:vAlign w:val="center"/>
                </w:tcPr>
                <w:p w14:paraId="53B993BA">
                  <w:pPr>
                    <w:pStyle w:val="43"/>
                    <w:kinsoku w:val="0"/>
                    <w:overflowPunct w:val="0"/>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kern w:val="2"/>
                      <w:sz w:val="21"/>
                      <w:szCs w:val="21"/>
                      <w:highlight w:val="none"/>
                      <w:lang w:val="en-US" w:eastAsia="zh-CN"/>
                    </w:rPr>
                    <w:t>8</w:t>
                  </w:r>
                </w:p>
              </w:tc>
              <w:tc>
                <w:tcPr>
                  <w:tcW w:w="718" w:type="dxa"/>
                  <w:shd w:val="clear" w:color="auto" w:fill="auto"/>
                  <w:vAlign w:val="center"/>
                </w:tcPr>
                <w:p w14:paraId="11049177">
                  <w:pPr>
                    <w:pStyle w:val="43"/>
                    <w:kinsoku w:val="0"/>
                    <w:overflowPunct w:val="0"/>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kern w:val="2"/>
                      <w:sz w:val="21"/>
                      <w:szCs w:val="21"/>
                      <w:highlight w:val="none"/>
                      <w:lang w:val="en-US" w:eastAsia="zh-CN"/>
                    </w:rPr>
                    <w:t>29</w:t>
                  </w:r>
                </w:p>
              </w:tc>
              <w:tc>
                <w:tcPr>
                  <w:tcW w:w="632" w:type="dxa"/>
                  <w:vAlign w:val="center"/>
                </w:tcPr>
                <w:p w14:paraId="3AFB3079">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10</w:t>
                  </w:r>
                </w:p>
              </w:tc>
              <w:tc>
                <w:tcPr>
                  <w:tcW w:w="697" w:type="dxa"/>
                  <w:vAlign w:val="center"/>
                </w:tcPr>
                <w:p w14:paraId="2BFF8C4C">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29</w:t>
                  </w:r>
                </w:p>
              </w:tc>
              <w:tc>
                <w:tcPr>
                  <w:tcW w:w="632" w:type="dxa"/>
                  <w:vAlign w:val="center"/>
                </w:tcPr>
                <w:p w14:paraId="77790335">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8</w:t>
                  </w:r>
                </w:p>
              </w:tc>
              <w:tc>
                <w:tcPr>
                  <w:tcW w:w="681" w:type="dxa"/>
                  <w:vAlign w:val="center"/>
                </w:tcPr>
                <w:p w14:paraId="576ECB7E">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32</w:t>
                  </w:r>
                </w:p>
              </w:tc>
            </w:tr>
            <w:tr w14:paraId="50EE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69" w:type="dxa"/>
                  <w:vAlign w:val="center"/>
                </w:tcPr>
                <w:p w14:paraId="1BB12298">
                  <w:pPr>
                    <w:pStyle w:val="43"/>
                    <w:kinsoku w:val="0"/>
                    <w:overflowPunct w:val="0"/>
                    <w:jc w:val="center"/>
                    <w:rPr>
                      <w:rFonts w:hint="eastAsia"/>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架空电力线路</w:t>
                  </w:r>
                </w:p>
                <w:p w14:paraId="2B3EAFA1">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（无绝缘层）</w:t>
                  </w:r>
                </w:p>
              </w:tc>
              <w:tc>
                <w:tcPr>
                  <w:tcW w:w="611" w:type="dxa"/>
                  <w:vAlign w:val="center"/>
                </w:tcPr>
                <w:p w14:paraId="50083D98">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H</w:t>
                  </w:r>
                </w:p>
              </w:tc>
              <w:tc>
                <w:tcPr>
                  <w:tcW w:w="739" w:type="dxa"/>
                  <w:vAlign w:val="center"/>
                </w:tcPr>
                <w:p w14:paraId="677ACAF4">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56</w:t>
                  </w:r>
                </w:p>
              </w:tc>
              <w:tc>
                <w:tcPr>
                  <w:tcW w:w="643" w:type="dxa"/>
                  <w:shd w:val="clear" w:color="auto" w:fill="auto"/>
                  <w:vAlign w:val="center"/>
                </w:tcPr>
                <w:p w14:paraId="69F4DB18">
                  <w:pPr>
                    <w:pStyle w:val="43"/>
                    <w:kinsoku w:val="0"/>
                    <w:overflowPunct w:val="0"/>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kern w:val="2"/>
                      <w:sz w:val="21"/>
                      <w:szCs w:val="21"/>
                      <w:highlight w:val="none"/>
                      <w:lang w:val="en-US" w:eastAsia="zh-CN"/>
                    </w:rPr>
                    <w:t>H</w:t>
                  </w:r>
                </w:p>
              </w:tc>
              <w:tc>
                <w:tcPr>
                  <w:tcW w:w="718" w:type="dxa"/>
                  <w:shd w:val="clear" w:color="auto" w:fill="auto"/>
                  <w:vAlign w:val="center"/>
                </w:tcPr>
                <w:p w14:paraId="25D19EBA">
                  <w:pPr>
                    <w:pStyle w:val="43"/>
                    <w:kinsoku w:val="0"/>
                    <w:overflowPunct w:val="0"/>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kern w:val="2"/>
                      <w:sz w:val="21"/>
                      <w:szCs w:val="21"/>
                      <w:highlight w:val="none"/>
                      <w:lang w:val="en-US" w:eastAsia="zh-CN"/>
                    </w:rPr>
                    <w:t>56</w:t>
                  </w:r>
                </w:p>
              </w:tc>
              <w:tc>
                <w:tcPr>
                  <w:tcW w:w="632" w:type="dxa"/>
                  <w:shd w:val="clear" w:color="auto" w:fill="auto"/>
                  <w:vAlign w:val="center"/>
                </w:tcPr>
                <w:p w14:paraId="2B17FE35">
                  <w:pPr>
                    <w:pStyle w:val="43"/>
                    <w:kinsoku w:val="0"/>
                    <w:overflowPunct w:val="0"/>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kern w:val="2"/>
                      <w:sz w:val="21"/>
                      <w:szCs w:val="21"/>
                      <w:highlight w:val="none"/>
                      <w:lang w:val="en-US" w:eastAsia="zh-CN"/>
                    </w:rPr>
                    <w:t>1.5H</w:t>
                  </w:r>
                </w:p>
              </w:tc>
              <w:tc>
                <w:tcPr>
                  <w:tcW w:w="697" w:type="dxa"/>
                  <w:shd w:val="clear" w:color="auto" w:fill="auto"/>
                  <w:vAlign w:val="center"/>
                </w:tcPr>
                <w:p w14:paraId="37026C21">
                  <w:pPr>
                    <w:pStyle w:val="43"/>
                    <w:kinsoku w:val="0"/>
                    <w:overflowPunct w:val="0"/>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kern w:val="2"/>
                      <w:sz w:val="21"/>
                      <w:szCs w:val="21"/>
                      <w:highlight w:val="none"/>
                      <w:lang w:val="en-US" w:eastAsia="zh-CN"/>
                    </w:rPr>
                    <w:t>56</w:t>
                  </w:r>
                </w:p>
              </w:tc>
              <w:tc>
                <w:tcPr>
                  <w:tcW w:w="632" w:type="dxa"/>
                  <w:shd w:val="clear" w:color="auto" w:fill="auto"/>
                  <w:vAlign w:val="center"/>
                </w:tcPr>
                <w:p w14:paraId="710CECB0">
                  <w:pPr>
                    <w:pStyle w:val="43"/>
                    <w:kinsoku w:val="0"/>
                    <w:overflowPunct w:val="0"/>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kern w:val="2"/>
                      <w:sz w:val="21"/>
                      <w:szCs w:val="21"/>
                      <w:highlight w:val="none"/>
                      <w:lang w:val="en-US" w:eastAsia="zh-CN"/>
                    </w:rPr>
                    <w:t>1H</w:t>
                  </w:r>
                </w:p>
              </w:tc>
              <w:tc>
                <w:tcPr>
                  <w:tcW w:w="681" w:type="dxa"/>
                  <w:vAlign w:val="center"/>
                </w:tcPr>
                <w:p w14:paraId="484A808D">
                  <w:pPr>
                    <w:pStyle w:val="43"/>
                    <w:kinsoku w:val="0"/>
                    <w:overflowPunct w:val="0"/>
                    <w:jc w:val="center"/>
                    <w:rPr>
                      <w:rFonts w:hint="default"/>
                      <w:strike w:val="0"/>
                      <w:dstrike w:val="0"/>
                      <w:color w:val="auto"/>
                      <w:kern w:val="2"/>
                      <w:sz w:val="21"/>
                      <w:szCs w:val="21"/>
                      <w:highlight w:val="none"/>
                      <w:lang w:val="en-US" w:eastAsia="zh-CN"/>
                    </w:rPr>
                  </w:pPr>
                  <w:r>
                    <w:rPr>
                      <w:rFonts w:hint="eastAsia"/>
                      <w:strike w:val="0"/>
                      <w:dstrike w:val="0"/>
                      <w:color w:val="auto"/>
                      <w:kern w:val="2"/>
                      <w:sz w:val="21"/>
                      <w:szCs w:val="21"/>
                      <w:highlight w:val="none"/>
                      <w:lang w:val="en-US" w:eastAsia="zh-CN"/>
                    </w:rPr>
                    <w:t>59</w:t>
                  </w:r>
                </w:p>
              </w:tc>
            </w:tr>
            <w:tr w14:paraId="3411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822" w:type="dxa"/>
                  <w:gridSpan w:val="9"/>
                  <w:vAlign w:val="center"/>
                </w:tcPr>
                <w:p w14:paraId="7FD319AE">
                  <w:pPr>
                    <w:keepNext w:val="0"/>
                    <w:keepLines w:val="0"/>
                    <w:pageBreakBefore w:val="0"/>
                    <w:widowControl w:val="0"/>
                    <w:kinsoku/>
                    <w:wordWrap/>
                    <w:overflowPunct/>
                    <w:topLinePunct w:val="0"/>
                    <w:autoSpaceDE/>
                    <w:autoSpaceDN/>
                    <w:bidi w:val="0"/>
                    <w:adjustRightInd/>
                    <w:snapToGrid/>
                    <w:jc w:val="left"/>
                    <w:textAlignment w:val="auto"/>
                    <w:rPr>
                      <w:strike w:val="0"/>
                      <w:dstrike w:val="0"/>
                      <w:color w:val="auto"/>
                      <w:highlight w:val="none"/>
                    </w:rPr>
                  </w:pPr>
                  <w:r>
                    <w:rPr>
                      <w:strike w:val="0"/>
                      <w:dstrike w:val="0"/>
                      <w:color w:val="auto"/>
                      <w:highlight w:val="none"/>
                    </w:rPr>
                    <w:t>备注：表中</w:t>
                  </w:r>
                  <w:r>
                    <w:rPr>
                      <w:rFonts w:hint="eastAsia"/>
                      <w:strike w:val="0"/>
                      <w:dstrike w:val="0"/>
                      <w:color w:val="auto"/>
                      <w:highlight w:val="none"/>
                      <w:lang w:val="en-US" w:eastAsia="zh-CN"/>
                    </w:rPr>
                    <w:t>H标识架空通讯线的杆高和电力线的杆高或塔高</w:t>
                  </w:r>
                </w:p>
              </w:tc>
            </w:tr>
          </w:tbl>
          <w:p w14:paraId="4DE79179">
            <w:pPr>
              <w:spacing w:line="360" w:lineRule="auto"/>
              <w:jc w:val="center"/>
              <w:rPr>
                <w:b/>
                <w:bCs/>
                <w:strike w:val="0"/>
                <w:dstrike w:val="0"/>
                <w:color w:val="auto"/>
                <w:sz w:val="24"/>
                <w:szCs w:val="32"/>
                <w:highlight w:val="none"/>
              </w:rPr>
            </w:pPr>
            <w:r>
              <w:rPr>
                <w:rFonts w:hint="eastAsia"/>
                <w:b/>
                <w:bCs/>
                <w:strike w:val="0"/>
                <w:dstrike w:val="0"/>
                <w:color w:val="auto"/>
                <w:sz w:val="24"/>
                <w:highlight w:val="none"/>
                <w:lang w:val="en-US" w:eastAsia="zh-CN"/>
              </w:rPr>
              <w:t>表1.13-3  汽油、柴油工艺设备站内设施的防火间距</w:t>
            </w:r>
            <w:r>
              <w:rPr>
                <w:b/>
                <w:bCs/>
                <w:strike w:val="0"/>
                <w:dstrike w:val="0"/>
                <w:color w:val="auto"/>
                <w:sz w:val="24"/>
                <w:szCs w:val="32"/>
                <w:highlight w:val="none"/>
              </w:rPr>
              <w:t>（单位：m）</w:t>
            </w:r>
          </w:p>
          <w:tbl>
            <w:tblPr>
              <w:tblStyle w:val="23"/>
              <w:tblW w:w="7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441"/>
              <w:gridCol w:w="563"/>
              <w:gridCol w:w="460"/>
              <w:gridCol w:w="591"/>
              <w:gridCol w:w="505"/>
              <w:gridCol w:w="590"/>
              <w:gridCol w:w="590"/>
              <w:gridCol w:w="590"/>
              <w:gridCol w:w="762"/>
              <w:gridCol w:w="638"/>
              <w:gridCol w:w="450"/>
              <w:gridCol w:w="581"/>
            </w:tblGrid>
            <w:tr w14:paraId="4C53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8" w:type="dxa"/>
                  <w:vMerge w:val="restart"/>
                  <w:vAlign w:val="center"/>
                </w:tcPr>
                <w:p w14:paraId="52FE4DF0">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b/>
                      <w:bCs/>
                      <w:strike w:val="0"/>
                      <w:dstrike w:val="0"/>
                      <w:color w:val="auto"/>
                      <w:sz w:val="18"/>
                      <w:szCs w:val="18"/>
                      <w:highlight w:val="none"/>
                      <w:vertAlign w:val="baseline"/>
                      <w:lang w:val="en-US" w:eastAsia="zh-CN"/>
                    </w:rPr>
                  </w:pPr>
                  <w:r>
                    <w:rPr>
                      <w:b/>
                      <w:bCs/>
                      <w:strike w:val="0"/>
                      <w:dstrike w:val="0"/>
                      <w:color w:val="auto"/>
                      <w:sz w:val="18"/>
                      <w:szCs w:val="18"/>
                      <w:highlight w:val="none"/>
                    </w:rPr>
                    <mc:AlternateContent>
                      <mc:Choice Requires="wps">
                        <w:drawing>
                          <wp:anchor distT="0" distB="0" distL="114300" distR="114300" simplePos="0" relativeHeight="251665408" behindDoc="0" locked="0" layoutInCell="1" allowOverlap="1">
                            <wp:simplePos x="0" y="0"/>
                            <wp:positionH relativeFrom="column">
                              <wp:posOffset>-54610</wp:posOffset>
                            </wp:positionH>
                            <wp:positionV relativeFrom="paragraph">
                              <wp:posOffset>1270</wp:posOffset>
                            </wp:positionV>
                            <wp:extent cx="612775" cy="790575"/>
                            <wp:effectExtent l="3810" t="3175" r="12065" b="6350"/>
                            <wp:wrapNone/>
                            <wp:docPr id="19" name="直接连接符 19"/>
                            <wp:cNvGraphicFramePr/>
                            <a:graphic xmlns:a="http://schemas.openxmlformats.org/drawingml/2006/main">
                              <a:graphicData uri="http://schemas.microsoft.com/office/word/2010/wordprocessingShape">
                                <wps:wsp>
                                  <wps:cNvCnPr/>
                                  <wps:spPr>
                                    <a:xfrm>
                                      <a:off x="0" y="0"/>
                                      <a:ext cx="612775" cy="79057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3pt;margin-top:0.1pt;height:62.25pt;width:48.25pt;z-index:251665408;mso-width-relative:page;mso-height-relative:page;" filled="f" stroked="t" coordsize="21600,21600" o:gfxdata="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l4bsdQAAAAGAQAADwAAAAAAAAAB&#10;ACAAAAAiAAAAZHJzL2Rvd25yZXYueG1sUEsBAhQAFAAAAAgAh07iQI8GCF7bAQAAoAMAAA4AAAAA&#10;AAAAAQAgAAAAIwEAAGRycy9lMm9Eb2MueG1sUEsFBgAAAAAGAAYAWQEAAHAFAAAAAA==&#10;">
                            <v:fill on="f" focussize="0,0"/>
                            <v:stroke weight="0.5pt" color="#000000 [3213]" joinstyle="round"/>
                            <v:imagedata o:title=""/>
                            <o:lock v:ext="edit" aspectratio="f"/>
                          </v:line>
                        </w:pict>
                      </mc:Fallback>
                    </mc:AlternateContent>
                  </w:r>
                  <w:r>
                    <w:rPr>
                      <w:rFonts w:hint="eastAsia"/>
                      <w:b/>
                      <w:bCs/>
                      <w:strike w:val="0"/>
                      <w:dstrike w:val="0"/>
                      <w:color w:val="auto"/>
                      <w:sz w:val="18"/>
                      <w:szCs w:val="18"/>
                      <w:highlight w:val="none"/>
                      <w:vertAlign w:val="baseline"/>
                      <w:lang w:val="en-US" w:eastAsia="zh-CN"/>
                    </w:rPr>
                    <w:t>名称</w:t>
                  </w:r>
                </w:p>
                <w:p w14:paraId="4EDC44B7">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b/>
                      <w:bCs/>
                      <w:strike w:val="0"/>
                      <w:dstrike w:val="0"/>
                      <w:color w:val="auto"/>
                      <w:sz w:val="18"/>
                      <w:szCs w:val="18"/>
                      <w:highlight w:val="none"/>
                      <w:vertAlign w:val="baseline"/>
                      <w:lang w:val="en-US" w:eastAsia="zh-CN"/>
                    </w:rPr>
                  </w:pPr>
                </w:p>
                <w:p w14:paraId="7FBDFF27">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b/>
                      <w:bCs/>
                      <w:strike w:val="0"/>
                      <w:dstrike w:val="0"/>
                      <w:color w:val="auto"/>
                      <w:sz w:val="18"/>
                      <w:szCs w:val="18"/>
                      <w:highlight w:val="none"/>
                      <w:vertAlign w:val="baseline"/>
                      <w:lang w:val="en-US" w:eastAsia="zh-CN"/>
                    </w:rPr>
                  </w:pPr>
                </w:p>
                <w:p w14:paraId="234B109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项目</w:t>
                  </w:r>
                </w:p>
              </w:tc>
              <w:tc>
                <w:tcPr>
                  <w:tcW w:w="1004" w:type="dxa"/>
                  <w:gridSpan w:val="2"/>
                  <w:vAlign w:val="center"/>
                </w:tcPr>
                <w:p w14:paraId="4849B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18"/>
                      <w:szCs w:val="18"/>
                      <w:highlight w:val="none"/>
                      <w:vertAlign w:val="baseline"/>
                    </w:rPr>
                  </w:pPr>
                  <w:r>
                    <w:rPr>
                      <w:rFonts w:hint="eastAsia"/>
                      <w:b/>
                      <w:bCs/>
                      <w:strike w:val="0"/>
                      <w:dstrike w:val="0"/>
                      <w:color w:val="auto"/>
                      <w:sz w:val="18"/>
                      <w:szCs w:val="18"/>
                      <w:highlight w:val="none"/>
                      <w:vertAlign w:val="baseline"/>
                      <w:lang w:val="en-US" w:eastAsia="zh-CN"/>
                    </w:rPr>
                    <w:t>汽油罐</w:t>
                  </w:r>
                </w:p>
              </w:tc>
              <w:tc>
                <w:tcPr>
                  <w:tcW w:w="1051" w:type="dxa"/>
                  <w:gridSpan w:val="2"/>
                  <w:vAlign w:val="center"/>
                </w:tcPr>
                <w:p w14:paraId="0C2F0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18"/>
                      <w:szCs w:val="18"/>
                      <w:highlight w:val="none"/>
                      <w:vertAlign w:val="baseline"/>
                    </w:rPr>
                  </w:pPr>
                  <w:r>
                    <w:rPr>
                      <w:rFonts w:hint="eastAsia"/>
                      <w:b/>
                      <w:bCs/>
                      <w:strike w:val="0"/>
                      <w:dstrike w:val="0"/>
                      <w:color w:val="auto"/>
                      <w:sz w:val="18"/>
                      <w:szCs w:val="18"/>
                      <w:highlight w:val="none"/>
                      <w:vertAlign w:val="baseline"/>
                      <w:lang w:val="en-US" w:eastAsia="zh-CN"/>
                    </w:rPr>
                    <w:t>柴油罐</w:t>
                  </w:r>
                </w:p>
              </w:tc>
              <w:tc>
                <w:tcPr>
                  <w:tcW w:w="1095" w:type="dxa"/>
                  <w:gridSpan w:val="2"/>
                  <w:vAlign w:val="center"/>
                </w:tcPr>
                <w:p w14:paraId="0452A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汽油通气管管口</w:t>
                  </w:r>
                </w:p>
              </w:tc>
              <w:tc>
                <w:tcPr>
                  <w:tcW w:w="1180" w:type="dxa"/>
                  <w:gridSpan w:val="2"/>
                  <w:vAlign w:val="center"/>
                </w:tcPr>
                <w:p w14:paraId="5E0F00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柴油通气管管口</w:t>
                  </w:r>
                </w:p>
              </w:tc>
              <w:tc>
                <w:tcPr>
                  <w:tcW w:w="1400" w:type="dxa"/>
                  <w:gridSpan w:val="2"/>
                  <w:vAlign w:val="center"/>
                </w:tcPr>
                <w:p w14:paraId="37C210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加油机</w:t>
                  </w:r>
                </w:p>
              </w:tc>
              <w:tc>
                <w:tcPr>
                  <w:tcW w:w="1031" w:type="dxa"/>
                  <w:gridSpan w:val="2"/>
                  <w:vAlign w:val="center"/>
                </w:tcPr>
                <w:p w14:paraId="643EB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油品卸车点</w:t>
                  </w:r>
                </w:p>
              </w:tc>
            </w:tr>
            <w:tr w14:paraId="268E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Merge w:val="continue"/>
                  <w:vAlign w:val="center"/>
                </w:tcPr>
                <w:p w14:paraId="20BA0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18"/>
                      <w:szCs w:val="18"/>
                      <w:highlight w:val="none"/>
                      <w:vertAlign w:val="baseline"/>
                    </w:rPr>
                  </w:pPr>
                </w:p>
              </w:tc>
              <w:tc>
                <w:tcPr>
                  <w:tcW w:w="441" w:type="dxa"/>
                  <w:shd w:val="clear" w:color="auto" w:fill="auto"/>
                  <w:vAlign w:val="center"/>
                </w:tcPr>
                <w:p w14:paraId="53A74E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规范</w:t>
                  </w:r>
                </w:p>
              </w:tc>
              <w:tc>
                <w:tcPr>
                  <w:tcW w:w="563" w:type="dxa"/>
                  <w:shd w:val="clear" w:color="auto" w:fill="auto"/>
                  <w:vAlign w:val="center"/>
                </w:tcPr>
                <w:p w14:paraId="6F27F9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本项目</w:t>
                  </w:r>
                </w:p>
              </w:tc>
              <w:tc>
                <w:tcPr>
                  <w:tcW w:w="460" w:type="dxa"/>
                  <w:shd w:val="clear" w:color="auto" w:fill="auto"/>
                  <w:vAlign w:val="center"/>
                </w:tcPr>
                <w:p w14:paraId="286464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规范</w:t>
                  </w:r>
                </w:p>
              </w:tc>
              <w:tc>
                <w:tcPr>
                  <w:tcW w:w="591" w:type="dxa"/>
                  <w:shd w:val="clear" w:color="auto" w:fill="auto"/>
                  <w:vAlign w:val="center"/>
                </w:tcPr>
                <w:p w14:paraId="7018DE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本项目</w:t>
                  </w:r>
                </w:p>
              </w:tc>
              <w:tc>
                <w:tcPr>
                  <w:tcW w:w="505" w:type="dxa"/>
                  <w:shd w:val="clear" w:color="auto" w:fill="auto"/>
                  <w:vAlign w:val="center"/>
                </w:tcPr>
                <w:p w14:paraId="30DEE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规范</w:t>
                  </w:r>
                </w:p>
              </w:tc>
              <w:tc>
                <w:tcPr>
                  <w:tcW w:w="590" w:type="dxa"/>
                  <w:shd w:val="clear" w:color="auto" w:fill="auto"/>
                  <w:vAlign w:val="center"/>
                </w:tcPr>
                <w:p w14:paraId="1E45E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本项目</w:t>
                  </w:r>
                </w:p>
              </w:tc>
              <w:tc>
                <w:tcPr>
                  <w:tcW w:w="590" w:type="dxa"/>
                  <w:shd w:val="clear" w:color="auto" w:fill="auto"/>
                  <w:vAlign w:val="center"/>
                </w:tcPr>
                <w:p w14:paraId="0A84C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规范</w:t>
                  </w:r>
                </w:p>
              </w:tc>
              <w:tc>
                <w:tcPr>
                  <w:tcW w:w="590" w:type="dxa"/>
                  <w:shd w:val="clear" w:color="auto" w:fill="auto"/>
                  <w:vAlign w:val="center"/>
                </w:tcPr>
                <w:p w14:paraId="3BB8D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本项目</w:t>
                  </w:r>
                </w:p>
              </w:tc>
              <w:tc>
                <w:tcPr>
                  <w:tcW w:w="762" w:type="dxa"/>
                  <w:shd w:val="clear" w:color="auto" w:fill="auto"/>
                  <w:vAlign w:val="center"/>
                </w:tcPr>
                <w:p w14:paraId="46BA07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规范</w:t>
                  </w:r>
                </w:p>
              </w:tc>
              <w:tc>
                <w:tcPr>
                  <w:tcW w:w="638" w:type="dxa"/>
                  <w:shd w:val="clear" w:color="auto" w:fill="auto"/>
                  <w:vAlign w:val="center"/>
                </w:tcPr>
                <w:p w14:paraId="4762D2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本项目</w:t>
                  </w:r>
                </w:p>
              </w:tc>
              <w:tc>
                <w:tcPr>
                  <w:tcW w:w="450" w:type="dxa"/>
                  <w:shd w:val="clear" w:color="auto" w:fill="auto"/>
                  <w:vAlign w:val="center"/>
                </w:tcPr>
                <w:p w14:paraId="5E9B2B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规范</w:t>
                  </w:r>
                </w:p>
              </w:tc>
              <w:tc>
                <w:tcPr>
                  <w:tcW w:w="581" w:type="dxa"/>
                  <w:shd w:val="clear" w:color="auto" w:fill="auto"/>
                  <w:vAlign w:val="center"/>
                </w:tcPr>
                <w:p w14:paraId="596EF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kern w:val="2"/>
                      <w:sz w:val="18"/>
                      <w:szCs w:val="18"/>
                      <w:highlight w:val="none"/>
                      <w:vertAlign w:val="baseline"/>
                      <w:lang w:val="en-US" w:eastAsia="zh-CN" w:bidi="ar-SA"/>
                    </w:rPr>
                  </w:pPr>
                  <w:r>
                    <w:rPr>
                      <w:rFonts w:hint="eastAsia"/>
                      <w:b/>
                      <w:bCs/>
                      <w:strike w:val="0"/>
                      <w:dstrike w:val="0"/>
                      <w:color w:val="auto"/>
                      <w:sz w:val="18"/>
                      <w:szCs w:val="18"/>
                      <w:highlight w:val="none"/>
                      <w:vertAlign w:val="baseline"/>
                      <w:lang w:val="en-US" w:eastAsia="zh-CN"/>
                    </w:rPr>
                    <w:t>本项目</w:t>
                  </w:r>
                </w:p>
              </w:tc>
            </w:tr>
            <w:tr w14:paraId="2C1E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3DB15A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站房</w:t>
                  </w:r>
                </w:p>
              </w:tc>
              <w:tc>
                <w:tcPr>
                  <w:tcW w:w="441" w:type="dxa"/>
                  <w:vAlign w:val="center"/>
                </w:tcPr>
                <w:p w14:paraId="73415A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4</w:t>
                  </w:r>
                </w:p>
              </w:tc>
              <w:tc>
                <w:tcPr>
                  <w:tcW w:w="563" w:type="dxa"/>
                  <w:vAlign w:val="center"/>
                </w:tcPr>
                <w:p w14:paraId="5B9A99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69.2</w:t>
                  </w:r>
                </w:p>
              </w:tc>
              <w:tc>
                <w:tcPr>
                  <w:tcW w:w="460" w:type="dxa"/>
                  <w:vAlign w:val="center"/>
                </w:tcPr>
                <w:p w14:paraId="7710E2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3</w:t>
                  </w:r>
                </w:p>
              </w:tc>
              <w:tc>
                <w:tcPr>
                  <w:tcW w:w="591" w:type="dxa"/>
                  <w:vAlign w:val="center"/>
                </w:tcPr>
                <w:p w14:paraId="40E606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62.8</w:t>
                  </w:r>
                </w:p>
              </w:tc>
              <w:tc>
                <w:tcPr>
                  <w:tcW w:w="505" w:type="dxa"/>
                  <w:vAlign w:val="center"/>
                </w:tcPr>
                <w:p w14:paraId="22458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4</w:t>
                  </w:r>
                </w:p>
              </w:tc>
              <w:tc>
                <w:tcPr>
                  <w:tcW w:w="590" w:type="dxa"/>
                  <w:vAlign w:val="center"/>
                </w:tcPr>
                <w:p w14:paraId="3F337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69.5</w:t>
                  </w:r>
                </w:p>
              </w:tc>
              <w:tc>
                <w:tcPr>
                  <w:tcW w:w="590" w:type="dxa"/>
                  <w:vAlign w:val="center"/>
                </w:tcPr>
                <w:p w14:paraId="69852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3.5</w:t>
                  </w:r>
                </w:p>
              </w:tc>
              <w:tc>
                <w:tcPr>
                  <w:tcW w:w="590" w:type="dxa"/>
                  <w:vAlign w:val="center"/>
                </w:tcPr>
                <w:p w14:paraId="3C458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68.5</w:t>
                  </w:r>
                </w:p>
              </w:tc>
              <w:tc>
                <w:tcPr>
                  <w:tcW w:w="762" w:type="dxa"/>
                  <w:vAlign w:val="center"/>
                </w:tcPr>
                <w:p w14:paraId="17B385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5（4）</w:t>
                  </w:r>
                </w:p>
              </w:tc>
              <w:tc>
                <w:tcPr>
                  <w:tcW w:w="638" w:type="dxa"/>
                  <w:vAlign w:val="center"/>
                </w:tcPr>
                <w:p w14:paraId="79A763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22</w:t>
                  </w:r>
                </w:p>
              </w:tc>
              <w:tc>
                <w:tcPr>
                  <w:tcW w:w="450" w:type="dxa"/>
                  <w:vAlign w:val="center"/>
                </w:tcPr>
                <w:p w14:paraId="630120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5</w:t>
                  </w:r>
                </w:p>
              </w:tc>
              <w:tc>
                <w:tcPr>
                  <w:tcW w:w="581" w:type="dxa"/>
                  <w:vAlign w:val="center"/>
                </w:tcPr>
                <w:p w14:paraId="55C973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73</w:t>
                  </w:r>
                </w:p>
              </w:tc>
            </w:tr>
            <w:tr w14:paraId="7D9A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1B923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汽油罐</w:t>
                  </w:r>
                </w:p>
              </w:tc>
              <w:tc>
                <w:tcPr>
                  <w:tcW w:w="441" w:type="dxa"/>
                  <w:vAlign w:val="center"/>
                </w:tcPr>
                <w:p w14:paraId="34C464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0.5</w:t>
                  </w:r>
                </w:p>
              </w:tc>
              <w:tc>
                <w:tcPr>
                  <w:tcW w:w="563" w:type="dxa"/>
                  <w:vAlign w:val="center"/>
                </w:tcPr>
                <w:p w14:paraId="71F50B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0.6</w:t>
                  </w:r>
                </w:p>
              </w:tc>
              <w:tc>
                <w:tcPr>
                  <w:tcW w:w="460" w:type="dxa"/>
                  <w:vAlign w:val="center"/>
                </w:tcPr>
                <w:p w14:paraId="6B27E2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0.5</w:t>
                  </w:r>
                </w:p>
              </w:tc>
              <w:tc>
                <w:tcPr>
                  <w:tcW w:w="591" w:type="dxa"/>
                  <w:vAlign w:val="center"/>
                </w:tcPr>
                <w:p w14:paraId="50D521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0.6</w:t>
                  </w:r>
                </w:p>
              </w:tc>
              <w:tc>
                <w:tcPr>
                  <w:tcW w:w="505" w:type="dxa"/>
                  <w:vAlign w:val="center"/>
                </w:tcPr>
                <w:p w14:paraId="2CDFB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58F42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0.9</w:t>
                  </w:r>
                </w:p>
              </w:tc>
              <w:tc>
                <w:tcPr>
                  <w:tcW w:w="590" w:type="dxa"/>
                  <w:vAlign w:val="center"/>
                </w:tcPr>
                <w:p w14:paraId="720764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457C8F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1.1</w:t>
                  </w:r>
                </w:p>
              </w:tc>
              <w:tc>
                <w:tcPr>
                  <w:tcW w:w="762" w:type="dxa"/>
                  <w:vAlign w:val="center"/>
                </w:tcPr>
                <w:p w14:paraId="7BC5DB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638" w:type="dxa"/>
                  <w:vAlign w:val="center"/>
                </w:tcPr>
                <w:p w14:paraId="7856AE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23.6</w:t>
                  </w:r>
                </w:p>
              </w:tc>
              <w:tc>
                <w:tcPr>
                  <w:tcW w:w="450" w:type="dxa"/>
                  <w:vAlign w:val="center"/>
                </w:tcPr>
                <w:p w14:paraId="2A904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81" w:type="dxa"/>
                  <w:vAlign w:val="center"/>
                </w:tcPr>
                <w:p w14:paraId="031B3C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1.9</w:t>
                  </w:r>
                </w:p>
              </w:tc>
            </w:tr>
            <w:tr w14:paraId="76F6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14:paraId="19AC14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柴油罐</w:t>
                  </w:r>
                </w:p>
              </w:tc>
              <w:tc>
                <w:tcPr>
                  <w:tcW w:w="441" w:type="dxa"/>
                  <w:vAlign w:val="center"/>
                </w:tcPr>
                <w:p w14:paraId="6ACFC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0.5</w:t>
                  </w:r>
                </w:p>
              </w:tc>
              <w:tc>
                <w:tcPr>
                  <w:tcW w:w="563" w:type="dxa"/>
                  <w:vAlign w:val="center"/>
                </w:tcPr>
                <w:p w14:paraId="2119F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0.6</w:t>
                  </w:r>
                </w:p>
              </w:tc>
              <w:tc>
                <w:tcPr>
                  <w:tcW w:w="460" w:type="dxa"/>
                  <w:vAlign w:val="center"/>
                </w:tcPr>
                <w:p w14:paraId="3297CE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0.5</w:t>
                  </w:r>
                </w:p>
              </w:tc>
              <w:tc>
                <w:tcPr>
                  <w:tcW w:w="591" w:type="dxa"/>
                  <w:vAlign w:val="center"/>
                </w:tcPr>
                <w:p w14:paraId="0ADF3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0.6</w:t>
                  </w:r>
                </w:p>
              </w:tc>
              <w:tc>
                <w:tcPr>
                  <w:tcW w:w="505" w:type="dxa"/>
                  <w:vAlign w:val="center"/>
                </w:tcPr>
                <w:p w14:paraId="3978C3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10B5A2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1.1</w:t>
                  </w:r>
                </w:p>
              </w:tc>
              <w:tc>
                <w:tcPr>
                  <w:tcW w:w="590" w:type="dxa"/>
                  <w:vAlign w:val="center"/>
                </w:tcPr>
                <w:p w14:paraId="381A7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7C51F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0.9</w:t>
                  </w:r>
                </w:p>
              </w:tc>
              <w:tc>
                <w:tcPr>
                  <w:tcW w:w="762" w:type="dxa"/>
                  <w:vAlign w:val="center"/>
                </w:tcPr>
                <w:p w14:paraId="07972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638" w:type="dxa"/>
                  <w:vAlign w:val="center"/>
                </w:tcPr>
                <w:p w14:paraId="3470C6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18.9</w:t>
                  </w:r>
                </w:p>
              </w:tc>
              <w:tc>
                <w:tcPr>
                  <w:tcW w:w="450" w:type="dxa"/>
                  <w:vAlign w:val="center"/>
                </w:tcPr>
                <w:p w14:paraId="72AD0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81" w:type="dxa"/>
                  <w:vAlign w:val="center"/>
                </w:tcPr>
                <w:p w14:paraId="56EEB9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4.9</w:t>
                  </w:r>
                </w:p>
              </w:tc>
            </w:tr>
            <w:tr w14:paraId="7CA2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shd w:val="clear" w:color="auto" w:fill="auto"/>
                  <w:vAlign w:val="center"/>
                </w:tcPr>
                <w:p w14:paraId="3D5D0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trike w:val="0"/>
                      <w:dstrike w:val="0"/>
                      <w:color w:val="auto"/>
                      <w:kern w:val="2"/>
                      <w:sz w:val="18"/>
                      <w:szCs w:val="18"/>
                      <w:highlight w:val="none"/>
                      <w:vertAlign w:val="baseline"/>
                      <w:lang w:val="en-US" w:eastAsia="zh-CN" w:bidi="ar-SA"/>
                    </w:rPr>
                  </w:pPr>
                  <w:r>
                    <w:rPr>
                      <w:rFonts w:hint="eastAsia"/>
                      <w:b w:val="0"/>
                      <w:bCs w:val="0"/>
                      <w:strike w:val="0"/>
                      <w:dstrike w:val="0"/>
                      <w:color w:val="auto"/>
                      <w:sz w:val="18"/>
                      <w:szCs w:val="18"/>
                      <w:highlight w:val="none"/>
                      <w:vertAlign w:val="baseline"/>
                      <w:lang w:val="en-US" w:eastAsia="zh-CN"/>
                    </w:rPr>
                    <w:t>汽油通气管管口</w:t>
                  </w:r>
                </w:p>
              </w:tc>
              <w:tc>
                <w:tcPr>
                  <w:tcW w:w="441" w:type="dxa"/>
                  <w:vAlign w:val="center"/>
                </w:tcPr>
                <w:p w14:paraId="6A27F5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63" w:type="dxa"/>
                  <w:vAlign w:val="center"/>
                </w:tcPr>
                <w:p w14:paraId="67A867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0.9</w:t>
                  </w:r>
                </w:p>
              </w:tc>
              <w:tc>
                <w:tcPr>
                  <w:tcW w:w="460" w:type="dxa"/>
                  <w:vAlign w:val="center"/>
                </w:tcPr>
                <w:p w14:paraId="430FC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1" w:type="dxa"/>
                  <w:vAlign w:val="center"/>
                </w:tcPr>
                <w:p w14:paraId="04C5BB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1.1</w:t>
                  </w:r>
                </w:p>
              </w:tc>
              <w:tc>
                <w:tcPr>
                  <w:tcW w:w="505" w:type="dxa"/>
                  <w:vAlign w:val="center"/>
                </w:tcPr>
                <w:p w14:paraId="6435A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5B4C9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0.3</w:t>
                  </w:r>
                </w:p>
              </w:tc>
              <w:tc>
                <w:tcPr>
                  <w:tcW w:w="590" w:type="dxa"/>
                  <w:vAlign w:val="center"/>
                </w:tcPr>
                <w:p w14:paraId="6B8F06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74A3F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0.3</w:t>
                  </w:r>
                </w:p>
              </w:tc>
              <w:tc>
                <w:tcPr>
                  <w:tcW w:w="762" w:type="dxa"/>
                  <w:vAlign w:val="center"/>
                </w:tcPr>
                <w:p w14:paraId="0A5227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638" w:type="dxa"/>
                  <w:vAlign w:val="center"/>
                </w:tcPr>
                <w:p w14:paraId="3E40CB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26.8</w:t>
                  </w:r>
                </w:p>
              </w:tc>
              <w:tc>
                <w:tcPr>
                  <w:tcW w:w="450" w:type="dxa"/>
                  <w:vAlign w:val="center"/>
                </w:tcPr>
                <w:p w14:paraId="1D9ADD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3</w:t>
                  </w:r>
                </w:p>
              </w:tc>
              <w:tc>
                <w:tcPr>
                  <w:tcW w:w="581" w:type="dxa"/>
                  <w:vAlign w:val="center"/>
                </w:tcPr>
                <w:p w14:paraId="01AA0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8.7</w:t>
                  </w:r>
                </w:p>
              </w:tc>
            </w:tr>
            <w:tr w14:paraId="5C5C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shd w:val="clear" w:color="auto" w:fill="auto"/>
                  <w:vAlign w:val="center"/>
                </w:tcPr>
                <w:p w14:paraId="1F9CF7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trike w:val="0"/>
                      <w:dstrike w:val="0"/>
                      <w:color w:val="auto"/>
                      <w:kern w:val="2"/>
                      <w:sz w:val="18"/>
                      <w:szCs w:val="18"/>
                      <w:highlight w:val="none"/>
                      <w:vertAlign w:val="baseline"/>
                      <w:lang w:val="en-US" w:eastAsia="zh-CN" w:bidi="ar-SA"/>
                    </w:rPr>
                  </w:pPr>
                  <w:r>
                    <w:rPr>
                      <w:rFonts w:hint="eastAsia"/>
                      <w:b w:val="0"/>
                      <w:bCs w:val="0"/>
                      <w:strike w:val="0"/>
                      <w:dstrike w:val="0"/>
                      <w:color w:val="auto"/>
                      <w:sz w:val="18"/>
                      <w:szCs w:val="18"/>
                      <w:highlight w:val="none"/>
                      <w:vertAlign w:val="baseline"/>
                      <w:lang w:val="en-US" w:eastAsia="zh-CN"/>
                    </w:rPr>
                    <w:t>柴油通气管管口</w:t>
                  </w:r>
                </w:p>
              </w:tc>
              <w:tc>
                <w:tcPr>
                  <w:tcW w:w="441" w:type="dxa"/>
                  <w:vAlign w:val="center"/>
                </w:tcPr>
                <w:p w14:paraId="36B36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63" w:type="dxa"/>
                  <w:vAlign w:val="center"/>
                </w:tcPr>
                <w:p w14:paraId="7E34E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1.1</w:t>
                  </w:r>
                </w:p>
              </w:tc>
              <w:tc>
                <w:tcPr>
                  <w:tcW w:w="460" w:type="dxa"/>
                  <w:vAlign w:val="center"/>
                </w:tcPr>
                <w:p w14:paraId="082A1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1" w:type="dxa"/>
                  <w:vAlign w:val="center"/>
                </w:tcPr>
                <w:p w14:paraId="45D5A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0.9</w:t>
                  </w:r>
                </w:p>
              </w:tc>
              <w:tc>
                <w:tcPr>
                  <w:tcW w:w="505" w:type="dxa"/>
                  <w:vAlign w:val="center"/>
                </w:tcPr>
                <w:p w14:paraId="747A8A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31D4B6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0.3</w:t>
                  </w:r>
                </w:p>
              </w:tc>
              <w:tc>
                <w:tcPr>
                  <w:tcW w:w="590" w:type="dxa"/>
                  <w:vAlign w:val="center"/>
                </w:tcPr>
                <w:p w14:paraId="7878A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17F5A6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0.3</w:t>
                  </w:r>
                </w:p>
              </w:tc>
              <w:tc>
                <w:tcPr>
                  <w:tcW w:w="762" w:type="dxa"/>
                  <w:vAlign w:val="center"/>
                </w:tcPr>
                <w:p w14:paraId="6ADAC1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638" w:type="dxa"/>
                  <w:vAlign w:val="center"/>
                </w:tcPr>
                <w:p w14:paraId="203C6A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26.5</w:t>
                  </w:r>
                </w:p>
              </w:tc>
              <w:tc>
                <w:tcPr>
                  <w:tcW w:w="450" w:type="dxa"/>
                  <w:vAlign w:val="center"/>
                </w:tcPr>
                <w:p w14:paraId="1753D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w:t>
                  </w:r>
                </w:p>
              </w:tc>
              <w:tc>
                <w:tcPr>
                  <w:tcW w:w="581" w:type="dxa"/>
                  <w:vAlign w:val="center"/>
                </w:tcPr>
                <w:p w14:paraId="17D66A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9.3</w:t>
                  </w:r>
                </w:p>
              </w:tc>
            </w:tr>
            <w:tr w14:paraId="771E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shd w:val="clear" w:color="auto" w:fill="auto"/>
                  <w:vAlign w:val="center"/>
                </w:tcPr>
                <w:p w14:paraId="28572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trike w:val="0"/>
                      <w:dstrike w:val="0"/>
                      <w:color w:val="auto"/>
                      <w:kern w:val="2"/>
                      <w:sz w:val="18"/>
                      <w:szCs w:val="18"/>
                      <w:highlight w:val="none"/>
                      <w:vertAlign w:val="baseline"/>
                      <w:lang w:val="en-US" w:eastAsia="zh-CN" w:bidi="ar-SA"/>
                    </w:rPr>
                  </w:pPr>
                  <w:r>
                    <w:rPr>
                      <w:rFonts w:hint="eastAsia"/>
                      <w:b w:val="0"/>
                      <w:bCs w:val="0"/>
                      <w:strike w:val="0"/>
                      <w:dstrike w:val="0"/>
                      <w:color w:val="auto"/>
                      <w:sz w:val="18"/>
                      <w:szCs w:val="18"/>
                      <w:highlight w:val="none"/>
                      <w:vertAlign w:val="baseline"/>
                      <w:lang w:val="en-US" w:eastAsia="zh-CN"/>
                    </w:rPr>
                    <w:t>加油机</w:t>
                  </w:r>
                </w:p>
              </w:tc>
              <w:tc>
                <w:tcPr>
                  <w:tcW w:w="441" w:type="dxa"/>
                  <w:vAlign w:val="center"/>
                </w:tcPr>
                <w:p w14:paraId="7A8C6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63" w:type="dxa"/>
                  <w:vAlign w:val="center"/>
                </w:tcPr>
                <w:p w14:paraId="5265D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23.6</w:t>
                  </w:r>
                </w:p>
              </w:tc>
              <w:tc>
                <w:tcPr>
                  <w:tcW w:w="460" w:type="dxa"/>
                  <w:vAlign w:val="center"/>
                </w:tcPr>
                <w:p w14:paraId="07FB8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1" w:type="dxa"/>
                  <w:vAlign w:val="center"/>
                </w:tcPr>
                <w:p w14:paraId="5A2216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18.9</w:t>
                  </w:r>
                </w:p>
              </w:tc>
              <w:tc>
                <w:tcPr>
                  <w:tcW w:w="505" w:type="dxa"/>
                  <w:vAlign w:val="center"/>
                </w:tcPr>
                <w:p w14:paraId="0D4EF5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44D855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26.8</w:t>
                  </w:r>
                </w:p>
              </w:tc>
              <w:tc>
                <w:tcPr>
                  <w:tcW w:w="590" w:type="dxa"/>
                  <w:vAlign w:val="center"/>
                </w:tcPr>
                <w:p w14:paraId="28997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90" w:type="dxa"/>
                  <w:vAlign w:val="center"/>
                </w:tcPr>
                <w:p w14:paraId="59DEFA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26.5</w:t>
                  </w:r>
                </w:p>
              </w:tc>
              <w:tc>
                <w:tcPr>
                  <w:tcW w:w="762" w:type="dxa"/>
                  <w:vAlign w:val="center"/>
                </w:tcPr>
                <w:p w14:paraId="7671AB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638" w:type="dxa"/>
                  <w:vAlign w:val="center"/>
                </w:tcPr>
                <w:p w14:paraId="56E5B4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8</w:t>
                  </w:r>
                </w:p>
              </w:tc>
              <w:tc>
                <w:tcPr>
                  <w:tcW w:w="450" w:type="dxa"/>
                  <w:vAlign w:val="center"/>
                </w:tcPr>
                <w:p w14:paraId="5D195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81" w:type="dxa"/>
                  <w:vAlign w:val="center"/>
                </w:tcPr>
                <w:p w14:paraId="13A55C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25.7</w:t>
                  </w:r>
                </w:p>
              </w:tc>
            </w:tr>
            <w:tr w14:paraId="21FD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shd w:val="clear" w:color="auto" w:fill="auto"/>
                  <w:vAlign w:val="center"/>
                </w:tcPr>
                <w:p w14:paraId="6C1F0D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trike w:val="0"/>
                      <w:dstrike w:val="0"/>
                      <w:color w:val="auto"/>
                      <w:kern w:val="2"/>
                      <w:sz w:val="18"/>
                      <w:szCs w:val="18"/>
                      <w:highlight w:val="none"/>
                      <w:vertAlign w:val="baseline"/>
                      <w:lang w:val="en-US" w:eastAsia="zh-CN" w:bidi="ar-SA"/>
                    </w:rPr>
                  </w:pPr>
                  <w:r>
                    <w:rPr>
                      <w:rFonts w:hint="eastAsia"/>
                      <w:b w:val="0"/>
                      <w:bCs w:val="0"/>
                      <w:strike w:val="0"/>
                      <w:dstrike w:val="0"/>
                      <w:color w:val="auto"/>
                      <w:sz w:val="18"/>
                      <w:szCs w:val="18"/>
                      <w:highlight w:val="none"/>
                      <w:vertAlign w:val="baseline"/>
                      <w:lang w:val="en-US" w:eastAsia="zh-CN"/>
                    </w:rPr>
                    <w:t>箱式变压器</w:t>
                  </w:r>
                </w:p>
              </w:tc>
              <w:tc>
                <w:tcPr>
                  <w:tcW w:w="441" w:type="dxa"/>
                  <w:vAlign w:val="center"/>
                </w:tcPr>
                <w:p w14:paraId="34CBFC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7.5</w:t>
                  </w:r>
                </w:p>
              </w:tc>
              <w:tc>
                <w:tcPr>
                  <w:tcW w:w="563" w:type="dxa"/>
                  <w:vAlign w:val="center"/>
                </w:tcPr>
                <w:p w14:paraId="43B602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68.9</w:t>
                  </w:r>
                </w:p>
              </w:tc>
              <w:tc>
                <w:tcPr>
                  <w:tcW w:w="460" w:type="dxa"/>
                  <w:vAlign w:val="center"/>
                </w:tcPr>
                <w:p w14:paraId="2F1AD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7.5</w:t>
                  </w:r>
                </w:p>
              </w:tc>
              <w:tc>
                <w:tcPr>
                  <w:tcW w:w="591" w:type="dxa"/>
                  <w:vAlign w:val="center"/>
                </w:tcPr>
                <w:p w14:paraId="0BE474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62.5</w:t>
                  </w:r>
                </w:p>
              </w:tc>
              <w:tc>
                <w:tcPr>
                  <w:tcW w:w="505" w:type="dxa"/>
                  <w:vAlign w:val="center"/>
                </w:tcPr>
                <w:p w14:paraId="1B9A5A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7.5</w:t>
                  </w:r>
                </w:p>
              </w:tc>
              <w:tc>
                <w:tcPr>
                  <w:tcW w:w="590" w:type="dxa"/>
                  <w:vAlign w:val="center"/>
                </w:tcPr>
                <w:p w14:paraId="73717A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69.3</w:t>
                  </w:r>
                </w:p>
              </w:tc>
              <w:tc>
                <w:tcPr>
                  <w:tcW w:w="590" w:type="dxa"/>
                  <w:vAlign w:val="center"/>
                </w:tcPr>
                <w:p w14:paraId="4B493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7.5</w:t>
                  </w:r>
                </w:p>
              </w:tc>
              <w:tc>
                <w:tcPr>
                  <w:tcW w:w="590" w:type="dxa"/>
                  <w:vAlign w:val="center"/>
                </w:tcPr>
                <w:p w14:paraId="3CDC9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68.2</w:t>
                  </w:r>
                </w:p>
              </w:tc>
              <w:tc>
                <w:tcPr>
                  <w:tcW w:w="762" w:type="dxa"/>
                  <w:vAlign w:val="center"/>
                </w:tcPr>
                <w:p w14:paraId="1C483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7.5</w:t>
                  </w:r>
                </w:p>
              </w:tc>
              <w:tc>
                <w:tcPr>
                  <w:tcW w:w="638" w:type="dxa"/>
                  <w:vAlign w:val="center"/>
                </w:tcPr>
                <w:p w14:paraId="705B49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28.8</w:t>
                  </w:r>
                </w:p>
              </w:tc>
              <w:tc>
                <w:tcPr>
                  <w:tcW w:w="450" w:type="dxa"/>
                  <w:vAlign w:val="center"/>
                </w:tcPr>
                <w:p w14:paraId="36C0A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7.5</w:t>
                  </w:r>
                </w:p>
              </w:tc>
              <w:tc>
                <w:tcPr>
                  <w:tcW w:w="581" w:type="dxa"/>
                  <w:vAlign w:val="center"/>
                </w:tcPr>
                <w:p w14:paraId="0497B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72.7</w:t>
                  </w:r>
                </w:p>
              </w:tc>
            </w:tr>
            <w:tr w14:paraId="52B1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shd w:val="clear" w:color="auto" w:fill="auto"/>
                  <w:vAlign w:val="center"/>
                </w:tcPr>
                <w:p w14:paraId="2E2D88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站区围墙</w:t>
                  </w:r>
                </w:p>
              </w:tc>
              <w:tc>
                <w:tcPr>
                  <w:tcW w:w="441" w:type="dxa"/>
                  <w:vAlign w:val="center"/>
                </w:tcPr>
                <w:p w14:paraId="50583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w:t>
                  </w:r>
                </w:p>
              </w:tc>
              <w:tc>
                <w:tcPr>
                  <w:tcW w:w="563" w:type="dxa"/>
                  <w:vAlign w:val="center"/>
                </w:tcPr>
                <w:p w14:paraId="2287BD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5.2</w:t>
                  </w:r>
                </w:p>
              </w:tc>
              <w:tc>
                <w:tcPr>
                  <w:tcW w:w="460" w:type="dxa"/>
                  <w:vAlign w:val="center"/>
                </w:tcPr>
                <w:p w14:paraId="689BE8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w:t>
                  </w:r>
                </w:p>
              </w:tc>
              <w:tc>
                <w:tcPr>
                  <w:tcW w:w="591" w:type="dxa"/>
                  <w:vAlign w:val="center"/>
                </w:tcPr>
                <w:p w14:paraId="6B8AEB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5.5</w:t>
                  </w:r>
                </w:p>
              </w:tc>
              <w:tc>
                <w:tcPr>
                  <w:tcW w:w="505" w:type="dxa"/>
                  <w:vAlign w:val="center"/>
                </w:tcPr>
                <w:p w14:paraId="1A49C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w:t>
                  </w:r>
                </w:p>
              </w:tc>
              <w:tc>
                <w:tcPr>
                  <w:tcW w:w="590" w:type="dxa"/>
                  <w:vAlign w:val="center"/>
                </w:tcPr>
                <w:p w14:paraId="7FA292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4.8</w:t>
                  </w:r>
                </w:p>
              </w:tc>
              <w:tc>
                <w:tcPr>
                  <w:tcW w:w="590" w:type="dxa"/>
                  <w:vAlign w:val="center"/>
                </w:tcPr>
                <w:p w14:paraId="70FF48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w:t>
                  </w:r>
                </w:p>
              </w:tc>
              <w:tc>
                <w:tcPr>
                  <w:tcW w:w="590" w:type="dxa"/>
                  <w:vAlign w:val="center"/>
                </w:tcPr>
                <w:p w14:paraId="3771E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4.8</w:t>
                  </w:r>
                </w:p>
              </w:tc>
              <w:tc>
                <w:tcPr>
                  <w:tcW w:w="762" w:type="dxa"/>
                  <w:vAlign w:val="center"/>
                </w:tcPr>
                <w:p w14:paraId="76B307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638" w:type="dxa"/>
                  <w:vAlign w:val="center"/>
                </w:tcPr>
                <w:p w14:paraId="4071E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29.8</w:t>
                  </w:r>
                </w:p>
              </w:tc>
              <w:tc>
                <w:tcPr>
                  <w:tcW w:w="450" w:type="dxa"/>
                  <w:vAlign w:val="center"/>
                </w:tcPr>
                <w:p w14:paraId="605E4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w:t>
                  </w:r>
                </w:p>
              </w:tc>
              <w:tc>
                <w:tcPr>
                  <w:tcW w:w="581" w:type="dxa"/>
                  <w:vAlign w:val="center"/>
                </w:tcPr>
                <w:p w14:paraId="3C2B0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strike w:val="0"/>
                      <w:dstrike w:val="0"/>
                      <w:color w:val="auto"/>
                      <w:sz w:val="18"/>
                      <w:szCs w:val="18"/>
                      <w:highlight w:val="none"/>
                      <w:vertAlign w:val="baseline"/>
                      <w:lang w:val="en-US" w:eastAsia="zh-CN"/>
                    </w:rPr>
                  </w:pPr>
                  <w:r>
                    <w:rPr>
                      <w:rFonts w:hint="eastAsia"/>
                      <w:b w:val="0"/>
                      <w:bCs w:val="0"/>
                      <w:strike w:val="0"/>
                      <w:dstrike w:val="0"/>
                      <w:color w:val="auto"/>
                      <w:sz w:val="18"/>
                      <w:szCs w:val="18"/>
                      <w:highlight w:val="none"/>
                      <w:vertAlign w:val="baseline"/>
                      <w:lang w:val="en-US" w:eastAsia="zh-CN"/>
                    </w:rPr>
                    <w:t>5.5</w:t>
                  </w:r>
                </w:p>
              </w:tc>
            </w:tr>
            <w:tr w14:paraId="20C5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9" w:type="dxa"/>
                  <w:gridSpan w:val="13"/>
                  <w:shd w:val="clear" w:color="auto" w:fill="auto"/>
                  <w:vAlign w:val="center"/>
                </w:tcPr>
                <w:p w14:paraId="19D8D97D">
                  <w:pPr>
                    <w:jc w:val="left"/>
                    <w:rPr>
                      <w:rFonts w:hint="default" w:eastAsia="宋体"/>
                      <w:b/>
                      <w:bCs/>
                      <w:strike w:val="0"/>
                      <w:dstrike w:val="0"/>
                      <w:color w:val="auto"/>
                      <w:sz w:val="18"/>
                      <w:szCs w:val="18"/>
                      <w:highlight w:val="none"/>
                      <w:vertAlign w:val="baseline"/>
                      <w:lang w:val="en-US" w:eastAsia="zh-CN"/>
                    </w:rPr>
                  </w:pPr>
                  <w:r>
                    <w:rPr>
                      <w:strike w:val="0"/>
                      <w:dstrike w:val="0"/>
                      <w:color w:val="auto"/>
                      <w:sz w:val="18"/>
                      <w:szCs w:val="18"/>
                      <w:highlight w:val="none"/>
                    </w:rPr>
                    <w:t>备注：表中括号内数字为柴油</w:t>
                  </w:r>
                  <w:r>
                    <w:rPr>
                      <w:rFonts w:hint="eastAsia"/>
                      <w:strike w:val="0"/>
                      <w:dstrike w:val="0"/>
                      <w:color w:val="auto"/>
                      <w:sz w:val="18"/>
                      <w:szCs w:val="18"/>
                      <w:highlight w:val="none"/>
                      <w:lang w:val="en-US" w:eastAsia="zh-CN"/>
                    </w:rPr>
                    <w:t>加油机</w:t>
                  </w:r>
                  <w:r>
                    <w:rPr>
                      <w:strike w:val="0"/>
                      <w:dstrike w:val="0"/>
                      <w:color w:val="auto"/>
                      <w:sz w:val="18"/>
                      <w:szCs w:val="18"/>
                      <w:highlight w:val="none"/>
                    </w:rPr>
                    <w:t>间距</w:t>
                  </w:r>
                </w:p>
              </w:tc>
            </w:tr>
          </w:tbl>
          <w:p w14:paraId="4A812765">
            <w:pPr>
              <w:spacing w:line="360" w:lineRule="auto"/>
              <w:jc w:val="center"/>
              <w:rPr>
                <w:b/>
                <w:bCs/>
                <w:strike w:val="0"/>
                <w:dstrike w:val="0"/>
                <w:color w:val="auto"/>
                <w:sz w:val="24"/>
                <w:szCs w:val="32"/>
                <w:highlight w:val="none"/>
              </w:rPr>
            </w:pPr>
            <w:r>
              <w:rPr>
                <w:rFonts w:hint="eastAsia"/>
                <w:b/>
                <w:bCs/>
                <w:strike w:val="0"/>
                <w:dstrike w:val="0"/>
                <w:color w:val="auto"/>
                <w:sz w:val="24"/>
                <w:highlight w:val="none"/>
                <w:lang w:val="en-US" w:eastAsia="zh-CN"/>
              </w:rPr>
              <w:t>表1.13-4  LNG工艺设备站内设施的防火间距</w:t>
            </w:r>
            <w:r>
              <w:rPr>
                <w:b/>
                <w:bCs/>
                <w:strike w:val="0"/>
                <w:dstrike w:val="0"/>
                <w:color w:val="auto"/>
                <w:sz w:val="24"/>
                <w:szCs w:val="32"/>
                <w:highlight w:val="none"/>
              </w:rPr>
              <w:t>（单位：m）</w:t>
            </w:r>
          </w:p>
          <w:tbl>
            <w:tblPr>
              <w:tblStyle w:val="23"/>
              <w:tblW w:w="7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60"/>
              <w:gridCol w:w="403"/>
              <w:gridCol w:w="665"/>
              <w:gridCol w:w="507"/>
              <w:gridCol w:w="665"/>
              <w:gridCol w:w="460"/>
              <w:gridCol w:w="609"/>
              <w:gridCol w:w="562"/>
              <w:gridCol w:w="629"/>
              <w:gridCol w:w="534"/>
              <w:gridCol w:w="691"/>
            </w:tblGrid>
            <w:tr w14:paraId="4F9C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Merge w:val="restart"/>
                  <w:vAlign w:val="center"/>
                </w:tcPr>
                <w:p w14:paraId="6C9F1164">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b/>
                      <w:bCs/>
                      <w:strike w:val="0"/>
                      <w:dstrike w:val="0"/>
                      <w:color w:val="auto"/>
                      <w:sz w:val="18"/>
                      <w:szCs w:val="18"/>
                      <w:highlight w:val="none"/>
                      <w:vertAlign w:val="baseline"/>
                      <w:lang w:val="en-US" w:eastAsia="zh-CN"/>
                    </w:rPr>
                  </w:pPr>
                  <w:r>
                    <w:rPr>
                      <w:b/>
                      <w:bCs/>
                      <w:strike w:val="0"/>
                      <w:dstrike w:val="0"/>
                      <w:color w:val="auto"/>
                      <w:sz w:val="18"/>
                      <w:szCs w:val="18"/>
                      <w:highlight w:val="none"/>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12700</wp:posOffset>
                            </wp:positionV>
                            <wp:extent cx="1263650" cy="572135"/>
                            <wp:effectExtent l="1905" t="4445" r="10795" b="13970"/>
                            <wp:wrapNone/>
                            <wp:docPr id="18" name="直接连接符 18"/>
                            <wp:cNvGraphicFramePr/>
                            <a:graphic xmlns:a="http://schemas.openxmlformats.org/drawingml/2006/main">
                              <a:graphicData uri="http://schemas.microsoft.com/office/word/2010/wordprocessingShape">
                                <wps:wsp>
                                  <wps:cNvCnPr/>
                                  <wps:spPr>
                                    <a:xfrm>
                                      <a:off x="1485900" y="4909185"/>
                                      <a:ext cx="1263650" cy="57213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25pt;margin-top:1pt;height:45.05pt;width:99.5pt;z-index:251664384;mso-width-relative:page;mso-height-relative:page;" filled="f" stroked="t" coordsize="21600,21600" o:gfxdata="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9AXA9QA&#10;AAAIAQAADwAAAAAAAAABACAAAAAiAAAAZHJzL2Rvd25yZXYueG1sUEsBAhQAFAAAAAgAh07iQIx0&#10;PCLqAQAArQMAAA4AAAAAAAAAAQAgAAAAIwEAAGRycy9lMm9Eb2MueG1sUEsFBgAAAAAGAAYAWQEA&#10;AH8FAAAAAA==&#10;">
                            <v:fill on="f" focussize="0,0"/>
                            <v:stroke weight="0.5pt" color="#000000 [3213]" joinstyle="round"/>
                            <v:imagedata o:title=""/>
                            <o:lock v:ext="edit" aspectratio="f"/>
                          </v:line>
                        </w:pict>
                      </mc:Fallback>
                    </mc:AlternateContent>
                  </w:r>
                  <w:r>
                    <w:rPr>
                      <w:rFonts w:hint="eastAsia"/>
                      <w:b/>
                      <w:bCs/>
                      <w:strike w:val="0"/>
                      <w:dstrike w:val="0"/>
                      <w:color w:val="auto"/>
                      <w:sz w:val="18"/>
                      <w:szCs w:val="18"/>
                      <w:highlight w:val="none"/>
                      <w:vertAlign w:val="baseline"/>
                      <w:lang w:val="en-US" w:eastAsia="zh-CN"/>
                    </w:rPr>
                    <w:t>名称</w:t>
                  </w:r>
                </w:p>
                <w:p w14:paraId="28CCCD4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bCs/>
                      <w:strike w:val="0"/>
                      <w:dstrike w:val="0"/>
                      <w:color w:val="auto"/>
                      <w:sz w:val="18"/>
                      <w:szCs w:val="18"/>
                      <w:highlight w:val="none"/>
                      <w:vertAlign w:val="baseline"/>
                      <w:lang w:val="en-US" w:eastAsia="zh-CN"/>
                    </w:rPr>
                  </w:pPr>
                </w:p>
                <w:p w14:paraId="3826B98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项目</w:t>
                  </w:r>
                </w:p>
              </w:tc>
              <w:tc>
                <w:tcPr>
                  <w:tcW w:w="1068" w:type="dxa"/>
                  <w:gridSpan w:val="2"/>
                  <w:vAlign w:val="center"/>
                </w:tcPr>
                <w:p w14:paraId="61AA6B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trike w:val="0"/>
                      <w:dstrike w:val="0"/>
                      <w:color w:val="auto"/>
                      <w:sz w:val="18"/>
                      <w:szCs w:val="18"/>
                      <w:highlight w:val="none"/>
                      <w:vertAlign w:val="baseline"/>
                      <w:lang w:val="en-US"/>
                    </w:rPr>
                  </w:pPr>
                  <w:r>
                    <w:rPr>
                      <w:rFonts w:hint="eastAsia"/>
                      <w:b/>
                      <w:bCs/>
                      <w:strike w:val="0"/>
                      <w:dstrike w:val="0"/>
                      <w:color w:val="auto"/>
                      <w:sz w:val="18"/>
                      <w:szCs w:val="18"/>
                      <w:highlight w:val="none"/>
                      <w:vertAlign w:val="baseline"/>
                      <w:lang w:val="en-US" w:eastAsia="zh-CN"/>
                    </w:rPr>
                    <w:t>LNG储罐（二级站）</w:t>
                  </w:r>
                </w:p>
              </w:tc>
              <w:tc>
                <w:tcPr>
                  <w:tcW w:w="1172" w:type="dxa"/>
                  <w:gridSpan w:val="2"/>
                  <w:vAlign w:val="center"/>
                </w:tcPr>
                <w:p w14:paraId="23FC60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trike w:val="0"/>
                      <w:dstrike w:val="0"/>
                      <w:color w:val="auto"/>
                      <w:sz w:val="18"/>
                      <w:szCs w:val="18"/>
                      <w:highlight w:val="none"/>
                      <w:vertAlign w:val="baseline"/>
                      <w:lang w:val="en-US"/>
                    </w:rPr>
                  </w:pPr>
                  <w:r>
                    <w:rPr>
                      <w:rFonts w:hint="eastAsia"/>
                      <w:b/>
                      <w:bCs/>
                      <w:strike w:val="0"/>
                      <w:dstrike w:val="0"/>
                      <w:color w:val="auto"/>
                      <w:sz w:val="18"/>
                      <w:szCs w:val="18"/>
                      <w:highlight w:val="none"/>
                      <w:vertAlign w:val="baseline"/>
                      <w:lang w:val="en-US" w:eastAsia="zh-CN"/>
                    </w:rPr>
                    <w:t>LNG放散管管口</w:t>
                  </w:r>
                </w:p>
              </w:tc>
              <w:tc>
                <w:tcPr>
                  <w:tcW w:w="1069" w:type="dxa"/>
                  <w:gridSpan w:val="2"/>
                  <w:vAlign w:val="center"/>
                </w:tcPr>
                <w:p w14:paraId="5E90C4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18"/>
                      <w:szCs w:val="18"/>
                      <w:highlight w:val="none"/>
                      <w:vertAlign w:val="baseline"/>
                    </w:rPr>
                  </w:pPr>
                  <w:r>
                    <w:rPr>
                      <w:rFonts w:hint="eastAsia"/>
                      <w:b/>
                      <w:bCs/>
                      <w:strike w:val="0"/>
                      <w:dstrike w:val="0"/>
                      <w:color w:val="auto"/>
                      <w:sz w:val="18"/>
                      <w:szCs w:val="18"/>
                      <w:highlight w:val="none"/>
                      <w:vertAlign w:val="baseline"/>
                      <w:lang w:val="en-US" w:eastAsia="zh-CN"/>
                    </w:rPr>
                    <w:t>LNG卸车点</w:t>
                  </w:r>
                </w:p>
              </w:tc>
              <w:tc>
                <w:tcPr>
                  <w:tcW w:w="1191" w:type="dxa"/>
                  <w:gridSpan w:val="2"/>
                  <w:vAlign w:val="center"/>
                </w:tcPr>
                <w:p w14:paraId="01883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18"/>
                      <w:szCs w:val="18"/>
                      <w:highlight w:val="none"/>
                      <w:vertAlign w:val="baseline"/>
                    </w:rPr>
                  </w:pPr>
                  <w:r>
                    <w:rPr>
                      <w:rFonts w:hint="eastAsia"/>
                      <w:b/>
                      <w:bCs/>
                      <w:strike w:val="0"/>
                      <w:dstrike w:val="0"/>
                      <w:color w:val="auto"/>
                      <w:sz w:val="18"/>
                      <w:szCs w:val="18"/>
                      <w:highlight w:val="none"/>
                      <w:vertAlign w:val="baseline"/>
                      <w:lang w:val="en-US" w:eastAsia="zh-CN"/>
                    </w:rPr>
                    <w:t>LNG加气机</w:t>
                  </w:r>
                </w:p>
              </w:tc>
              <w:tc>
                <w:tcPr>
                  <w:tcW w:w="1225" w:type="dxa"/>
                  <w:gridSpan w:val="2"/>
                  <w:vAlign w:val="center"/>
                </w:tcPr>
                <w:p w14:paraId="1DCA5B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trike w:val="0"/>
                      <w:dstrike w:val="0"/>
                      <w:color w:val="auto"/>
                      <w:sz w:val="18"/>
                      <w:szCs w:val="18"/>
                      <w:highlight w:val="none"/>
                      <w:vertAlign w:val="baseline"/>
                      <w:lang w:val="en-US"/>
                    </w:rPr>
                  </w:pPr>
                  <w:r>
                    <w:rPr>
                      <w:rFonts w:hint="eastAsia"/>
                      <w:b/>
                      <w:bCs/>
                      <w:strike w:val="0"/>
                      <w:dstrike w:val="0"/>
                      <w:color w:val="auto"/>
                      <w:sz w:val="18"/>
                      <w:szCs w:val="18"/>
                      <w:highlight w:val="none"/>
                      <w:vertAlign w:val="baseline"/>
                      <w:lang w:val="en-US" w:eastAsia="zh-CN"/>
                    </w:rPr>
                    <w:t>LNG潜液泵池</w:t>
                  </w:r>
                </w:p>
              </w:tc>
            </w:tr>
            <w:tr w14:paraId="5E00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Merge w:val="continue"/>
                  <w:vAlign w:val="center"/>
                </w:tcPr>
                <w:p w14:paraId="11FD9C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trike w:val="0"/>
                      <w:dstrike w:val="0"/>
                      <w:color w:val="auto"/>
                      <w:sz w:val="18"/>
                      <w:szCs w:val="18"/>
                      <w:highlight w:val="none"/>
                    </w:rPr>
                  </w:pPr>
                </w:p>
              </w:tc>
              <w:tc>
                <w:tcPr>
                  <w:tcW w:w="403" w:type="dxa"/>
                  <w:vAlign w:val="center"/>
                </w:tcPr>
                <w:p w14:paraId="231CF4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规范</w:t>
                  </w:r>
                </w:p>
              </w:tc>
              <w:tc>
                <w:tcPr>
                  <w:tcW w:w="665" w:type="dxa"/>
                  <w:vAlign w:val="center"/>
                </w:tcPr>
                <w:p w14:paraId="2F920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本项目</w:t>
                  </w:r>
                </w:p>
              </w:tc>
              <w:tc>
                <w:tcPr>
                  <w:tcW w:w="507" w:type="dxa"/>
                  <w:vAlign w:val="center"/>
                </w:tcPr>
                <w:p w14:paraId="2BFCC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规范</w:t>
                  </w:r>
                </w:p>
              </w:tc>
              <w:tc>
                <w:tcPr>
                  <w:tcW w:w="665" w:type="dxa"/>
                  <w:vAlign w:val="center"/>
                </w:tcPr>
                <w:p w14:paraId="550159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本项目</w:t>
                  </w:r>
                </w:p>
              </w:tc>
              <w:tc>
                <w:tcPr>
                  <w:tcW w:w="460" w:type="dxa"/>
                  <w:vAlign w:val="center"/>
                </w:tcPr>
                <w:p w14:paraId="721A02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规范</w:t>
                  </w:r>
                </w:p>
              </w:tc>
              <w:tc>
                <w:tcPr>
                  <w:tcW w:w="609" w:type="dxa"/>
                  <w:vAlign w:val="center"/>
                </w:tcPr>
                <w:p w14:paraId="3E623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本项目</w:t>
                  </w:r>
                </w:p>
              </w:tc>
              <w:tc>
                <w:tcPr>
                  <w:tcW w:w="562" w:type="dxa"/>
                  <w:vAlign w:val="center"/>
                </w:tcPr>
                <w:p w14:paraId="0C73E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规范</w:t>
                  </w:r>
                </w:p>
              </w:tc>
              <w:tc>
                <w:tcPr>
                  <w:tcW w:w="629" w:type="dxa"/>
                  <w:vAlign w:val="center"/>
                </w:tcPr>
                <w:p w14:paraId="6FBD49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本项目</w:t>
                  </w:r>
                </w:p>
              </w:tc>
              <w:tc>
                <w:tcPr>
                  <w:tcW w:w="534" w:type="dxa"/>
                  <w:vAlign w:val="center"/>
                </w:tcPr>
                <w:p w14:paraId="04CF4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规范</w:t>
                  </w:r>
                </w:p>
              </w:tc>
              <w:tc>
                <w:tcPr>
                  <w:tcW w:w="691" w:type="dxa"/>
                  <w:vAlign w:val="center"/>
                </w:tcPr>
                <w:p w14:paraId="5AFB49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trike w:val="0"/>
                      <w:dstrike w:val="0"/>
                      <w:color w:val="auto"/>
                      <w:sz w:val="18"/>
                      <w:szCs w:val="18"/>
                      <w:highlight w:val="none"/>
                      <w:vertAlign w:val="baseline"/>
                      <w:lang w:val="en-US" w:eastAsia="zh-CN"/>
                    </w:rPr>
                  </w:pPr>
                  <w:r>
                    <w:rPr>
                      <w:rFonts w:hint="eastAsia"/>
                      <w:b/>
                      <w:bCs/>
                      <w:strike w:val="0"/>
                      <w:dstrike w:val="0"/>
                      <w:color w:val="auto"/>
                      <w:sz w:val="18"/>
                      <w:szCs w:val="18"/>
                      <w:highlight w:val="none"/>
                      <w:vertAlign w:val="baseline"/>
                      <w:lang w:val="en-US" w:eastAsia="zh-CN"/>
                    </w:rPr>
                    <w:t>本项目</w:t>
                  </w:r>
                </w:p>
              </w:tc>
            </w:tr>
            <w:tr w14:paraId="01B9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5DE10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汽油罐</w:t>
                  </w:r>
                </w:p>
              </w:tc>
              <w:tc>
                <w:tcPr>
                  <w:tcW w:w="403" w:type="dxa"/>
                  <w:vAlign w:val="center"/>
                </w:tcPr>
                <w:p w14:paraId="2D495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10</w:t>
                  </w:r>
                </w:p>
              </w:tc>
              <w:tc>
                <w:tcPr>
                  <w:tcW w:w="665" w:type="dxa"/>
                  <w:vAlign w:val="center"/>
                </w:tcPr>
                <w:p w14:paraId="4E73B2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17.1</w:t>
                  </w:r>
                </w:p>
              </w:tc>
              <w:tc>
                <w:tcPr>
                  <w:tcW w:w="507" w:type="dxa"/>
                  <w:vAlign w:val="center"/>
                </w:tcPr>
                <w:p w14:paraId="023B2A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65" w:type="dxa"/>
                  <w:vAlign w:val="center"/>
                </w:tcPr>
                <w:p w14:paraId="324F2B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17.5</w:t>
                  </w:r>
                </w:p>
              </w:tc>
              <w:tc>
                <w:tcPr>
                  <w:tcW w:w="460" w:type="dxa"/>
                  <w:vAlign w:val="center"/>
                </w:tcPr>
                <w:p w14:paraId="246050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09" w:type="dxa"/>
                  <w:vAlign w:val="center"/>
                </w:tcPr>
                <w:p w14:paraId="6BDBED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17.5</w:t>
                  </w:r>
                </w:p>
              </w:tc>
              <w:tc>
                <w:tcPr>
                  <w:tcW w:w="562" w:type="dxa"/>
                  <w:vAlign w:val="center"/>
                </w:tcPr>
                <w:p w14:paraId="249BC6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4</w:t>
                  </w:r>
                </w:p>
              </w:tc>
              <w:tc>
                <w:tcPr>
                  <w:tcW w:w="629" w:type="dxa"/>
                  <w:vAlign w:val="center"/>
                </w:tcPr>
                <w:p w14:paraId="5697E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17.3</w:t>
                  </w:r>
                </w:p>
              </w:tc>
              <w:tc>
                <w:tcPr>
                  <w:tcW w:w="534" w:type="dxa"/>
                  <w:vAlign w:val="center"/>
                </w:tcPr>
                <w:p w14:paraId="5974DF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91" w:type="dxa"/>
                  <w:vAlign w:val="center"/>
                </w:tcPr>
                <w:p w14:paraId="4B778C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17.3</w:t>
                  </w:r>
                </w:p>
              </w:tc>
            </w:tr>
            <w:tr w14:paraId="024F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2302C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柴油罐</w:t>
                  </w:r>
                </w:p>
              </w:tc>
              <w:tc>
                <w:tcPr>
                  <w:tcW w:w="403" w:type="dxa"/>
                  <w:vAlign w:val="center"/>
                </w:tcPr>
                <w:p w14:paraId="6D04C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8</w:t>
                  </w:r>
                </w:p>
              </w:tc>
              <w:tc>
                <w:tcPr>
                  <w:tcW w:w="665" w:type="dxa"/>
                  <w:vAlign w:val="center"/>
                </w:tcPr>
                <w:p w14:paraId="556D9C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23.4</w:t>
                  </w:r>
                </w:p>
              </w:tc>
              <w:tc>
                <w:tcPr>
                  <w:tcW w:w="507" w:type="dxa"/>
                  <w:vAlign w:val="center"/>
                </w:tcPr>
                <w:p w14:paraId="451AE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65" w:type="dxa"/>
                  <w:vAlign w:val="center"/>
                </w:tcPr>
                <w:p w14:paraId="4FD212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23.8</w:t>
                  </w:r>
                </w:p>
              </w:tc>
              <w:tc>
                <w:tcPr>
                  <w:tcW w:w="460" w:type="dxa"/>
                  <w:vAlign w:val="center"/>
                </w:tcPr>
                <w:p w14:paraId="601484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09" w:type="dxa"/>
                  <w:vAlign w:val="center"/>
                </w:tcPr>
                <w:p w14:paraId="24E297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2.38</w:t>
                  </w:r>
                </w:p>
              </w:tc>
              <w:tc>
                <w:tcPr>
                  <w:tcW w:w="562" w:type="dxa"/>
                  <w:vAlign w:val="center"/>
                </w:tcPr>
                <w:p w14:paraId="20003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4</w:t>
                  </w:r>
                </w:p>
              </w:tc>
              <w:tc>
                <w:tcPr>
                  <w:tcW w:w="629" w:type="dxa"/>
                  <w:vAlign w:val="center"/>
                </w:tcPr>
                <w:p w14:paraId="0CD9BD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23.5</w:t>
                  </w:r>
                </w:p>
              </w:tc>
              <w:tc>
                <w:tcPr>
                  <w:tcW w:w="534" w:type="dxa"/>
                  <w:vAlign w:val="center"/>
                </w:tcPr>
                <w:p w14:paraId="61E743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91" w:type="dxa"/>
                  <w:vAlign w:val="center"/>
                </w:tcPr>
                <w:p w14:paraId="5D2FC3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23.5</w:t>
                  </w:r>
                </w:p>
              </w:tc>
            </w:tr>
            <w:tr w14:paraId="4A94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494E1F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汽油通气管管口</w:t>
                  </w:r>
                </w:p>
              </w:tc>
              <w:tc>
                <w:tcPr>
                  <w:tcW w:w="403" w:type="dxa"/>
                  <w:vAlign w:val="center"/>
                </w:tcPr>
                <w:p w14:paraId="08738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8</w:t>
                  </w:r>
                </w:p>
              </w:tc>
              <w:tc>
                <w:tcPr>
                  <w:tcW w:w="665" w:type="dxa"/>
                  <w:vAlign w:val="center"/>
                </w:tcPr>
                <w:p w14:paraId="4623EA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23.5</w:t>
                  </w:r>
                </w:p>
              </w:tc>
              <w:tc>
                <w:tcPr>
                  <w:tcW w:w="507" w:type="dxa"/>
                  <w:vAlign w:val="center"/>
                </w:tcPr>
                <w:p w14:paraId="6C684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65" w:type="dxa"/>
                  <w:vAlign w:val="center"/>
                </w:tcPr>
                <w:p w14:paraId="3F709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24.0</w:t>
                  </w:r>
                </w:p>
              </w:tc>
              <w:tc>
                <w:tcPr>
                  <w:tcW w:w="460" w:type="dxa"/>
                  <w:vAlign w:val="center"/>
                </w:tcPr>
                <w:p w14:paraId="669293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8</w:t>
                  </w:r>
                </w:p>
              </w:tc>
              <w:tc>
                <w:tcPr>
                  <w:tcW w:w="609" w:type="dxa"/>
                  <w:vAlign w:val="center"/>
                </w:tcPr>
                <w:p w14:paraId="62447A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24.0</w:t>
                  </w:r>
                </w:p>
              </w:tc>
              <w:tc>
                <w:tcPr>
                  <w:tcW w:w="562" w:type="dxa"/>
                  <w:vAlign w:val="center"/>
                </w:tcPr>
                <w:p w14:paraId="51A20F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8</w:t>
                  </w:r>
                </w:p>
              </w:tc>
              <w:tc>
                <w:tcPr>
                  <w:tcW w:w="629" w:type="dxa"/>
                  <w:vAlign w:val="center"/>
                </w:tcPr>
                <w:p w14:paraId="51A5DA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23.5</w:t>
                  </w:r>
                </w:p>
              </w:tc>
              <w:tc>
                <w:tcPr>
                  <w:tcW w:w="534" w:type="dxa"/>
                  <w:vAlign w:val="center"/>
                </w:tcPr>
                <w:p w14:paraId="238778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8</w:t>
                  </w:r>
                </w:p>
              </w:tc>
              <w:tc>
                <w:tcPr>
                  <w:tcW w:w="691" w:type="dxa"/>
                  <w:vAlign w:val="center"/>
                </w:tcPr>
                <w:p w14:paraId="1D85F6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23.5</w:t>
                  </w:r>
                </w:p>
              </w:tc>
            </w:tr>
            <w:tr w14:paraId="6C66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2C5EBA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柴油通气管管口</w:t>
                  </w:r>
                </w:p>
              </w:tc>
              <w:tc>
                <w:tcPr>
                  <w:tcW w:w="403" w:type="dxa"/>
                  <w:vAlign w:val="center"/>
                </w:tcPr>
                <w:p w14:paraId="3BB3B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8</w:t>
                  </w:r>
                </w:p>
              </w:tc>
              <w:tc>
                <w:tcPr>
                  <w:tcW w:w="665" w:type="dxa"/>
                  <w:vAlign w:val="center"/>
                </w:tcPr>
                <w:p w14:paraId="541D3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22.5</w:t>
                  </w:r>
                </w:p>
              </w:tc>
              <w:tc>
                <w:tcPr>
                  <w:tcW w:w="507" w:type="dxa"/>
                  <w:vAlign w:val="center"/>
                </w:tcPr>
                <w:p w14:paraId="400D8A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65" w:type="dxa"/>
                  <w:shd w:val="clear" w:color="auto" w:fill="auto"/>
                  <w:vAlign w:val="center"/>
                </w:tcPr>
                <w:p w14:paraId="644BC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24.0</w:t>
                  </w:r>
                </w:p>
              </w:tc>
              <w:tc>
                <w:tcPr>
                  <w:tcW w:w="460" w:type="dxa"/>
                  <w:vAlign w:val="center"/>
                </w:tcPr>
                <w:p w14:paraId="03890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09" w:type="dxa"/>
                  <w:vAlign w:val="center"/>
                </w:tcPr>
                <w:p w14:paraId="09FAD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24.0</w:t>
                  </w:r>
                </w:p>
              </w:tc>
              <w:tc>
                <w:tcPr>
                  <w:tcW w:w="562" w:type="dxa"/>
                  <w:vAlign w:val="center"/>
                </w:tcPr>
                <w:p w14:paraId="0D438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29" w:type="dxa"/>
                  <w:vAlign w:val="center"/>
                </w:tcPr>
                <w:p w14:paraId="07DEB8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22.5</w:t>
                  </w:r>
                </w:p>
              </w:tc>
              <w:tc>
                <w:tcPr>
                  <w:tcW w:w="534" w:type="dxa"/>
                  <w:vAlign w:val="center"/>
                </w:tcPr>
                <w:p w14:paraId="744EB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91" w:type="dxa"/>
                  <w:vAlign w:val="center"/>
                </w:tcPr>
                <w:p w14:paraId="1F5996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22.5</w:t>
                  </w:r>
                </w:p>
              </w:tc>
            </w:tr>
            <w:tr w14:paraId="4D9B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1F77A3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油品卸车点</w:t>
                  </w:r>
                </w:p>
              </w:tc>
              <w:tc>
                <w:tcPr>
                  <w:tcW w:w="403" w:type="dxa"/>
                  <w:vAlign w:val="center"/>
                </w:tcPr>
                <w:p w14:paraId="5A2571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8</w:t>
                  </w:r>
                </w:p>
              </w:tc>
              <w:tc>
                <w:tcPr>
                  <w:tcW w:w="665" w:type="dxa"/>
                  <w:vAlign w:val="center"/>
                </w:tcPr>
                <w:p w14:paraId="5C546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27.2</w:t>
                  </w:r>
                </w:p>
              </w:tc>
              <w:tc>
                <w:tcPr>
                  <w:tcW w:w="507" w:type="dxa"/>
                  <w:vAlign w:val="center"/>
                </w:tcPr>
                <w:p w14:paraId="3075C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65" w:type="dxa"/>
                  <w:vAlign w:val="center"/>
                </w:tcPr>
                <w:p w14:paraId="290D7E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27.7</w:t>
                  </w:r>
                </w:p>
              </w:tc>
              <w:tc>
                <w:tcPr>
                  <w:tcW w:w="460" w:type="dxa"/>
                  <w:vAlign w:val="center"/>
                </w:tcPr>
                <w:p w14:paraId="2E95A5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09" w:type="dxa"/>
                  <w:vAlign w:val="center"/>
                </w:tcPr>
                <w:p w14:paraId="121D16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27.7</w:t>
                  </w:r>
                </w:p>
              </w:tc>
              <w:tc>
                <w:tcPr>
                  <w:tcW w:w="562" w:type="dxa"/>
                  <w:vAlign w:val="center"/>
                </w:tcPr>
                <w:p w14:paraId="5D892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29" w:type="dxa"/>
                  <w:vAlign w:val="center"/>
                </w:tcPr>
                <w:p w14:paraId="36033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27.2</w:t>
                  </w:r>
                </w:p>
              </w:tc>
              <w:tc>
                <w:tcPr>
                  <w:tcW w:w="534" w:type="dxa"/>
                  <w:vAlign w:val="center"/>
                </w:tcPr>
                <w:p w14:paraId="0EBC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91" w:type="dxa"/>
                  <w:vAlign w:val="center"/>
                </w:tcPr>
                <w:p w14:paraId="6D227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27.2</w:t>
                  </w:r>
                </w:p>
              </w:tc>
            </w:tr>
            <w:tr w14:paraId="3D46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4CE30F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加油机</w:t>
                  </w:r>
                </w:p>
              </w:tc>
              <w:tc>
                <w:tcPr>
                  <w:tcW w:w="403" w:type="dxa"/>
                  <w:vAlign w:val="center"/>
                </w:tcPr>
                <w:p w14:paraId="2EBC22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65" w:type="dxa"/>
                  <w:vAlign w:val="center"/>
                </w:tcPr>
                <w:p w14:paraId="264BF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14.5</w:t>
                  </w:r>
                </w:p>
              </w:tc>
              <w:tc>
                <w:tcPr>
                  <w:tcW w:w="507" w:type="dxa"/>
                  <w:vAlign w:val="center"/>
                </w:tcPr>
                <w:p w14:paraId="02D952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65" w:type="dxa"/>
                  <w:vAlign w:val="center"/>
                </w:tcPr>
                <w:p w14:paraId="196D9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14.8</w:t>
                  </w:r>
                </w:p>
              </w:tc>
              <w:tc>
                <w:tcPr>
                  <w:tcW w:w="460" w:type="dxa"/>
                  <w:vAlign w:val="center"/>
                </w:tcPr>
                <w:p w14:paraId="02201E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09" w:type="dxa"/>
                  <w:vAlign w:val="center"/>
                </w:tcPr>
                <w:p w14:paraId="079104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15.0</w:t>
                  </w:r>
                </w:p>
              </w:tc>
              <w:tc>
                <w:tcPr>
                  <w:tcW w:w="562" w:type="dxa"/>
                  <w:vAlign w:val="center"/>
                </w:tcPr>
                <w:p w14:paraId="5BD782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w:t>
                  </w:r>
                </w:p>
              </w:tc>
              <w:tc>
                <w:tcPr>
                  <w:tcW w:w="629" w:type="dxa"/>
                  <w:vAlign w:val="center"/>
                </w:tcPr>
                <w:p w14:paraId="6C7C8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14.5</w:t>
                  </w:r>
                </w:p>
              </w:tc>
              <w:tc>
                <w:tcPr>
                  <w:tcW w:w="534" w:type="dxa"/>
                  <w:vAlign w:val="center"/>
                </w:tcPr>
                <w:p w14:paraId="17C35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91" w:type="dxa"/>
                  <w:vAlign w:val="center"/>
                </w:tcPr>
                <w:p w14:paraId="3B58CD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14.5</w:t>
                  </w:r>
                </w:p>
              </w:tc>
            </w:tr>
            <w:tr w14:paraId="5598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2" w:type="dxa"/>
                  <w:vMerge w:val="restart"/>
                  <w:vAlign w:val="center"/>
                </w:tcPr>
                <w:p w14:paraId="1442E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撬装箱式储罐（两泵两机）</w:t>
                  </w:r>
                </w:p>
              </w:tc>
              <w:tc>
                <w:tcPr>
                  <w:tcW w:w="1360" w:type="dxa"/>
                  <w:vAlign w:val="center"/>
                </w:tcPr>
                <w:p w14:paraId="73E178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LNG储罐（二级站）</w:t>
                  </w:r>
                </w:p>
              </w:tc>
              <w:tc>
                <w:tcPr>
                  <w:tcW w:w="403" w:type="dxa"/>
                  <w:vAlign w:val="center"/>
                </w:tcPr>
                <w:p w14:paraId="39206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w:t>
                  </w:r>
                </w:p>
              </w:tc>
              <w:tc>
                <w:tcPr>
                  <w:tcW w:w="665" w:type="dxa"/>
                  <w:shd w:val="clear" w:color="auto" w:fill="auto"/>
                  <w:vAlign w:val="center"/>
                </w:tcPr>
                <w:p w14:paraId="7FFD91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2</w:t>
                  </w:r>
                </w:p>
              </w:tc>
              <w:tc>
                <w:tcPr>
                  <w:tcW w:w="507" w:type="dxa"/>
                  <w:vAlign w:val="center"/>
                </w:tcPr>
                <w:p w14:paraId="1D1402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65" w:type="dxa"/>
                  <w:shd w:val="clear" w:color="auto" w:fill="auto"/>
                  <w:vAlign w:val="center"/>
                </w:tcPr>
                <w:p w14:paraId="14F6A0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460" w:type="dxa"/>
                  <w:shd w:val="clear" w:color="auto" w:fill="auto"/>
                  <w:vAlign w:val="center"/>
                </w:tcPr>
                <w:p w14:paraId="214F9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2</w:t>
                  </w:r>
                </w:p>
              </w:tc>
              <w:tc>
                <w:tcPr>
                  <w:tcW w:w="609" w:type="dxa"/>
                  <w:shd w:val="clear" w:color="auto" w:fill="auto"/>
                  <w:vAlign w:val="center"/>
                </w:tcPr>
                <w:p w14:paraId="3C5913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2</w:t>
                  </w:r>
                </w:p>
              </w:tc>
              <w:tc>
                <w:tcPr>
                  <w:tcW w:w="562" w:type="dxa"/>
                  <w:vAlign w:val="center"/>
                </w:tcPr>
                <w:p w14:paraId="6BD51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w:t>
                  </w:r>
                </w:p>
              </w:tc>
              <w:tc>
                <w:tcPr>
                  <w:tcW w:w="629" w:type="dxa"/>
                  <w:shd w:val="clear" w:color="auto" w:fill="auto"/>
                  <w:vAlign w:val="center"/>
                </w:tcPr>
                <w:p w14:paraId="5B8524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2</w:t>
                  </w:r>
                </w:p>
              </w:tc>
              <w:tc>
                <w:tcPr>
                  <w:tcW w:w="534" w:type="dxa"/>
                  <w:vAlign w:val="center"/>
                </w:tcPr>
                <w:p w14:paraId="6419A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91" w:type="dxa"/>
                  <w:shd w:val="clear" w:color="auto" w:fill="auto"/>
                  <w:vAlign w:val="center"/>
                </w:tcPr>
                <w:p w14:paraId="1EC1B5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r>
            <w:tr w14:paraId="6E54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2" w:type="dxa"/>
                  <w:vMerge w:val="continue"/>
                  <w:vAlign w:val="center"/>
                </w:tcPr>
                <w:p w14:paraId="023E23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trike w:val="0"/>
                      <w:dstrike w:val="0"/>
                      <w:color w:val="auto"/>
                      <w:sz w:val="18"/>
                      <w:szCs w:val="18"/>
                      <w:highlight w:val="none"/>
                      <w:vertAlign w:val="baseline"/>
                      <w:lang w:val="en-US" w:eastAsia="zh-CN"/>
                    </w:rPr>
                  </w:pPr>
                </w:p>
              </w:tc>
              <w:tc>
                <w:tcPr>
                  <w:tcW w:w="1360" w:type="dxa"/>
                  <w:vAlign w:val="center"/>
                </w:tcPr>
                <w:p w14:paraId="512382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LNG放散管管口</w:t>
                  </w:r>
                </w:p>
              </w:tc>
              <w:tc>
                <w:tcPr>
                  <w:tcW w:w="403" w:type="dxa"/>
                  <w:vAlign w:val="center"/>
                </w:tcPr>
                <w:p w14:paraId="64B59B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65" w:type="dxa"/>
                  <w:shd w:val="clear" w:color="auto" w:fill="auto"/>
                  <w:vAlign w:val="center"/>
                </w:tcPr>
                <w:p w14:paraId="0A370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07" w:type="dxa"/>
                  <w:vAlign w:val="center"/>
                </w:tcPr>
                <w:p w14:paraId="40A9DA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65" w:type="dxa"/>
                  <w:shd w:val="clear" w:color="auto" w:fill="auto"/>
                  <w:vAlign w:val="center"/>
                </w:tcPr>
                <w:p w14:paraId="787A2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460" w:type="dxa"/>
                  <w:shd w:val="clear" w:color="auto" w:fill="auto"/>
                  <w:vAlign w:val="center"/>
                </w:tcPr>
                <w:p w14:paraId="780F2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3</w:t>
                  </w:r>
                </w:p>
              </w:tc>
              <w:tc>
                <w:tcPr>
                  <w:tcW w:w="609" w:type="dxa"/>
                  <w:shd w:val="clear" w:color="auto" w:fill="auto"/>
                  <w:vAlign w:val="center"/>
                </w:tcPr>
                <w:p w14:paraId="1CC51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3</w:t>
                  </w:r>
                </w:p>
              </w:tc>
              <w:tc>
                <w:tcPr>
                  <w:tcW w:w="562" w:type="dxa"/>
                  <w:vAlign w:val="center"/>
                </w:tcPr>
                <w:p w14:paraId="0A48FA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29" w:type="dxa"/>
                  <w:shd w:val="clear" w:color="auto" w:fill="auto"/>
                  <w:vAlign w:val="center"/>
                </w:tcPr>
                <w:p w14:paraId="756FF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34" w:type="dxa"/>
                  <w:vAlign w:val="center"/>
                </w:tcPr>
                <w:p w14:paraId="69EC9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91" w:type="dxa"/>
                  <w:shd w:val="clear" w:color="auto" w:fill="auto"/>
                  <w:vAlign w:val="center"/>
                </w:tcPr>
                <w:p w14:paraId="4A00D6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r>
            <w:tr w14:paraId="47B7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2" w:type="dxa"/>
                  <w:vMerge w:val="continue"/>
                  <w:vAlign w:val="center"/>
                </w:tcPr>
                <w:p w14:paraId="24021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trike w:val="0"/>
                      <w:dstrike w:val="0"/>
                      <w:color w:val="auto"/>
                      <w:sz w:val="18"/>
                      <w:szCs w:val="18"/>
                      <w:highlight w:val="none"/>
                      <w:vertAlign w:val="baseline"/>
                      <w:lang w:val="en-US" w:eastAsia="zh-CN"/>
                    </w:rPr>
                  </w:pPr>
                </w:p>
              </w:tc>
              <w:tc>
                <w:tcPr>
                  <w:tcW w:w="1360" w:type="dxa"/>
                  <w:vAlign w:val="center"/>
                </w:tcPr>
                <w:p w14:paraId="4B4380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LNG卸车点</w:t>
                  </w:r>
                </w:p>
              </w:tc>
              <w:tc>
                <w:tcPr>
                  <w:tcW w:w="403" w:type="dxa"/>
                  <w:vAlign w:val="center"/>
                </w:tcPr>
                <w:p w14:paraId="3DF6B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w:t>
                  </w:r>
                </w:p>
              </w:tc>
              <w:tc>
                <w:tcPr>
                  <w:tcW w:w="665" w:type="dxa"/>
                  <w:shd w:val="clear" w:color="auto" w:fill="auto"/>
                  <w:vAlign w:val="center"/>
                </w:tcPr>
                <w:p w14:paraId="18559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2</w:t>
                  </w:r>
                </w:p>
              </w:tc>
              <w:tc>
                <w:tcPr>
                  <w:tcW w:w="507" w:type="dxa"/>
                  <w:vAlign w:val="center"/>
                </w:tcPr>
                <w:p w14:paraId="4801D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3</w:t>
                  </w:r>
                </w:p>
              </w:tc>
              <w:tc>
                <w:tcPr>
                  <w:tcW w:w="665" w:type="dxa"/>
                  <w:shd w:val="clear" w:color="auto" w:fill="auto"/>
                  <w:vAlign w:val="center"/>
                </w:tcPr>
                <w:p w14:paraId="401F6E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3</w:t>
                  </w:r>
                </w:p>
              </w:tc>
              <w:tc>
                <w:tcPr>
                  <w:tcW w:w="460" w:type="dxa"/>
                  <w:shd w:val="clear" w:color="auto" w:fill="auto"/>
                  <w:vAlign w:val="center"/>
                </w:tcPr>
                <w:p w14:paraId="126417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609" w:type="dxa"/>
                  <w:shd w:val="clear" w:color="auto" w:fill="auto"/>
                  <w:vAlign w:val="center"/>
                </w:tcPr>
                <w:p w14:paraId="738C1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62" w:type="dxa"/>
                  <w:vAlign w:val="center"/>
                </w:tcPr>
                <w:p w14:paraId="62F0BE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29" w:type="dxa"/>
                  <w:shd w:val="clear" w:color="auto" w:fill="auto"/>
                  <w:vAlign w:val="center"/>
                </w:tcPr>
                <w:p w14:paraId="7EBEE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34" w:type="dxa"/>
                  <w:vAlign w:val="center"/>
                </w:tcPr>
                <w:p w14:paraId="53C74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91" w:type="dxa"/>
                  <w:shd w:val="clear" w:color="auto" w:fill="auto"/>
                  <w:vAlign w:val="center"/>
                </w:tcPr>
                <w:p w14:paraId="6C8FE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r>
            <w:tr w14:paraId="4984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2" w:type="dxa"/>
                  <w:vMerge w:val="continue"/>
                  <w:vAlign w:val="center"/>
                </w:tcPr>
                <w:p w14:paraId="593814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trike w:val="0"/>
                      <w:dstrike w:val="0"/>
                      <w:color w:val="auto"/>
                      <w:sz w:val="18"/>
                      <w:szCs w:val="18"/>
                      <w:highlight w:val="none"/>
                      <w:vertAlign w:val="baseline"/>
                      <w:lang w:val="en-US" w:eastAsia="zh-CN"/>
                    </w:rPr>
                  </w:pPr>
                </w:p>
              </w:tc>
              <w:tc>
                <w:tcPr>
                  <w:tcW w:w="1360" w:type="dxa"/>
                  <w:vAlign w:val="center"/>
                </w:tcPr>
                <w:p w14:paraId="21B28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LNG加气机</w:t>
                  </w:r>
                </w:p>
              </w:tc>
              <w:tc>
                <w:tcPr>
                  <w:tcW w:w="403" w:type="dxa"/>
                  <w:vAlign w:val="center"/>
                </w:tcPr>
                <w:p w14:paraId="5B8D0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w:t>
                  </w:r>
                </w:p>
              </w:tc>
              <w:tc>
                <w:tcPr>
                  <w:tcW w:w="665" w:type="dxa"/>
                  <w:shd w:val="clear" w:color="auto" w:fill="auto"/>
                  <w:vAlign w:val="center"/>
                </w:tcPr>
                <w:p w14:paraId="18264E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2</w:t>
                  </w:r>
                </w:p>
              </w:tc>
              <w:tc>
                <w:tcPr>
                  <w:tcW w:w="507" w:type="dxa"/>
                  <w:vAlign w:val="center"/>
                </w:tcPr>
                <w:p w14:paraId="4E68CA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65" w:type="dxa"/>
                  <w:shd w:val="clear" w:color="auto" w:fill="auto"/>
                  <w:vAlign w:val="center"/>
                </w:tcPr>
                <w:p w14:paraId="7E052E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460" w:type="dxa"/>
                  <w:shd w:val="clear" w:color="auto" w:fill="auto"/>
                  <w:vAlign w:val="center"/>
                </w:tcPr>
                <w:p w14:paraId="5297C3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609" w:type="dxa"/>
                  <w:shd w:val="clear" w:color="auto" w:fill="auto"/>
                  <w:vAlign w:val="center"/>
                </w:tcPr>
                <w:p w14:paraId="4D8B4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62" w:type="dxa"/>
                  <w:vAlign w:val="center"/>
                </w:tcPr>
                <w:p w14:paraId="24DA1A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29" w:type="dxa"/>
                  <w:shd w:val="clear" w:color="auto" w:fill="auto"/>
                  <w:vAlign w:val="center"/>
                </w:tcPr>
                <w:p w14:paraId="186B5C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34" w:type="dxa"/>
                  <w:vAlign w:val="center"/>
                </w:tcPr>
                <w:p w14:paraId="05C95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91" w:type="dxa"/>
                  <w:shd w:val="clear" w:color="auto" w:fill="auto"/>
                  <w:vAlign w:val="center"/>
                </w:tcPr>
                <w:p w14:paraId="4644C3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r>
            <w:tr w14:paraId="182D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2" w:type="dxa"/>
                  <w:vMerge w:val="continue"/>
                  <w:vAlign w:val="center"/>
                </w:tcPr>
                <w:p w14:paraId="5E9287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trike w:val="0"/>
                      <w:dstrike w:val="0"/>
                      <w:color w:val="auto"/>
                      <w:sz w:val="18"/>
                      <w:szCs w:val="18"/>
                      <w:highlight w:val="none"/>
                      <w:vertAlign w:val="baseline"/>
                      <w:lang w:val="en-US" w:eastAsia="zh-CN"/>
                    </w:rPr>
                  </w:pPr>
                </w:p>
              </w:tc>
              <w:tc>
                <w:tcPr>
                  <w:tcW w:w="1360" w:type="dxa"/>
                  <w:vAlign w:val="center"/>
                </w:tcPr>
                <w:p w14:paraId="66D093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LNG潜液泵撬</w:t>
                  </w:r>
                </w:p>
              </w:tc>
              <w:tc>
                <w:tcPr>
                  <w:tcW w:w="403" w:type="dxa"/>
                  <w:vAlign w:val="center"/>
                </w:tcPr>
                <w:p w14:paraId="7A24EE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65" w:type="dxa"/>
                  <w:shd w:val="clear" w:color="auto" w:fill="auto"/>
                  <w:vAlign w:val="center"/>
                </w:tcPr>
                <w:p w14:paraId="44F74D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07" w:type="dxa"/>
                  <w:vAlign w:val="center"/>
                </w:tcPr>
                <w:p w14:paraId="478F52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65" w:type="dxa"/>
                  <w:shd w:val="clear" w:color="auto" w:fill="auto"/>
                  <w:vAlign w:val="center"/>
                </w:tcPr>
                <w:p w14:paraId="273F9E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460" w:type="dxa"/>
                  <w:shd w:val="clear" w:color="auto" w:fill="auto"/>
                  <w:vAlign w:val="center"/>
                </w:tcPr>
                <w:p w14:paraId="50591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609" w:type="dxa"/>
                  <w:shd w:val="clear" w:color="auto" w:fill="auto"/>
                  <w:vAlign w:val="center"/>
                </w:tcPr>
                <w:p w14:paraId="4B69A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62" w:type="dxa"/>
                  <w:vAlign w:val="center"/>
                </w:tcPr>
                <w:p w14:paraId="575C8B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29" w:type="dxa"/>
                  <w:shd w:val="clear" w:color="auto" w:fill="auto"/>
                  <w:vAlign w:val="center"/>
                </w:tcPr>
                <w:p w14:paraId="34B92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c>
                <w:tcPr>
                  <w:tcW w:w="534" w:type="dxa"/>
                  <w:vAlign w:val="center"/>
                </w:tcPr>
                <w:p w14:paraId="0754E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91" w:type="dxa"/>
                  <w:shd w:val="clear" w:color="auto" w:fill="auto"/>
                  <w:vAlign w:val="center"/>
                </w:tcPr>
                <w:p w14:paraId="2B0F31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trike w:val="0"/>
                      <w:dstrike w:val="0"/>
                      <w:color w:val="auto"/>
                      <w:kern w:val="2"/>
                      <w:sz w:val="18"/>
                      <w:szCs w:val="18"/>
                      <w:highlight w:val="none"/>
                      <w:vertAlign w:val="baseline"/>
                      <w:lang w:val="en-US" w:eastAsia="zh-CN" w:bidi="ar-SA"/>
                    </w:rPr>
                  </w:pPr>
                  <w:r>
                    <w:rPr>
                      <w:rFonts w:hint="eastAsia"/>
                      <w:strike w:val="0"/>
                      <w:dstrike w:val="0"/>
                      <w:color w:val="auto"/>
                      <w:sz w:val="18"/>
                      <w:szCs w:val="18"/>
                      <w:highlight w:val="none"/>
                      <w:vertAlign w:val="baseline"/>
                      <w:lang w:val="en-US" w:eastAsia="zh-CN"/>
                    </w:rPr>
                    <w:t>-</w:t>
                  </w:r>
                </w:p>
              </w:tc>
            </w:tr>
            <w:tr w14:paraId="33A2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37E686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箱式变压器</w:t>
                  </w:r>
                </w:p>
              </w:tc>
              <w:tc>
                <w:tcPr>
                  <w:tcW w:w="403" w:type="dxa"/>
                  <w:vAlign w:val="center"/>
                </w:tcPr>
                <w:p w14:paraId="0EFD4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7.5</w:t>
                  </w:r>
                </w:p>
              </w:tc>
              <w:tc>
                <w:tcPr>
                  <w:tcW w:w="665" w:type="dxa"/>
                  <w:vAlign w:val="center"/>
                </w:tcPr>
                <w:p w14:paraId="503A88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26.4</w:t>
                  </w:r>
                </w:p>
              </w:tc>
              <w:tc>
                <w:tcPr>
                  <w:tcW w:w="507" w:type="dxa"/>
                  <w:vAlign w:val="center"/>
                </w:tcPr>
                <w:p w14:paraId="4D02D8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7.5</w:t>
                  </w:r>
                </w:p>
              </w:tc>
              <w:tc>
                <w:tcPr>
                  <w:tcW w:w="665" w:type="dxa"/>
                  <w:vAlign w:val="center"/>
                </w:tcPr>
                <w:p w14:paraId="7D67D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26.0</w:t>
                  </w:r>
                </w:p>
              </w:tc>
              <w:tc>
                <w:tcPr>
                  <w:tcW w:w="460" w:type="dxa"/>
                  <w:vAlign w:val="center"/>
                </w:tcPr>
                <w:p w14:paraId="75E723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7.5</w:t>
                  </w:r>
                </w:p>
              </w:tc>
              <w:tc>
                <w:tcPr>
                  <w:tcW w:w="609" w:type="dxa"/>
                  <w:vAlign w:val="center"/>
                </w:tcPr>
                <w:p w14:paraId="1AE39E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43.3</w:t>
                  </w:r>
                </w:p>
              </w:tc>
              <w:tc>
                <w:tcPr>
                  <w:tcW w:w="562" w:type="dxa"/>
                  <w:vAlign w:val="center"/>
                </w:tcPr>
                <w:p w14:paraId="336C5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7.5</w:t>
                  </w:r>
                </w:p>
              </w:tc>
              <w:tc>
                <w:tcPr>
                  <w:tcW w:w="629" w:type="dxa"/>
                  <w:vAlign w:val="center"/>
                </w:tcPr>
                <w:p w14:paraId="131549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26.4</w:t>
                  </w:r>
                </w:p>
              </w:tc>
              <w:tc>
                <w:tcPr>
                  <w:tcW w:w="534" w:type="dxa"/>
                  <w:vAlign w:val="center"/>
                </w:tcPr>
                <w:p w14:paraId="12ACC2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7.5</w:t>
                  </w:r>
                </w:p>
              </w:tc>
              <w:tc>
                <w:tcPr>
                  <w:tcW w:w="691" w:type="dxa"/>
                  <w:vAlign w:val="center"/>
                </w:tcPr>
                <w:p w14:paraId="634964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26.4</w:t>
                  </w:r>
                </w:p>
              </w:tc>
            </w:tr>
            <w:tr w14:paraId="4A4C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4AC096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站房</w:t>
                  </w:r>
                </w:p>
              </w:tc>
              <w:tc>
                <w:tcPr>
                  <w:tcW w:w="403" w:type="dxa"/>
                  <w:vAlign w:val="center"/>
                </w:tcPr>
                <w:p w14:paraId="6CC216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65" w:type="dxa"/>
                  <w:vAlign w:val="center"/>
                </w:tcPr>
                <w:p w14:paraId="57B97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26.8</w:t>
                  </w:r>
                </w:p>
              </w:tc>
              <w:tc>
                <w:tcPr>
                  <w:tcW w:w="507" w:type="dxa"/>
                  <w:vAlign w:val="center"/>
                </w:tcPr>
                <w:p w14:paraId="28361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8</w:t>
                  </w:r>
                </w:p>
              </w:tc>
              <w:tc>
                <w:tcPr>
                  <w:tcW w:w="665" w:type="dxa"/>
                  <w:vAlign w:val="center"/>
                </w:tcPr>
                <w:p w14:paraId="3D369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26.4</w:t>
                  </w:r>
                </w:p>
              </w:tc>
              <w:tc>
                <w:tcPr>
                  <w:tcW w:w="460" w:type="dxa"/>
                  <w:vAlign w:val="center"/>
                </w:tcPr>
                <w:p w14:paraId="51241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09" w:type="dxa"/>
                  <w:vAlign w:val="center"/>
                </w:tcPr>
                <w:p w14:paraId="7C6C9B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43.9</w:t>
                  </w:r>
                </w:p>
              </w:tc>
              <w:tc>
                <w:tcPr>
                  <w:tcW w:w="562" w:type="dxa"/>
                  <w:vAlign w:val="center"/>
                </w:tcPr>
                <w:p w14:paraId="0733BB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29" w:type="dxa"/>
                  <w:vAlign w:val="center"/>
                </w:tcPr>
                <w:p w14:paraId="6FE17F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26.8</w:t>
                  </w:r>
                </w:p>
              </w:tc>
              <w:tc>
                <w:tcPr>
                  <w:tcW w:w="534" w:type="dxa"/>
                  <w:vAlign w:val="center"/>
                </w:tcPr>
                <w:p w14:paraId="75C4ED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6</w:t>
                  </w:r>
                </w:p>
              </w:tc>
              <w:tc>
                <w:tcPr>
                  <w:tcW w:w="691" w:type="dxa"/>
                  <w:vAlign w:val="center"/>
                </w:tcPr>
                <w:p w14:paraId="2340AE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26.8</w:t>
                  </w:r>
                </w:p>
              </w:tc>
            </w:tr>
            <w:tr w14:paraId="1E7F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2" w:type="dxa"/>
                  <w:gridSpan w:val="2"/>
                  <w:vAlign w:val="center"/>
                </w:tcPr>
                <w:p w14:paraId="04A4B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站区围墙</w:t>
                  </w:r>
                </w:p>
              </w:tc>
              <w:tc>
                <w:tcPr>
                  <w:tcW w:w="403" w:type="dxa"/>
                  <w:vAlign w:val="center"/>
                </w:tcPr>
                <w:p w14:paraId="0D2E0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4</w:t>
                  </w:r>
                </w:p>
              </w:tc>
              <w:tc>
                <w:tcPr>
                  <w:tcW w:w="665" w:type="dxa"/>
                  <w:vAlign w:val="center"/>
                </w:tcPr>
                <w:p w14:paraId="7131E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7.3</w:t>
                  </w:r>
                </w:p>
              </w:tc>
              <w:tc>
                <w:tcPr>
                  <w:tcW w:w="507" w:type="dxa"/>
                  <w:vAlign w:val="center"/>
                </w:tcPr>
                <w:p w14:paraId="2FF4FA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3</w:t>
                  </w:r>
                </w:p>
              </w:tc>
              <w:tc>
                <w:tcPr>
                  <w:tcW w:w="665" w:type="dxa"/>
                  <w:vAlign w:val="center"/>
                </w:tcPr>
                <w:p w14:paraId="3D9F21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7.5</w:t>
                  </w:r>
                </w:p>
              </w:tc>
              <w:tc>
                <w:tcPr>
                  <w:tcW w:w="460" w:type="dxa"/>
                  <w:vAlign w:val="center"/>
                </w:tcPr>
                <w:p w14:paraId="05BA2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w:t>
                  </w:r>
                </w:p>
              </w:tc>
              <w:tc>
                <w:tcPr>
                  <w:tcW w:w="609" w:type="dxa"/>
                  <w:vAlign w:val="center"/>
                </w:tcPr>
                <w:p w14:paraId="71D823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7.3</w:t>
                  </w:r>
                </w:p>
              </w:tc>
              <w:tc>
                <w:tcPr>
                  <w:tcW w:w="562" w:type="dxa"/>
                  <w:vAlign w:val="center"/>
                </w:tcPr>
                <w:p w14:paraId="4A712A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w:t>
                  </w:r>
                </w:p>
              </w:tc>
              <w:tc>
                <w:tcPr>
                  <w:tcW w:w="629" w:type="dxa"/>
                  <w:vAlign w:val="center"/>
                </w:tcPr>
                <w:p w14:paraId="6F217E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7.3</w:t>
                  </w:r>
                </w:p>
              </w:tc>
              <w:tc>
                <w:tcPr>
                  <w:tcW w:w="534" w:type="dxa"/>
                  <w:vAlign w:val="center"/>
                </w:tcPr>
                <w:p w14:paraId="3F464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2</w:t>
                  </w:r>
                </w:p>
              </w:tc>
              <w:tc>
                <w:tcPr>
                  <w:tcW w:w="691" w:type="dxa"/>
                  <w:vAlign w:val="center"/>
                </w:tcPr>
                <w:p w14:paraId="26422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7.3</w:t>
                  </w:r>
                </w:p>
              </w:tc>
            </w:tr>
            <w:tr w14:paraId="69AC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7" w:type="dxa"/>
                  <w:gridSpan w:val="12"/>
                  <w:vAlign w:val="center"/>
                </w:tcPr>
                <w:p w14:paraId="0B41CD0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trike w:val="0"/>
                      <w:dstrike w:val="0"/>
                      <w:color w:val="auto"/>
                      <w:sz w:val="18"/>
                      <w:szCs w:val="18"/>
                      <w:highlight w:val="none"/>
                      <w:vertAlign w:val="baseline"/>
                      <w:lang w:val="en-US" w:eastAsia="zh-CN"/>
                    </w:rPr>
                  </w:pPr>
                  <w:r>
                    <w:rPr>
                      <w:rFonts w:hint="eastAsia"/>
                      <w:strike w:val="0"/>
                      <w:dstrike w:val="0"/>
                      <w:color w:val="auto"/>
                      <w:sz w:val="18"/>
                      <w:szCs w:val="18"/>
                      <w:highlight w:val="none"/>
                      <w:vertAlign w:val="baseline"/>
                      <w:lang w:val="en-US" w:eastAsia="zh-CN"/>
                    </w:rPr>
                    <w:t>注：撬装箱式储罐与LNG储罐、LNG放散管管口、LNG卸车点、LNG加气机的间距由设备生产厂家撬装时满足间距要求。</w:t>
                  </w:r>
                </w:p>
              </w:tc>
            </w:tr>
          </w:tbl>
          <w:p w14:paraId="7F1388E0">
            <w:pPr>
              <w:spacing w:line="360" w:lineRule="auto"/>
              <w:ind w:firstLine="480" w:firstLineChars="200"/>
              <w:jc w:val="left"/>
              <w:rPr>
                <w:strike w:val="0"/>
                <w:dstrike w:val="0"/>
                <w:color w:val="auto"/>
                <w:sz w:val="24"/>
                <w:szCs w:val="32"/>
                <w:highlight w:val="none"/>
              </w:rPr>
            </w:pPr>
            <w:r>
              <w:rPr>
                <w:strike w:val="0"/>
                <w:dstrike w:val="0"/>
                <w:color w:val="auto"/>
                <w:sz w:val="24"/>
                <w:szCs w:val="32"/>
                <w:highlight w:val="none"/>
              </w:rPr>
              <w:t>由上表可知，</w:t>
            </w:r>
            <w:r>
              <w:rPr>
                <w:strike w:val="0"/>
                <w:dstrike w:val="0"/>
                <w:color w:val="auto"/>
                <w:sz w:val="24"/>
                <w:highlight w:val="none"/>
              </w:rPr>
              <w:t>本项目站内间距及</w:t>
            </w:r>
            <w:r>
              <w:rPr>
                <w:strike w:val="0"/>
                <w:dstrike w:val="0"/>
                <w:color w:val="auto"/>
                <w:sz w:val="24"/>
                <w:szCs w:val="32"/>
                <w:highlight w:val="none"/>
              </w:rPr>
              <w:t>与站外建构筑物间</w:t>
            </w:r>
            <w:r>
              <w:rPr>
                <w:rFonts w:hint="eastAsia"/>
                <w:strike w:val="0"/>
                <w:dstrike w:val="0"/>
                <w:color w:val="auto"/>
                <w:sz w:val="24"/>
                <w:szCs w:val="32"/>
                <w:highlight w:val="none"/>
                <w:lang w:val="en-US" w:eastAsia="zh-CN"/>
              </w:rPr>
              <w:t>的</w:t>
            </w:r>
            <w:r>
              <w:rPr>
                <w:strike w:val="0"/>
                <w:dstrike w:val="0"/>
                <w:color w:val="auto"/>
                <w:sz w:val="24"/>
                <w:szCs w:val="32"/>
                <w:highlight w:val="none"/>
              </w:rPr>
              <w:t>距离均符合《汽车加油加气加氢站技术标准》（GB50156-2021）要求。</w:t>
            </w:r>
          </w:p>
          <w:p w14:paraId="2DE38BC2">
            <w:pPr>
              <w:spacing w:line="360" w:lineRule="auto"/>
              <w:jc w:val="left"/>
              <w:rPr>
                <w:b/>
                <w:bCs/>
                <w:strike w:val="0"/>
                <w:dstrike w:val="0"/>
                <w:color w:val="auto"/>
                <w:sz w:val="24"/>
                <w:highlight w:val="none"/>
              </w:rPr>
            </w:pPr>
            <w:r>
              <w:rPr>
                <w:b/>
                <w:bCs/>
                <w:strike w:val="0"/>
                <w:dstrike w:val="0"/>
                <w:color w:val="auto"/>
                <w:sz w:val="24"/>
                <w:highlight w:val="none"/>
              </w:rPr>
              <w:t>1.15与《加油站地下水污染防治技术指南》（试行）的符合性分析</w:t>
            </w:r>
          </w:p>
          <w:p w14:paraId="6F9525D1">
            <w:pPr>
              <w:spacing w:line="360" w:lineRule="auto"/>
              <w:ind w:firstLine="480" w:firstLineChars="200"/>
              <w:jc w:val="left"/>
              <w:rPr>
                <w:strike w:val="0"/>
                <w:dstrike w:val="0"/>
                <w:color w:val="auto"/>
                <w:sz w:val="24"/>
                <w:highlight w:val="none"/>
              </w:rPr>
            </w:pPr>
            <w:r>
              <w:rPr>
                <w:strike w:val="0"/>
                <w:dstrike w:val="0"/>
                <w:color w:val="auto"/>
                <w:sz w:val="24"/>
                <w:highlight w:val="none"/>
              </w:rPr>
              <w:t>加油站罐区加油罐为SF 双层罐外配防渗罐池，防渗池采用防渗钢筋混凝土整体浇筑，防渗池内表面为玻璃钢，防渗池内采用中性沙回填，防渗池顶部做好防渗措施，有效防止雨水等渗漏进入防渗池。油罐人孔操作井、卸油口井、加油机底槽等部位采取防渗措施，埋地加油管道采取双层管道配防渗沟，设置渗漏观测井、储油罐设置高液位报警器以及泄漏报警器，加油站已采取防渗漏检测措施。综上所述，本项目符合《加油站地下水污染防治技术指南》（试行）相关要求。</w:t>
            </w:r>
          </w:p>
          <w:p w14:paraId="38CDA304">
            <w:pPr>
              <w:spacing w:line="360" w:lineRule="auto"/>
              <w:ind w:firstLine="480" w:firstLineChars="200"/>
              <w:jc w:val="left"/>
              <w:rPr>
                <w:strike w:val="0"/>
                <w:dstrike w:val="0"/>
                <w:color w:val="auto"/>
                <w:sz w:val="24"/>
                <w:highlight w:val="none"/>
              </w:rPr>
            </w:pPr>
          </w:p>
          <w:p w14:paraId="76020839">
            <w:pPr>
              <w:adjustRightInd w:val="0"/>
              <w:snapToGrid w:val="0"/>
              <w:spacing w:line="360" w:lineRule="auto"/>
              <w:ind w:firstLine="480" w:firstLineChars="200"/>
              <w:rPr>
                <w:strike w:val="0"/>
                <w:dstrike w:val="0"/>
                <w:color w:val="auto"/>
                <w:sz w:val="24"/>
                <w:highlight w:val="none"/>
              </w:rPr>
            </w:pPr>
          </w:p>
          <w:p w14:paraId="08246B5B">
            <w:pPr>
              <w:pStyle w:val="4"/>
              <w:rPr>
                <w:strike w:val="0"/>
                <w:dstrike w:val="0"/>
                <w:color w:val="auto"/>
                <w:highlight w:val="none"/>
              </w:rPr>
            </w:pPr>
          </w:p>
          <w:p w14:paraId="02716D01">
            <w:pPr>
              <w:rPr>
                <w:strike w:val="0"/>
                <w:dstrike w:val="0"/>
                <w:color w:val="auto"/>
                <w:highlight w:val="none"/>
              </w:rPr>
            </w:pPr>
          </w:p>
        </w:tc>
      </w:tr>
    </w:tbl>
    <w:p w14:paraId="0E6B31C4">
      <w:pPr>
        <w:rPr>
          <w:b/>
          <w:bCs/>
          <w:strike w:val="0"/>
          <w:dstrike w:val="0"/>
          <w:snapToGrid w:val="0"/>
          <w:color w:val="auto"/>
          <w:sz w:val="30"/>
          <w:szCs w:val="30"/>
          <w:highlight w:val="none"/>
        </w:rPr>
      </w:pPr>
      <w:r>
        <w:rPr>
          <w:b/>
          <w:bCs/>
          <w:strike w:val="0"/>
          <w:dstrike w:val="0"/>
          <w:snapToGrid w:val="0"/>
          <w:color w:val="auto"/>
          <w:sz w:val="30"/>
          <w:szCs w:val="30"/>
          <w:highlight w:val="none"/>
        </w:rPr>
        <w:br w:type="page"/>
      </w:r>
    </w:p>
    <w:p w14:paraId="388E1068">
      <w:pPr>
        <w:pStyle w:val="18"/>
        <w:spacing w:before="0" w:beforeAutospacing="0" w:after="0" w:afterAutospacing="0"/>
        <w:jc w:val="center"/>
        <w:outlineLvl w:val="0"/>
        <w:rPr>
          <w:rFonts w:ascii="Times New Roman" w:hAnsi="Times New Roman"/>
          <w:b/>
          <w:bCs/>
          <w:strike w:val="0"/>
          <w:dstrike w:val="0"/>
          <w:snapToGrid w:val="0"/>
          <w:color w:val="auto"/>
          <w:sz w:val="30"/>
          <w:szCs w:val="30"/>
          <w:highlight w:val="none"/>
        </w:rPr>
      </w:pPr>
      <w:r>
        <w:rPr>
          <w:rFonts w:ascii="Times New Roman" w:hAnsi="Times New Roman"/>
          <w:b/>
          <w:bCs/>
          <w:strike w:val="0"/>
          <w:dstrike w:val="0"/>
          <w:snapToGrid w:val="0"/>
          <w:color w:val="auto"/>
          <w:sz w:val="30"/>
          <w:szCs w:val="30"/>
          <w:highlight w:val="none"/>
        </w:rPr>
        <w:t>二、建设项目工程分析</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7838"/>
        <w:gridCol w:w="49"/>
      </w:tblGrid>
      <w:tr w14:paraId="70A4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9" w:type="dxa"/>
          <w:trHeight w:val="11391" w:hRule="atLeast"/>
        </w:trPr>
        <w:tc>
          <w:tcPr>
            <w:tcW w:w="635" w:type="dxa"/>
            <w:vAlign w:val="center"/>
          </w:tcPr>
          <w:p w14:paraId="2D5CFD6F">
            <w:pPr>
              <w:pStyle w:val="18"/>
              <w:adjustRightInd w:val="0"/>
              <w:snapToGrid w:val="0"/>
              <w:spacing w:before="0" w:beforeAutospacing="0" w:after="0" w:afterAutospacing="0"/>
              <w:jc w:val="center"/>
              <w:rPr>
                <w:rFonts w:ascii="Times New Roman" w:hAnsi="Times New Roman"/>
                <w:b/>
                <w:bCs/>
                <w:strike w:val="0"/>
                <w:dstrike w:val="0"/>
                <w:color w:val="auto"/>
                <w:szCs w:val="24"/>
                <w:highlight w:val="none"/>
              </w:rPr>
            </w:pPr>
            <w:r>
              <w:rPr>
                <w:rFonts w:ascii="Times New Roman" w:hAnsi="Times New Roman"/>
                <w:b/>
                <w:bCs/>
                <w:strike w:val="0"/>
                <w:dstrike w:val="0"/>
                <w:color w:val="auto"/>
                <w:szCs w:val="24"/>
                <w:highlight w:val="none"/>
              </w:rPr>
              <w:t>建设内容</w:t>
            </w:r>
          </w:p>
        </w:tc>
        <w:tc>
          <w:tcPr>
            <w:tcW w:w="7838" w:type="dxa"/>
          </w:tcPr>
          <w:p w14:paraId="16768487">
            <w:pPr>
              <w:spacing w:line="360" w:lineRule="auto"/>
              <w:rPr>
                <w:b/>
                <w:iCs/>
                <w:strike w:val="0"/>
                <w:dstrike w:val="0"/>
                <w:color w:val="auto"/>
                <w:sz w:val="24"/>
                <w:highlight w:val="none"/>
              </w:rPr>
            </w:pPr>
            <w:r>
              <w:rPr>
                <w:b/>
                <w:iCs/>
                <w:strike w:val="0"/>
                <w:dstrike w:val="0"/>
                <w:color w:val="auto"/>
                <w:sz w:val="24"/>
                <w:highlight w:val="none"/>
              </w:rPr>
              <w:t>2.1 建设内容</w:t>
            </w:r>
          </w:p>
          <w:p w14:paraId="2DC16560">
            <w:pPr>
              <w:spacing w:line="360" w:lineRule="auto"/>
              <w:rPr>
                <w:b/>
                <w:iCs/>
                <w:strike w:val="0"/>
                <w:dstrike w:val="0"/>
                <w:color w:val="auto"/>
                <w:sz w:val="24"/>
                <w:highlight w:val="none"/>
              </w:rPr>
            </w:pPr>
            <w:r>
              <w:rPr>
                <w:b/>
                <w:iCs/>
                <w:strike w:val="0"/>
                <w:dstrike w:val="0"/>
                <w:color w:val="auto"/>
                <w:sz w:val="24"/>
                <w:highlight w:val="none"/>
              </w:rPr>
              <w:t>2.1.1 项目由来</w:t>
            </w:r>
          </w:p>
          <w:p w14:paraId="752C2573">
            <w:pPr>
              <w:widowControl/>
              <w:spacing w:line="360" w:lineRule="auto"/>
              <w:ind w:firstLine="480" w:firstLineChars="200"/>
              <w:jc w:val="left"/>
              <w:rPr>
                <w:strike w:val="0"/>
                <w:dstrike w:val="0"/>
                <w:color w:val="auto"/>
                <w:sz w:val="24"/>
                <w:highlight w:val="none"/>
              </w:rPr>
            </w:pPr>
            <w:r>
              <w:rPr>
                <w:strike w:val="0"/>
                <w:dstrike w:val="0"/>
                <w:color w:val="auto"/>
                <w:sz w:val="24"/>
                <w:highlight w:val="none"/>
              </w:rPr>
              <w:t>重庆合川燃气有限责任公司（以下简称“合川燃气公司</w:t>
            </w:r>
            <w:r>
              <w:rPr>
                <w:rFonts w:hint="eastAsia"/>
                <w:strike w:val="0"/>
                <w:dstrike w:val="0"/>
                <w:color w:val="auto"/>
                <w:sz w:val="24"/>
                <w:highlight w:val="none"/>
              </w:rPr>
              <w:t>”</w:t>
            </w:r>
            <w:r>
              <w:rPr>
                <w:strike w:val="0"/>
                <w:dstrike w:val="0"/>
                <w:color w:val="auto"/>
                <w:sz w:val="24"/>
                <w:highlight w:val="none"/>
              </w:rPr>
              <w:t>）成立于2009年5月8日，是重庆燃气集团股份有限公司的全资子公司，前身为重庆市合川区民生天然气有限责任公司。合川区土场综合能源站位于重庆市合川区土场镇杨柳村三社，按二级站建设。地理位置详见附图1。</w:t>
            </w:r>
          </w:p>
          <w:p w14:paraId="2DC29A31">
            <w:pPr>
              <w:pStyle w:val="47"/>
              <w:tabs>
                <w:tab w:val="left" w:pos="5573"/>
              </w:tabs>
              <w:spacing w:before="0" w:line="360" w:lineRule="auto"/>
              <w:ind w:firstLine="480"/>
              <w:rPr>
                <w:strike w:val="0"/>
                <w:dstrike w:val="0"/>
                <w:color w:val="auto"/>
                <w:szCs w:val="24"/>
                <w:highlight w:val="none"/>
              </w:rPr>
            </w:pPr>
            <w:r>
              <w:rPr>
                <w:strike w:val="0"/>
                <w:dstrike w:val="0"/>
                <w:color w:val="auto"/>
                <w:szCs w:val="24"/>
                <w:highlight w:val="none"/>
              </w:rPr>
              <w:t>根据市场需求，合川燃气公司</w:t>
            </w:r>
            <w:r>
              <w:rPr>
                <w:rFonts w:hint="eastAsia"/>
                <w:strike w:val="0"/>
                <w:dstrike w:val="0"/>
                <w:color w:val="auto"/>
                <w:highlight w:val="none"/>
              </w:rPr>
              <w:t>拟</w:t>
            </w:r>
            <w:r>
              <w:rPr>
                <w:strike w:val="0"/>
                <w:dstrike w:val="0"/>
                <w:color w:val="auto"/>
                <w:szCs w:val="24"/>
                <w:highlight w:val="none"/>
              </w:rPr>
              <w:t>在重庆市合川区土场镇杨柳村三社建设“合川区土场综合能源站工程</w:t>
            </w:r>
            <w:r>
              <w:rPr>
                <w:rFonts w:hint="eastAsia"/>
                <w:strike w:val="0"/>
                <w:dstrike w:val="0"/>
                <w:color w:val="auto"/>
                <w:szCs w:val="24"/>
                <w:highlight w:val="none"/>
              </w:rPr>
              <w:t>”</w:t>
            </w:r>
            <w:r>
              <w:rPr>
                <w:strike w:val="0"/>
                <w:dstrike w:val="0"/>
                <w:color w:val="auto"/>
                <w:szCs w:val="24"/>
                <w:highlight w:val="none"/>
              </w:rPr>
              <w:t>（以下简称“本项目</w:t>
            </w:r>
            <w:r>
              <w:rPr>
                <w:rFonts w:hint="eastAsia"/>
                <w:strike w:val="0"/>
                <w:dstrike w:val="0"/>
                <w:color w:val="auto"/>
                <w:szCs w:val="24"/>
                <w:highlight w:val="none"/>
              </w:rPr>
              <w:t>”</w:t>
            </w:r>
            <w:r>
              <w:rPr>
                <w:strike w:val="0"/>
                <w:dstrike w:val="0"/>
                <w:color w:val="auto"/>
                <w:szCs w:val="24"/>
                <w:highlight w:val="none"/>
              </w:rPr>
              <w:t>）。本项目</w:t>
            </w:r>
            <w:r>
              <w:rPr>
                <w:strike w:val="0"/>
                <w:dstrike w:val="0"/>
                <w:color w:val="auto"/>
                <w:highlight w:val="none"/>
              </w:rPr>
              <w:t>按二级站建设。</w:t>
            </w:r>
            <w:r>
              <w:rPr>
                <w:strike w:val="0"/>
                <w:dstrike w:val="0"/>
                <w:color w:val="auto"/>
                <w:szCs w:val="24"/>
                <w:highlight w:val="none"/>
              </w:rPr>
              <w:t>项目占地面积3703m</w:t>
            </w:r>
            <w:r>
              <w:rPr>
                <w:strike w:val="0"/>
                <w:dstrike w:val="0"/>
                <w:color w:val="auto"/>
                <w:szCs w:val="24"/>
                <w:highlight w:val="none"/>
                <w:vertAlign w:val="superscript"/>
              </w:rPr>
              <w:t>2</w:t>
            </w:r>
            <w:r>
              <w:rPr>
                <w:strike w:val="0"/>
                <w:dstrike w:val="0"/>
                <w:color w:val="auto"/>
                <w:szCs w:val="24"/>
                <w:highlight w:val="none"/>
              </w:rPr>
              <w:t>，</w:t>
            </w:r>
            <w:r>
              <w:rPr>
                <w:strike w:val="0"/>
                <w:dstrike w:val="0"/>
                <w:color w:val="auto"/>
                <w:kern w:val="0"/>
                <w:szCs w:val="24"/>
                <w:highlight w:val="none"/>
                <w:lang w:bidi="ar"/>
              </w:rPr>
              <w:t>新建92#汽油罐1个，容积30m</w:t>
            </w:r>
            <w:r>
              <w:rPr>
                <w:strike w:val="0"/>
                <w:dstrike w:val="0"/>
                <w:color w:val="auto"/>
                <w:kern w:val="0"/>
                <w:szCs w:val="24"/>
                <w:highlight w:val="none"/>
                <w:vertAlign w:val="superscript"/>
                <w:lang w:bidi="ar"/>
              </w:rPr>
              <w:t>3</w:t>
            </w:r>
            <w:r>
              <w:rPr>
                <w:strike w:val="0"/>
                <w:dstrike w:val="0"/>
                <w:color w:val="auto"/>
                <w:kern w:val="0"/>
                <w:szCs w:val="24"/>
                <w:highlight w:val="none"/>
                <w:lang w:bidi="ar"/>
              </w:rPr>
              <w:t>；95#汽油罐1个，容积30m</w:t>
            </w:r>
            <w:r>
              <w:rPr>
                <w:strike w:val="0"/>
                <w:dstrike w:val="0"/>
                <w:color w:val="auto"/>
                <w:kern w:val="0"/>
                <w:szCs w:val="24"/>
                <w:highlight w:val="none"/>
                <w:vertAlign w:val="superscript"/>
                <w:lang w:bidi="ar"/>
              </w:rPr>
              <w:t>3</w:t>
            </w:r>
            <w:r>
              <w:rPr>
                <w:strike w:val="0"/>
                <w:dstrike w:val="0"/>
                <w:color w:val="auto"/>
                <w:kern w:val="0"/>
                <w:szCs w:val="24"/>
                <w:highlight w:val="none"/>
                <w:lang w:bidi="ar"/>
              </w:rPr>
              <w:t>；0#柴油罐2个，容积均为30m</w:t>
            </w:r>
            <w:r>
              <w:rPr>
                <w:strike w:val="0"/>
                <w:dstrike w:val="0"/>
                <w:color w:val="auto"/>
                <w:kern w:val="0"/>
                <w:szCs w:val="24"/>
                <w:highlight w:val="none"/>
                <w:vertAlign w:val="superscript"/>
                <w:lang w:bidi="ar"/>
              </w:rPr>
              <w:t>3</w:t>
            </w:r>
            <w:r>
              <w:rPr>
                <w:strike w:val="0"/>
                <w:dstrike w:val="0"/>
                <w:color w:val="auto"/>
                <w:kern w:val="0"/>
                <w:szCs w:val="24"/>
                <w:highlight w:val="none"/>
                <w:lang w:bidi="ar"/>
              </w:rPr>
              <w:t>，合计总容积为90m</w:t>
            </w:r>
            <w:r>
              <w:rPr>
                <w:strike w:val="0"/>
                <w:dstrike w:val="0"/>
                <w:color w:val="auto"/>
                <w:kern w:val="0"/>
                <w:szCs w:val="24"/>
                <w:highlight w:val="none"/>
                <w:vertAlign w:val="superscript"/>
                <w:lang w:bidi="ar"/>
              </w:rPr>
              <w:t>3</w:t>
            </w:r>
            <w:r>
              <w:rPr>
                <w:strike w:val="0"/>
                <w:dstrike w:val="0"/>
                <w:color w:val="auto"/>
                <w:kern w:val="0"/>
                <w:szCs w:val="24"/>
                <w:highlight w:val="none"/>
                <w:lang w:bidi="ar"/>
              </w:rPr>
              <w:t>（柴油罐容积折半）；LNG卧式储罐1座，容积60m³；同时预留充电/换电位。根据《汽车加油加气加氢站技术标准》（GB50156-2021），该站为二级加油与LNG加气合建站，</w:t>
            </w:r>
            <w:r>
              <w:rPr>
                <w:strike w:val="0"/>
                <w:dstrike w:val="0"/>
                <w:color w:val="auto"/>
                <w:szCs w:val="24"/>
                <w:highlight w:val="none"/>
              </w:rPr>
              <w:t>完成配套工艺管网、站房、</w:t>
            </w:r>
            <w:r>
              <w:rPr>
                <w:strike w:val="0"/>
                <w:dstrike w:val="0"/>
                <w:color w:val="auto"/>
                <w:highlight w:val="none"/>
              </w:rPr>
              <w:t>罩棚及其他附属设施建设。</w:t>
            </w:r>
            <w:r>
              <w:rPr>
                <w:strike w:val="0"/>
                <w:dstrike w:val="0"/>
                <w:color w:val="auto"/>
                <w:szCs w:val="24"/>
                <w:highlight w:val="none"/>
              </w:rPr>
              <w:t>项目总投资4000万元，其中环保投资30万元，占总投资的</w:t>
            </w:r>
            <w:r>
              <w:rPr>
                <w:strike w:val="0"/>
                <w:dstrike w:val="0"/>
                <w:color w:val="auto"/>
                <w:highlight w:val="none"/>
              </w:rPr>
              <w:t>0.75</w:t>
            </w:r>
            <w:r>
              <w:rPr>
                <w:strike w:val="0"/>
                <w:dstrike w:val="0"/>
                <w:color w:val="auto"/>
                <w:szCs w:val="24"/>
                <w:highlight w:val="none"/>
              </w:rPr>
              <w:t>%。</w:t>
            </w:r>
          </w:p>
          <w:p w14:paraId="5A5AD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kern w:val="0"/>
                <w:sz w:val="24"/>
                <w:szCs w:val="24"/>
                <w:highlight w:val="none"/>
                <w:lang w:val="en-US" w:eastAsia="zh-CN" w:bidi="ar"/>
              </w:rPr>
            </w:pPr>
            <w:r>
              <w:rPr>
                <w:rFonts w:hint="eastAsia" w:ascii="Times New Roman" w:hAnsi="Times New Roman" w:cs="Times New Roman"/>
                <w:strike w:val="0"/>
                <w:dstrike w:val="0"/>
                <w:color w:val="auto"/>
                <w:kern w:val="0"/>
                <w:sz w:val="24"/>
                <w:szCs w:val="24"/>
                <w:highlight w:val="none"/>
                <w:lang w:val="en-US" w:eastAsia="zh-CN" w:bidi="ar"/>
              </w:rPr>
              <w:t>2021年3月17日，本项目取得《重庆市合川区人民政府关于将土场镇一宗国有建设用地使用权出让给重庆合川燃气有限责任公司的批复》（合川府地[2021]26号），批复中注明土地用途为B41-加油加气站用地。</w:t>
            </w:r>
          </w:p>
          <w:p w14:paraId="64014C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kern w:val="0"/>
                <w:sz w:val="24"/>
                <w:szCs w:val="24"/>
                <w:highlight w:val="none"/>
                <w:lang w:val="en-US" w:eastAsia="zh-CN" w:bidi="ar"/>
              </w:rPr>
            </w:pPr>
            <w:r>
              <w:rPr>
                <w:rFonts w:hint="eastAsia" w:ascii="Times New Roman" w:hAnsi="Times New Roman" w:cs="Times New Roman"/>
                <w:strike w:val="0"/>
                <w:dstrike w:val="0"/>
                <w:color w:val="auto"/>
                <w:kern w:val="0"/>
                <w:sz w:val="24"/>
                <w:szCs w:val="24"/>
                <w:highlight w:val="none"/>
                <w:lang w:val="en-US" w:eastAsia="zh-CN" w:bidi="ar"/>
              </w:rPr>
              <w:t>2024年2月8日，本项目取得重庆市合川区规划和自然资源局下发的不动产权证。该产权证明确本项目位于合川区土场镇HC21-115-1号地块，土地用途为其他商服用地，B41-加油加气站用地。</w:t>
            </w:r>
          </w:p>
          <w:p w14:paraId="60455016">
            <w:pPr>
              <w:pStyle w:val="9"/>
              <w:spacing w:line="360" w:lineRule="auto"/>
              <w:ind w:firstLine="480" w:firstLineChars="200"/>
              <w:rPr>
                <w:rFonts w:hint="eastAsia" w:ascii="Times New Roman" w:hAnsi="Times New Roman" w:cs="Times New Roman"/>
                <w:strike w:val="0"/>
                <w:dstrike w:val="0"/>
                <w:color w:val="auto"/>
                <w:kern w:val="0"/>
                <w:sz w:val="24"/>
                <w:szCs w:val="24"/>
                <w:highlight w:val="none"/>
                <w:lang w:val="en-US" w:eastAsia="zh-CN" w:bidi="ar"/>
              </w:rPr>
            </w:pPr>
            <w:r>
              <w:rPr>
                <w:rFonts w:hint="eastAsia" w:ascii="Times New Roman" w:hAnsi="Times New Roman" w:cs="Times New Roman"/>
                <w:strike w:val="0"/>
                <w:dstrike w:val="0"/>
                <w:color w:val="auto"/>
                <w:kern w:val="0"/>
                <w:sz w:val="24"/>
                <w:szCs w:val="24"/>
                <w:highlight w:val="none"/>
                <w:lang w:val="en-US" w:eastAsia="zh-CN" w:bidi="ar"/>
              </w:rPr>
              <w:t>2024年8月15日，</w:t>
            </w:r>
            <w:r>
              <w:rPr>
                <w:strike w:val="0"/>
                <w:dstrike w:val="0"/>
                <w:color w:val="auto"/>
                <w:sz w:val="24"/>
                <w:highlight w:val="none"/>
              </w:rPr>
              <w:t>重庆合川燃气有限责任公司</w:t>
            </w:r>
            <w:r>
              <w:rPr>
                <w:rFonts w:hint="eastAsia"/>
                <w:strike w:val="0"/>
                <w:dstrike w:val="0"/>
                <w:color w:val="auto"/>
                <w:sz w:val="24"/>
                <w:highlight w:val="none"/>
                <w:lang w:val="en-US" w:eastAsia="zh-CN"/>
              </w:rPr>
              <w:t>特向</w:t>
            </w:r>
            <w:r>
              <w:rPr>
                <w:rFonts w:hint="eastAsia" w:ascii="Times New Roman" w:hAnsi="Times New Roman" w:cs="Times New Roman"/>
                <w:strike w:val="0"/>
                <w:dstrike w:val="0"/>
                <w:color w:val="auto"/>
                <w:kern w:val="0"/>
                <w:sz w:val="24"/>
                <w:szCs w:val="24"/>
                <w:highlight w:val="none"/>
                <w:lang w:val="en-US" w:eastAsia="zh-CN" w:bidi="ar"/>
              </w:rPr>
              <w:t>重庆市合川区规划和自然资源局发送了询问函《关于确认合川区土场综合能源综合站工程地块是否属于城市建成区的函》(渝合川气[2024]5号)，重庆市合川区规划和自然资源局也回复该项目所在地规划用地性质为B41-加油加气站用地。</w:t>
            </w:r>
          </w:p>
          <w:p w14:paraId="2994A073">
            <w:pPr>
              <w:pStyle w:val="9"/>
              <w:spacing w:line="360" w:lineRule="auto"/>
              <w:ind w:firstLine="480" w:firstLineChars="200"/>
              <w:rPr>
                <w:rFonts w:hint="default" w:ascii="Times New Roman" w:hAnsi="Times New Roman" w:cs="Times New Roman"/>
                <w:strike w:val="0"/>
                <w:dstrike w:val="0"/>
                <w:color w:val="auto"/>
                <w:kern w:val="0"/>
                <w:sz w:val="24"/>
                <w:szCs w:val="24"/>
                <w:highlight w:val="none"/>
                <w:lang w:val="en-US" w:eastAsia="zh-CN" w:bidi="ar"/>
              </w:rPr>
            </w:pPr>
            <w:r>
              <w:rPr>
                <w:rFonts w:hint="eastAsia" w:ascii="Times New Roman" w:hAnsi="Times New Roman" w:cs="Times New Roman"/>
                <w:strike w:val="0"/>
                <w:dstrike w:val="0"/>
                <w:color w:val="auto"/>
                <w:kern w:val="0"/>
                <w:sz w:val="24"/>
                <w:szCs w:val="24"/>
                <w:highlight w:val="none"/>
                <w:lang w:val="en-US" w:eastAsia="zh-CN" w:bidi="ar"/>
              </w:rPr>
              <w:t>2025年3月19日，重庆合川燃气有限责任公司出具关于合川区土场综合能源站工程项目位于城市建成区的情况说明，详见附件7。</w:t>
            </w:r>
          </w:p>
          <w:p w14:paraId="5F7851B2">
            <w:pPr>
              <w:pStyle w:val="9"/>
              <w:spacing w:line="360" w:lineRule="auto"/>
              <w:ind w:firstLine="480" w:firstLineChars="200"/>
              <w:rPr>
                <w:strike w:val="0"/>
                <w:dstrike w:val="0"/>
                <w:color w:val="auto"/>
                <w:szCs w:val="24"/>
                <w:highlight w:val="none"/>
              </w:rPr>
            </w:pPr>
            <w:r>
              <w:rPr>
                <w:strike w:val="0"/>
                <w:dstrike w:val="0"/>
                <w:color w:val="auto"/>
                <w:szCs w:val="24"/>
                <w:highlight w:val="none"/>
              </w:rPr>
              <w:t>根据《中华人民共和国环境影响评价法》和《建设项目环境保护管理条例》等有关环保法律法规和条例的规定，本项目应进行环境影响评价。照《国民经济行业分类》（GB/T4754-2017）（按第1号修改单修订），项目应属于“F5265机动车燃油零售、F5266机动车燃气零售</w:t>
            </w:r>
            <w:r>
              <w:rPr>
                <w:rFonts w:hint="eastAsia"/>
                <w:strike w:val="0"/>
                <w:dstrike w:val="0"/>
                <w:color w:val="auto"/>
                <w:szCs w:val="24"/>
                <w:highlight w:val="none"/>
              </w:rPr>
              <w:t>”</w:t>
            </w:r>
            <w:r>
              <w:rPr>
                <w:strike w:val="0"/>
                <w:dstrike w:val="0"/>
                <w:color w:val="auto"/>
                <w:szCs w:val="24"/>
                <w:highlight w:val="none"/>
              </w:rPr>
              <w:t>项目。对照《建设项目环境影响评价分类管理名录》（2021年版），本项目应属于“五十、社会事业与服务业</w:t>
            </w:r>
            <w:r>
              <w:rPr>
                <w:rFonts w:hint="eastAsia"/>
                <w:strike w:val="0"/>
                <w:dstrike w:val="0"/>
                <w:color w:val="auto"/>
                <w:szCs w:val="24"/>
                <w:highlight w:val="none"/>
              </w:rPr>
              <w:t>”</w:t>
            </w:r>
            <w:r>
              <w:rPr>
                <w:strike w:val="0"/>
                <w:dstrike w:val="0"/>
                <w:color w:val="auto"/>
                <w:szCs w:val="24"/>
                <w:highlight w:val="none"/>
              </w:rPr>
              <w:t>中“119 加油</w:t>
            </w:r>
            <w:r>
              <w:rPr>
                <w:rFonts w:hint="eastAsia"/>
                <w:strike w:val="0"/>
                <w:dstrike w:val="0"/>
                <w:color w:val="auto"/>
                <w:szCs w:val="24"/>
                <w:highlight w:val="none"/>
                <w:lang w:eastAsia="zh-CN"/>
              </w:rPr>
              <w:t>、</w:t>
            </w:r>
            <w:r>
              <w:rPr>
                <w:strike w:val="0"/>
                <w:dstrike w:val="0"/>
                <w:color w:val="auto"/>
                <w:szCs w:val="24"/>
                <w:highlight w:val="none"/>
              </w:rPr>
              <w:t>加气站</w:t>
            </w:r>
            <w:r>
              <w:rPr>
                <w:rFonts w:hint="eastAsia"/>
                <w:strike w:val="0"/>
                <w:dstrike w:val="0"/>
                <w:color w:val="auto"/>
                <w:szCs w:val="24"/>
                <w:highlight w:val="none"/>
              </w:rPr>
              <w:t>”</w:t>
            </w:r>
            <w:r>
              <w:rPr>
                <w:strike w:val="0"/>
                <w:dstrike w:val="0"/>
                <w:color w:val="auto"/>
                <w:szCs w:val="24"/>
                <w:highlight w:val="none"/>
              </w:rPr>
              <w:t>中“城市建成区新建、扩建加油站</w:t>
            </w:r>
            <w:r>
              <w:rPr>
                <w:rFonts w:hint="eastAsia"/>
                <w:strike w:val="0"/>
                <w:dstrike w:val="0"/>
                <w:color w:val="auto"/>
                <w:szCs w:val="24"/>
                <w:highlight w:val="none"/>
              </w:rPr>
              <w:t>”</w:t>
            </w:r>
            <w:r>
              <w:rPr>
                <w:strike w:val="0"/>
                <w:dstrike w:val="0"/>
                <w:color w:val="auto"/>
                <w:szCs w:val="24"/>
                <w:highlight w:val="none"/>
              </w:rPr>
              <w:t>项目。</w:t>
            </w:r>
            <w:r>
              <w:rPr>
                <w:rFonts w:hint="eastAsia"/>
                <w:strike w:val="0"/>
                <w:dstrike w:val="0"/>
                <w:color w:val="auto"/>
                <w:highlight w:val="none"/>
              </w:rPr>
              <w:t>对照渝环规〔2023〕8号重庆市生态环境局“关于印发《重庆市不纳入环境影响评价管理的建设项目名录（2023年版）》的通知”，本项目不属于该名录范围内项目。该项目需编制环境影响报告表。</w:t>
            </w:r>
            <w:r>
              <w:rPr>
                <w:strike w:val="0"/>
                <w:dstrike w:val="0"/>
                <w:color w:val="auto"/>
                <w:szCs w:val="24"/>
                <w:highlight w:val="none"/>
              </w:rPr>
              <w:t>为完善相关环保手续，合川燃气公司委托重庆雅城环保科技有限公司承担项目环境影响评价工作。</w:t>
            </w:r>
          </w:p>
          <w:p w14:paraId="1AB33A49">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接受重庆合川燃气有限责任公司委托后，我公司即刻组织评价人员深入现场，对项目周围环境状况、项目建设情况进行了实地调查，在收集有关资料的基础上，编制完成了《重庆合川燃气有限责任公司合川区土场综合能源站工程环境影响报告表》，报请生态环境主管部门审查。</w:t>
            </w:r>
          </w:p>
          <w:p w14:paraId="08887537">
            <w:pPr>
              <w:pStyle w:val="9"/>
              <w:spacing w:line="360" w:lineRule="auto"/>
              <w:rPr>
                <w:b/>
                <w:iCs/>
                <w:strike w:val="0"/>
                <w:dstrike w:val="0"/>
                <w:color w:val="auto"/>
                <w:highlight w:val="none"/>
              </w:rPr>
            </w:pPr>
            <w:r>
              <w:rPr>
                <w:b/>
                <w:iCs/>
                <w:strike w:val="0"/>
                <w:dstrike w:val="0"/>
                <w:color w:val="auto"/>
                <w:highlight w:val="none"/>
              </w:rPr>
              <w:t>2.1.2 项目概况</w:t>
            </w:r>
          </w:p>
          <w:p w14:paraId="3617437D">
            <w:pPr>
              <w:adjustRightInd w:val="0"/>
              <w:snapToGrid w:val="0"/>
              <w:spacing w:line="360" w:lineRule="auto"/>
              <w:ind w:firstLine="480" w:firstLineChars="200"/>
              <w:rPr>
                <w:bCs/>
                <w:strike w:val="0"/>
                <w:dstrike w:val="0"/>
                <w:color w:val="auto"/>
                <w:sz w:val="24"/>
                <w:highlight w:val="none"/>
              </w:rPr>
            </w:pPr>
            <w:r>
              <w:rPr>
                <w:bCs/>
                <w:strike w:val="0"/>
                <w:dstrike w:val="0"/>
                <w:color w:val="auto"/>
                <w:sz w:val="24"/>
                <w:highlight w:val="none"/>
              </w:rPr>
              <w:t>项目名称：</w:t>
            </w:r>
            <w:r>
              <w:rPr>
                <w:strike w:val="0"/>
                <w:dstrike w:val="0"/>
                <w:color w:val="auto"/>
                <w:sz w:val="24"/>
                <w:highlight w:val="none"/>
              </w:rPr>
              <w:t>合川区土场综合能源站工程</w:t>
            </w:r>
            <w:r>
              <w:rPr>
                <w:bCs/>
                <w:strike w:val="0"/>
                <w:dstrike w:val="0"/>
                <w:color w:val="auto"/>
                <w:sz w:val="24"/>
                <w:highlight w:val="none"/>
              </w:rPr>
              <w:t>；</w:t>
            </w:r>
          </w:p>
          <w:p w14:paraId="0D822E16">
            <w:pPr>
              <w:adjustRightInd w:val="0"/>
              <w:snapToGrid w:val="0"/>
              <w:spacing w:line="360" w:lineRule="auto"/>
              <w:ind w:firstLine="480" w:firstLineChars="200"/>
              <w:rPr>
                <w:bCs/>
                <w:strike w:val="0"/>
                <w:dstrike w:val="0"/>
                <w:color w:val="auto"/>
                <w:sz w:val="24"/>
                <w:highlight w:val="none"/>
              </w:rPr>
            </w:pPr>
            <w:r>
              <w:rPr>
                <w:bCs/>
                <w:strike w:val="0"/>
                <w:dstrike w:val="0"/>
                <w:color w:val="auto"/>
                <w:sz w:val="24"/>
                <w:highlight w:val="none"/>
              </w:rPr>
              <w:t>建设单位：</w:t>
            </w:r>
            <w:r>
              <w:rPr>
                <w:strike w:val="0"/>
                <w:dstrike w:val="0"/>
                <w:color w:val="auto"/>
                <w:sz w:val="24"/>
                <w:highlight w:val="none"/>
              </w:rPr>
              <w:t>重庆合川燃气有限责任公司</w:t>
            </w:r>
            <w:r>
              <w:rPr>
                <w:strike w:val="0"/>
                <w:dstrike w:val="0"/>
                <w:snapToGrid w:val="0"/>
                <w:color w:val="auto"/>
                <w:kern w:val="0"/>
                <w:sz w:val="24"/>
                <w:highlight w:val="none"/>
              </w:rPr>
              <w:t>；</w:t>
            </w:r>
          </w:p>
          <w:p w14:paraId="18BD7204">
            <w:pPr>
              <w:adjustRightInd w:val="0"/>
              <w:snapToGrid w:val="0"/>
              <w:spacing w:line="360" w:lineRule="auto"/>
              <w:ind w:firstLine="480" w:firstLineChars="200"/>
              <w:rPr>
                <w:bCs/>
                <w:strike w:val="0"/>
                <w:dstrike w:val="0"/>
                <w:color w:val="auto"/>
                <w:sz w:val="24"/>
                <w:highlight w:val="none"/>
              </w:rPr>
            </w:pPr>
            <w:r>
              <w:rPr>
                <w:bCs/>
                <w:strike w:val="0"/>
                <w:dstrike w:val="0"/>
                <w:color w:val="auto"/>
                <w:sz w:val="24"/>
                <w:highlight w:val="none"/>
              </w:rPr>
              <w:t>项目性质：新建；</w:t>
            </w:r>
          </w:p>
          <w:p w14:paraId="296B36BA">
            <w:pPr>
              <w:adjustRightInd w:val="0"/>
              <w:snapToGrid w:val="0"/>
              <w:spacing w:line="360" w:lineRule="auto"/>
              <w:ind w:firstLine="480" w:firstLineChars="200"/>
              <w:rPr>
                <w:bCs/>
                <w:strike w:val="0"/>
                <w:dstrike w:val="0"/>
                <w:color w:val="auto"/>
                <w:sz w:val="24"/>
                <w:highlight w:val="none"/>
              </w:rPr>
            </w:pPr>
            <w:r>
              <w:rPr>
                <w:bCs/>
                <w:strike w:val="0"/>
                <w:dstrike w:val="0"/>
                <w:color w:val="auto"/>
                <w:sz w:val="24"/>
                <w:highlight w:val="none"/>
              </w:rPr>
              <w:t>建设地点：</w:t>
            </w:r>
            <w:r>
              <w:rPr>
                <w:strike w:val="0"/>
                <w:dstrike w:val="0"/>
                <w:color w:val="auto"/>
                <w:sz w:val="24"/>
                <w:highlight w:val="none"/>
              </w:rPr>
              <w:t>重庆市合川区土场镇杨柳村三社</w:t>
            </w:r>
            <w:r>
              <w:rPr>
                <w:bCs/>
                <w:strike w:val="0"/>
                <w:dstrike w:val="0"/>
                <w:color w:val="auto"/>
                <w:sz w:val="24"/>
                <w:highlight w:val="none"/>
              </w:rPr>
              <w:t>；</w:t>
            </w:r>
          </w:p>
          <w:p w14:paraId="4B144685">
            <w:pPr>
              <w:adjustRightInd w:val="0"/>
              <w:snapToGrid w:val="0"/>
              <w:spacing w:line="360" w:lineRule="auto"/>
              <w:ind w:firstLine="480" w:firstLineChars="200"/>
              <w:rPr>
                <w:rStyle w:val="29"/>
                <w:strike w:val="0"/>
                <w:dstrike w:val="0"/>
                <w:color w:val="auto"/>
                <w:kern w:val="0"/>
                <w:sz w:val="24"/>
                <w:highlight w:val="none"/>
              </w:rPr>
            </w:pPr>
            <w:r>
              <w:rPr>
                <w:bCs/>
                <w:strike w:val="0"/>
                <w:dstrike w:val="0"/>
                <w:color w:val="auto"/>
                <w:sz w:val="24"/>
                <w:highlight w:val="none"/>
              </w:rPr>
              <w:t>占地面积：</w:t>
            </w:r>
            <w:r>
              <w:rPr>
                <w:strike w:val="0"/>
                <w:dstrike w:val="0"/>
                <w:color w:val="auto"/>
                <w:sz w:val="24"/>
                <w:highlight w:val="none"/>
              </w:rPr>
              <w:t>3703m</w:t>
            </w:r>
            <w:r>
              <w:rPr>
                <w:strike w:val="0"/>
                <w:dstrike w:val="0"/>
                <w:color w:val="auto"/>
                <w:sz w:val="24"/>
                <w:highlight w:val="none"/>
                <w:vertAlign w:val="superscript"/>
              </w:rPr>
              <w:t>2</w:t>
            </w:r>
            <w:r>
              <w:rPr>
                <w:rStyle w:val="29"/>
                <w:strike w:val="0"/>
                <w:dstrike w:val="0"/>
                <w:color w:val="auto"/>
                <w:kern w:val="0"/>
                <w:sz w:val="24"/>
                <w:highlight w:val="none"/>
              </w:rPr>
              <w:t>；</w:t>
            </w:r>
          </w:p>
          <w:p w14:paraId="19199ECC">
            <w:pPr>
              <w:spacing w:line="360" w:lineRule="auto"/>
              <w:ind w:firstLine="480" w:firstLineChars="200"/>
              <w:rPr>
                <w:rStyle w:val="29"/>
                <w:strike w:val="0"/>
                <w:dstrike w:val="0"/>
                <w:color w:val="auto"/>
                <w:kern w:val="0"/>
                <w:sz w:val="24"/>
                <w:highlight w:val="none"/>
              </w:rPr>
            </w:pPr>
            <w:r>
              <w:rPr>
                <w:strike w:val="0"/>
                <w:dstrike w:val="0"/>
                <w:color w:val="auto"/>
                <w:sz w:val="24"/>
                <w:highlight w:val="none"/>
              </w:rPr>
              <w:t>建筑面积：</w:t>
            </w:r>
            <w:r>
              <w:rPr>
                <w:rFonts w:hint="eastAsia"/>
                <w:strike w:val="0"/>
                <w:dstrike w:val="0"/>
                <w:color w:val="auto"/>
                <w:sz w:val="24"/>
                <w:highlight w:val="none"/>
                <w:lang w:eastAsia="zh-CN"/>
              </w:rPr>
              <w:t>473.22</w:t>
            </w:r>
            <w:r>
              <w:rPr>
                <w:strike w:val="0"/>
                <w:dstrike w:val="0"/>
                <w:color w:val="auto"/>
                <w:sz w:val="24"/>
                <w:highlight w:val="none"/>
              </w:rPr>
              <w:t>m</w:t>
            </w:r>
            <w:r>
              <w:rPr>
                <w:strike w:val="0"/>
                <w:dstrike w:val="0"/>
                <w:color w:val="auto"/>
                <w:sz w:val="24"/>
                <w:highlight w:val="none"/>
                <w:vertAlign w:val="superscript"/>
              </w:rPr>
              <w:t>2</w:t>
            </w:r>
            <w:r>
              <w:rPr>
                <w:strike w:val="0"/>
                <w:dstrike w:val="0"/>
                <w:color w:val="auto"/>
                <w:sz w:val="24"/>
                <w:highlight w:val="none"/>
              </w:rPr>
              <w:t>（其中：站房面积：</w:t>
            </w:r>
            <w:r>
              <w:rPr>
                <w:rFonts w:hint="eastAsia"/>
                <w:strike w:val="0"/>
                <w:dstrike w:val="0"/>
                <w:color w:val="auto"/>
                <w:sz w:val="24"/>
                <w:highlight w:val="none"/>
                <w:lang w:val="en-US" w:eastAsia="zh-CN"/>
              </w:rPr>
              <w:t>345.22</w:t>
            </w:r>
            <w:r>
              <w:rPr>
                <w:strike w:val="0"/>
                <w:dstrike w:val="0"/>
                <w:color w:val="auto"/>
                <w:sz w:val="24"/>
                <w:highlight w:val="none"/>
              </w:rPr>
              <w:t>m</w:t>
            </w:r>
            <w:r>
              <w:rPr>
                <w:strike w:val="0"/>
                <w:dstrike w:val="0"/>
                <w:color w:val="auto"/>
                <w:sz w:val="24"/>
                <w:highlight w:val="none"/>
                <w:vertAlign w:val="superscript"/>
              </w:rPr>
              <w:t>2</w:t>
            </w:r>
            <w:r>
              <w:rPr>
                <w:strike w:val="0"/>
                <w:dstrike w:val="0"/>
                <w:color w:val="auto"/>
                <w:sz w:val="24"/>
                <w:highlight w:val="none"/>
              </w:rPr>
              <w:t xml:space="preserve"> ，罩棚面积：</w:t>
            </w:r>
            <w:r>
              <w:rPr>
                <w:rFonts w:hint="eastAsia"/>
                <w:strike w:val="0"/>
                <w:dstrike w:val="0"/>
                <w:color w:val="auto"/>
                <w:sz w:val="24"/>
                <w:highlight w:val="none"/>
                <w:lang w:val="en-US" w:eastAsia="zh-CN"/>
              </w:rPr>
              <w:t>128</w:t>
            </w:r>
            <w:r>
              <w:rPr>
                <w:strike w:val="0"/>
                <w:dstrike w:val="0"/>
                <w:color w:val="auto"/>
                <w:sz w:val="24"/>
                <w:highlight w:val="none"/>
              </w:rPr>
              <w:t>m</w:t>
            </w:r>
            <w:r>
              <w:rPr>
                <w:strike w:val="0"/>
                <w:dstrike w:val="0"/>
                <w:color w:val="auto"/>
                <w:sz w:val="24"/>
                <w:highlight w:val="none"/>
                <w:vertAlign w:val="superscript"/>
              </w:rPr>
              <w:t>2</w:t>
            </w:r>
            <w:r>
              <w:rPr>
                <w:strike w:val="0"/>
                <w:dstrike w:val="0"/>
                <w:color w:val="auto"/>
                <w:sz w:val="24"/>
                <w:highlight w:val="none"/>
              </w:rPr>
              <w:t>）；</w:t>
            </w:r>
          </w:p>
          <w:p w14:paraId="23385C0D">
            <w:pPr>
              <w:spacing w:line="360" w:lineRule="auto"/>
              <w:ind w:firstLine="480" w:firstLineChars="200"/>
              <w:rPr>
                <w:strike w:val="0"/>
                <w:dstrike w:val="0"/>
                <w:color w:val="auto"/>
                <w:sz w:val="24"/>
                <w:highlight w:val="none"/>
              </w:rPr>
            </w:pPr>
            <w:r>
              <w:rPr>
                <w:strike w:val="0"/>
                <w:dstrike w:val="0"/>
                <w:color w:val="auto"/>
                <w:sz w:val="24"/>
                <w:highlight w:val="none"/>
              </w:rPr>
              <w:t>项目投资：总投资4000万元，其中环保投资30万元，占总投资的0.75%；</w:t>
            </w:r>
          </w:p>
          <w:p w14:paraId="1ABBC728">
            <w:pPr>
              <w:adjustRightInd w:val="0"/>
              <w:snapToGrid w:val="0"/>
              <w:spacing w:line="360" w:lineRule="auto"/>
              <w:ind w:firstLine="480" w:firstLineChars="200"/>
              <w:rPr>
                <w:bCs/>
                <w:strike w:val="0"/>
                <w:dstrike w:val="0"/>
                <w:color w:val="auto"/>
                <w:sz w:val="24"/>
                <w:highlight w:val="none"/>
              </w:rPr>
            </w:pPr>
            <w:r>
              <w:rPr>
                <w:bCs/>
                <w:strike w:val="0"/>
                <w:dstrike w:val="0"/>
                <w:color w:val="auto"/>
                <w:sz w:val="24"/>
                <w:highlight w:val="none"/>
              </w:rPr>
              <w:t>建设工期：12个月；</w:t>
            </w:r>
          </w:p>
          <w:p w14:paraId="647174FC">
            <w:pPr>
              <w:adjustRightInd w:val="0"/>
              <w:snapToGrid w:val="0"/>
              <w:spacing w:line="360" w:lineRule="auto"/>
              <w:ind w:firstLine="480" w:firstLineChars="200"/>
              <w:rPr>
                <w:bCs/>
                <w:strike w:val="0"/>
                <w:dstrike w:val="0"/>
                <w:color w:val="auto"/>
                <w:sz w:val="24"/>
                <w:highlight w:val="none"/>
              </w:rPr>
            </w:pPr>
            <w:r>
              <w:rPr>
                <w:bCs/>
                <w:strike w:val="0"/>
                <w:dstrike w:val="0"/>
                <w:color w:val="auto"/>
                <w:sz w:val="24"/>
                <w:highlight w:val="none"/>
              </w:rPr>
              <w:t>工作制度：</w:t>
            </w:r>
            <w:r>
              <w:rPr>
                <w:strike w:val="0"/>
                <w:dstrike w:val="0"/>
                <w:color w:val="auto"/>
                <w:sz w:val="24"/>
                <w:highlight w:val="none"/>
              </w:rPr>
              <w:t>实行三班制，每班</w:t>
            </w:r>
            <w:r>
              <w:rPr>
                <w:rFonts w:eastAsia="TimesNewRomanPSMT"/>
                <w:strike w:val="0"/>
                <w:dstrike w:val="0"/>
                <w:color w:val="auto"/>
                <w:sz w:val="24"/>
                <w:highlight w:val="none"/>
              </w:rPr>
              <w:t>8</w:t>
            </w:r>
            <w:r>
              <w:rPr>
                <w:strike w:val="0"/>
                <w:dstrike w:val="0"/>
                <w:color w:val="auto"/>
                <w:sz w:val="24"/>
                <w:highlight w:val="none"/>
              </w:rPr>
              <w:t>小时，年工作</w:t>
            </w:r>
            <w:r>
              <w:rPr>
                <w:rFonts w:eastAsia="TimesNewRomanPSMT"/>
                <w:strike w:val="0"/>
                <w:dstrike w:val="0"/>
                <w:color w:val="auto"/>
                <w:sz w:val="24"/>
                <w:highlight w:val="none"/>
              </w:rPr>
              <w:t>365</w:t>
            </w:r>
            <w:r>
              <w:rPr>
                <w:strike w:val="0"/>
                <w:dstrike w:val="0"/>
                <w:color w:val="auto"/>
                <w:sz w:val="24"/>
                <w:highlight w:val="none"/>
              </w:rPr>
              <w:t>天，站内不提供食宿，仅设值班室</w:t>
            </w:r>
            <w:r>
              <w:rPr>
                <w:bCs/>
                <w:strike w:val="0"/>
                <w:dstrike w:val="0"/>
                <w:color w:val="auto"/>
                <w:sz w:val="24"/>
                <w:highlight w:val="none"/>
              </w:rPr>
              <w:t>；</w:t>
            </w:r>
          </w:p>
          <w:p w14:paraId="5D82AE4F">
            <w:pPr>
              <w:adjustRightInd w:val="0"/>
              <w:snapToGrid w:val="0"/>
              <w:spacing w:line="360" w:lineRule="auto"/>
              <w:ind w:firstLine="480" w:firstLineChars="200"/>
              <w:rPr>
                <w:rFonts w:hint="eastAsia" w:eastAsia="宋体"/>
                <w:bCs/>
                <w:strike w:val="0"/>
                <w:dstrike w:val="0"/>
                <w:color w:val="auto"/>
                <w:sz w:val="24"/>
                <w:highlight w:val="none"/>
                <w:lang w:eastAsia="zh-CN"/>
              </w:rPr>
            </w:pPr>
            <w:r>
              <w:rPr>
                <w:bCs/>
                <w:strike w:val="0"/>
                <w:dstrike w:val="0"/>
                <w:color w:val="auto"/>
                <w:sz w:val="24"/>
                <w:highlight w:val="none"/>
              </w:rPr>
              <w:t>劳动定员：</w:t>
            </w:r>
            <w:r>
              <w:rPr>
                <w:strike w:val="0"/>
                <w:dstrike w:val="0"/>
                <w:color w:val="auto"/>
                <w:sz w:val="24"/>
                <w:highlight w:val="none"/>
              </w:rPr>
              <w:t>定员12人，其中安全管理人员</w:t>
            </w:r>
            <w:r>
              <w:rPr>
                <w:rFonts w:eastAsia="TimesNewRomanPSMT"/>
                <w:strike w:val="0"/>
                <w:dstrike w:val="0"/>
                <w:color w:val="auto"/>
                <w:sz w:val="24"/>
                <w:highlight w:val="none"/>
              </w:rPr>
              <w:t>1</w:t>
            </w:r>
            <w:r>
              <w:rPr>
                <w:strike w:val="0"/>
                <w:dstrike w:val="0"/>
                <w:color w:val="auto"/>
                <w:sz w:val="24"/>
                <w:highlight w:val="none"/>
              </w:rPr>
              <w:t>名，员工11名，实行站长负责制，下设加油工、收银员、安全员等</w:t>
            </w:r>
            <w:r>
              <w:rPr>
                <w:rFonts w:hint="eastAsia"/>
                <w:strike w:val="0"/>
                <w:dstrike w:val="0"/>
                <w:color w:val="auto"/>
                <w:sz w:val="24"/>
                <w:highlight w:val="none"/>
                <w:lang w:eastAsia="zh-CN"/>
              </w:rPr>
              <w:t>。</w:t>
            </w:r>
          </w:p>
          <w:p w14:paraId="35B6BA6D">
            <w:pPr>
              <w:adjustRightInd w:val="0"/>
              <w:snapToGrid w:val="0"/>
              <w:spacing w:line="360" w:lineRule="auto"/>
              <w:rPr>
                <w:b/>
                <w:iCs/>
                <w:strike w:val="0"/>
                <w:dstrike w:val="0"/>
                <w:color w:val="auto"/>
                <w:sz w:val="24"/>
                <w:highlight w:val="none"/>
              </w:rPr>
            </w:pPr>
            <w:r>
              <w:rPr>
                <w:b/>
                <w:iCs/>
                <w:strike w:val="0"/>
                <w:dstrike w:val="0"/>
                <w:color w:val="auto"/>
                <w:sz w:val="24"/>
                <w:highlight w:val="none"/>
              </w:rPr>
              <w:t>2.1.3建设规模及等级</w:t>
            </w:r>
          </w:p>
          <w:p w14:paraId="10F30944">
            <w:pPr>
              <w:widowControl/>
              <w:spacing w:line="360" w:lineRule="auto"/>
              <w:ind w:firstLine="480" w:firstLineChars="200"/>
              <w:rPr>
                <w:bCs/>
                <w:strike w:val="0"/>
                <w:dstrike w:val="0"/>
                <w:color w:val="auto"/>
                <w:sz w:val="24"/>
                <w:highlight w:val="none"/>
              </w:rPr>
            </w:pPr>
            <w:r>
              <w:rPr>
                <w:bCs/>
                <w:strike w:val="0"/>
                <w:dstrike w:val="0"/>
                <w:color w:val="auto"/>
                <w:sz w:val="24"/>
                <w:highlight w:val="none"/>
              </w:rPr>
              <w:t>建设内容及规模：</w:t>
            </w:r>
            <w:r>
              <w:rPr>
                <w:strike w:val="0"/>
                <w:dstrike w:val="0"/>
                <w:color w:val="auto"/>
                <w:sz w:val="24"/>
                <w:highlight w:val="none"/>
              </w:rPr>
              <w:t>项目占地面积3703m</w:t>
            </w:r>
            <w:r>
              <w:rPr>
                <w:strike w:val="0"/>
                <w:dstrike w:val="0"/>
                <w:color w:val="auto"/>
                <w:sz w:val="24"/>
                <w:highlight w:val="none"/>
                <w:vertAlign w:val="superscript"/>
              </w:rPr>
              <w:t>2</w:t>
            </w:r>
            <w:r>
              <w:rPr>
                <w:strike w:val="0"/>
                <w:dstrike w:val="0"/>
                <w:color w:val="auto"/>
                <w:sz w:val="24"/>
                <w:highlight w:val="none"/>
              </w:rPr>
              <w:t>，</w:t>
            </w:r>
            <w:r>
              <w:rPr>
                <w:strike w:val="0"/>
                <w:dstrike w:val="0"/>
                <w:color w:val="auto"/>
                <w:kern w:val="0"/>
                <w:sz w:val="24"/>
                <w:highlight w:val="none"/>
                <w:lang w:bidi="ar"/>
              </w:rPr>
              <w:t>新建</w:t>
            </w:r>
            <w:bookmarkStart w:id="4" w:name="OLE_LINK2"/>
            <w:r>
              <w:rPr>
                <w:strike w:val="0"/>
                <w:dstrike w:val="0"/>
                <w:color w:val="auto"/>
                <w:kern w:val="0"/>
                <w:sz w:val="24"/>
                <w:highlight w:val="none"/>
                <w:lang w:bidi="ar"/>
              </w:rPr>
              <w:t>92#汽油罐1个，容积30m</w:t>
            </w:r>
            <w:r>
              <w:rPr>
                <w:strike w:val="0"/>
                <w:dstrike w:val="0"/>
                <w:color w:val="auto"/>
                <w:kern w:val="0"/>
                <w:sz w:val="24"/>
                <w:highlight w:val="none"/>
                <w:vertAlign w:val="superscript"/>
                <w:lang w:bidi="ar"/>
              </w:rPr>
              <w:t>3</w:t>
            </w:r>
            <w:r>
              <w:rPr>
                <w:strike w:val="0"/>
                <w:dstrike w:val="0"/>
                <w:color w:val="auto"/>
                <w:kern w:val="0"/>
                <w:sz w:val="24"/>
                <w:highlight w:val="none"/>
                <w:lang w:bidi="ar"/>
              </w:rPr>
              <w:t>；95#汽油罐1个，容积30m</w:t>
            </w:r>
            <w:r>
              <w:rPr>
                <w:strike w:val="0"/>
                <w:dstrike w:val="0"/>
                <w:color w:val="auto"/>
                <w:kern w:val="0"/>
                <w:sz w:val="24"/>
                <w:highlight w:val="none"/>
                <w:vertAlign w:val="superscript"/>
                <w:lang w:bidi="ar"/>
              </w:rPr>
              <w:t>3</w:t>
            </w:r>
            <w:r>
              <w:rPr>
                <w:strike w:val="0"/>
                <w:dstrike w:val="0"/>
                <w:color w:val="auto"/>
                <w:kern w:val="0"/>
                <w:sz w:val="24"/>
                <w:highlight w:val="none"/>
                <w:lang w:bidi="ar"/>
              </w:rPr>
              <w:t>；0#柴油罐2个，容积均为30m</w:t>
            </w:r>
            <w:r>
              <w:rPr>
                <w:strike w:val="0"/>
                <w:dstrike w:val="0"/>
                <w:color w:val="auto"/>
                <w:kern w:val="0"/>
                <w:sz w:val="24"/>
                <w:highlight w:val="none"/>
                <w:vertAlign w:val="superscript"/>
                <w:lang w:bidi="ar"/>
              </w:rPr>
              <w:t>3</w:t>
            </w:r>
            <w:r>
              <w:rPr>
                <w:strike w:val="0"/>
                <w:dstrike w:val="0"/>
                <w:color w:val="auto"/>
                <w:kern w:val="0"/>
                <w:sz w:val="24"/>
                <w:highlight w:val="none"/>
                <w:lang w:bidi="ar"/>
              </w:rPr>
              <w:t>，合计总容积为90m</w:t>
            </w:r>
            <w:r>
              <w:rPr>
                <w:strike w:val="0"/>
                <w:dstrike w:val="0"/>
                <w:color w:val="auto"/>
                <w:kern w:val="0"/>
                <w:sz w:val="24"/>
                <w:highlight w:val="none"/>
                <w:vertAlign w:val="superscript"/>
                <w:lang w:bidi="ar"/>
              </w:rPr>
              <w:t>3</w:t>
            </w:r>
            <w:r>
              <w:rPr>
                <w:strike w:val="0"/>
                <w:dstrike w:val="0"/>
                <w:color w:val="auto"/>
                <w:kern w:val="0"/>
                <w:sz w:val="24"/>
                <w:highlight w:val="none"/>
                <w:lang w:bidi="ar"/>
              </w:rPr>
              <w:t>（柴油罐容积折半）</w:t>
            </w:r>
            <w:bookmarkEnd w:id="4"/>
            <w:r>
              <w:rPr>
                <w:strike w:val="0"/>
                <w:dstrike w:val="0"/>
                <w:color w:val="auto"/>
                <w:kern w:val="0"/>
                <w:sz w:val="24"/>
                <w:highlight w:val="none"/>
                <w:lang w:bidi="ar"/>
              </w:rPr>
              <w:t>；</w:t>
            </w:r>
            <w:bookmarkStart w:id="5" w:name="OLE_LINK6"/>
            <w:r>
              <w:rPr>
                <w:strike w:val="0"/>
                <w:dstrike w:val="0"/>
                <w:color w:val="auto"/>
                <w:kern w:val="0"/>
                <w:sz w:val="24"/>
                <w:highlight w:val="none"/>
                <w:lang w:bidi="ar"/>
              </w:rPr>
              <w:t>LNG卧式储罐</w:t>
            </w:r>
            <w:bookmarkEnd w:id="5"/>
            <w:bookmarkStart w:id="6" w:name="OLE_LINK3"/>
            <w:r>
              <w:rPr>
                <w:strike w:val="0"/>
                <w:dstrike w:val="0"/>
                <w:color w:val="auto"/>
                <w:kern w:val="0"/>
                <w:sz w:val="24"/>
                <w:highlight w:val="none"/>
                <w:lang w:bidi="ar"/>
              </w:rPr>
              <w:t>1座，容积60m³</w:t>
            </w:r>
            <w:bookmarkEnd w:id="6"/>
            <w:r>
              <w:rPr>
                <w:strike w:val="0"/>
                <w:dstrike w:val="0"/>
                <w:color w:val="auto"/>
                <w:kern w:val="0"/>
                <w:sz w:val="24"/>
                <w:highlight w:val="none"/>
                <w:lang w:bidi="ar"/>
              </w:rPr>
              <w:t>；同时预留充电/换电位。根据《汽车加油加气加氢站技术标准》（GB50156-2021），该站为二级加油与LNG加气合建站，</w:t>
            </w:r>
            <w:r>
              <w:rPr>
                <w:strike w:val="0"/>
                <w:dstrike w:val="0"/>
                <w:color w:val="auto"/>
                <w:sz w:val="24"/>
                <w:highlight w:val="none"/>
              </w:rPr>
              <w:t>完成配套工艺管网、站房、</w:t>
            </w:r>
            <w:r>
              <w:rPr>
                <w:bCs/>
                <w:strike w:val="0"/>
                <w:dstrike w:val="0"/>
                <w:color w:val="auto"/>
                <w:sz w:val="24"/>
                <w:highlight w:val="none"/>
              </w:rPr>
              <w:t>罩棚及其他附属设施建设。</w:t>
            </w:r>
          </w:p>
          <w:p w14:paraId="424276DD">
            <w:pPr>
              <w:adjustRightInd w:val="0"/>
              <w:snapToGrid w:val="0"/>
              <w:spacing w:line="360" w:lineRule="auto"/>
              <w:ind w:firstLine="480" w:firstLineChars="200"/>
              <w:rPr>
                <w:bCs/>
                <w:strike w:val="0"/>
                <w:dstrike w:val="0"/>
                <w:color w:val="auto"/>
                <w:sz w:val="24"/>
                <w:highlight w:val="none"/>
              </w:rPr>
            </w:pPr>
            <w:r>
              <w:rPr>
                <w:bCs/>
                <w:strike w:val="0"/>
                <w:dstrike w:val="0"/>
                <w:color w:val="auto"/>
                <w:sz w:val="24"/>
                <w:highlight w:val="none"/>
              </w:rPr>
              <w:t>根据《汽车加油加气加氢站技术标准》（GB50156-2021），本项目为二级加油与LNG合建站，加油站等级划分见下表2.1-1。</w:t>
            </w:r>
          </w:p>
          <w:p w14:paraId="0CB2F2A2">
            <w:pPr>
              <w:adjustRightInd w:val="0"/>
              <w:snapToGrid w:val="0"/>
              <w:jc w:val="center"/>
              <w:rPr>
                <w:b/>
                <w:strike w:val="0"/>
                <w:dstrike w:val="0"/>
                <w:color w:val="auto"/>
                <w:sz w:val="24"/>
                <w:highlight w:val="none"/>
              </w:rPr>
            </w:pPr>
            <w:r>
              <w:rPr>
                <w:b/>
                <w:strike w:val="0"/>
                <w:dstrike w:val="0"/>
                <w:color w:val="auto"/>
                <w:sz w:val="24"/>
                <w:highlight w:val="none"/>
              </w:rPr>
              <w:t>表2.1-1  加油站等级划分</w:t>
            </w:r>
          </w:p>
          <w:tbl>
            <w:tblPr>
              <w:tblStyle w:val="23"/>
              <w:tblW w:w="7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3607"/>
              <w:gridCol w:w="2526"/>
            </w:tblGrid>
            <w:tr w14:paraId="7964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06" w:type="dxa"/>
                  <w:vAlign w:val="center"/>
                </w:tcPr>
                <w:p w14:paraId="379BE7C6">
                  <w:pPr>
                    <w:adjustRightInd w:val="0"/>
                    <w:snapToGrid w:val="0"/>
                    <w:jc w:val="center"/>
                    <w:rPr>
                      <w:b/>
                      <w:bCs/>
                      <w:strike w:val="0"/>
                      <w:dstrike w:val="0"/>
                      <w:color w:val="auto"/>
                      <w:szCs w:val="21"/>
                      <w:highlight w:val="none"/>
                    </w:rPr>
                  </w:pPr>
                  <w:r>
                    <w:rPr>
                      <w:b/>
                      <w:bCs/>
                      <w:strike w:val="0"/>
                      <w:dstrike w:val="0"/>
                      <w:color w:val="auto"/>
                      <w:szCs w:val="21"/>
                      <w:highlight w:val="none"/>
                    </w:rPr>
                    <w:t>合建站等级</w:t>
                  </w:r>
                </w:p>
              </w:tc>
              <w:tc>
                <w:tcPr>
                  <w:tcW w:w="3607" w:type="dxa"/>
                  <w:vAlign w:val="center"/>
                </w:tcPr>
                <w:p w14:paraId="5C59574E">
                  <w:pPr>
                    <w:adjustRightInd w:val="0"/>
                    <w:snapToGrid w:val="0"/>
                    <w:jc w:val="center"/>
                    <w:rPr>
                      <w:b/>
                      <w:bCs/>
                      <w:strike w:val="0"/>
                      <w:dstrike w:val="0"/>
                      <w:color w:val="auto"/>
                      <w:szCs w:val="21"/>
                      <w:highlight w:val="none"/>
                    </w:rPr>
                  </w:pPr>
                  <w:r>
                    <w:rPr>
                      <w:b/>
                      <w:bCs/>
                      <w:strike w:val="0"/>
                      <w:dstrike w:val="0"/>
                      <w:color w:val="auto"/>
                      <w:szCs w:val="21"/>
                      <w:highlight w:val="none"/>
                    </w:rPr>
                    <w:t>油罐与LNG储罐总容积计算公式</w:t>
                  </w:r>
                </w:p>
              </w:tc>
              <w:tc>
                <w:tcPr>
                  <w:tcW w:w="2526" w:type="dxa"/>
                  <w:vAlign w:val="center"/>
                </w:tcPr>
                <w:p w14:paraId="1C4979F5">
                  <w:pPr>
                    <w:adjustRightInd w:val="0"/>
                    <w:snapToGrid w:val="0"/>
                    <w:jc w:val="center"/>
                    <w:rPr>
                      <w:rFonts w:hint="default" w:eastAsia="宋体"/>
                      <w:b/>
                      <w:bCs/>
                      <w:strike w:val="0"/>
                      <w:dstrike w:val="0"/>
                      <w:color w:val="auto"/>
                      <w:szCs w:val="21"/>
                      <w:highlight w:val="none"/>
                      <w:lang w:val="en-US" w:eastAsia="zh-CN"/>
                    </w:rPr>
                  </w:pPr>
                  <w:r>
                    <w:rPr>
                      <w:rFonts w:hint="eastAsia"/>
                      <w:b/>
                      <w:bCs/>
                      <w:strike w:val="0"/>
                      <w:dstrike w:val="0"/>
                      <w:color w:val="auto"/>
                      <w:szCs w:val="21"/>
                      <w:highlight w:val="none"/>
                      <w:lang w:val="en-US" w:eastAsia="zh-CN"/>
                    </w:rPr>
                    <w:t>本项目情况</w:t>
                  </w:r>
                </w:p>
              </w:tc>
            </w:tr>
            <w:tr w14:paraId="4E2B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06" w:type="dxa"/>
                  <w:vAlign w:val="center"/>
                </w:tcPr>
                <w:p w14:paraId="2DD47053">
                  <w:pPr>
                    <w:adjustRightInd w:val="0"/>
                    <w:snapToGrid w:val="0"/>
                    <w:jc w:val="center"/>
                    <w:rPr>
                      <w:strike w:val="0"/>
                      <w:dstrike w:val="0"/>
                      <w:color w:val="auto"/>
                      <w:szCs w:val="21"/>
                      <w:highlight w:val="none"/>
                    </w:rPr>
                  </w:pPr>
                  <w:r>
                    <w:rPr>
                      <w:strike w:val="0"/>
                      <w:dstrike w:val="0"/>
                      <w:color w:val="auto"/>
                      <w:szCs w:val="21"/>
                      <w:highlight w:val="none"/>
                    </w:rPr>
                    <w:t>一级</w:t>
                  </w:r>
                </w:p>
              </w:tc>
              <w:tc>
                <w:tcPr>
                  <w:tcW w:w="3607" w:type="dxa"/>
                  <w:vAlign w:val="center"/>
                </w:tcPr>
                <w:p w14:paraId="4E759720">
                  <w:pPr>
                    <w:adjustRightInd w:val="0"/>
                    <w:snapToGrid w:val="0"/>
                    <w:jc w:val="center"/>
                    <w:rPr>
                      <w:strike w:val="0"/>
                      <w:dstrike w:val="0"/>
                      <w:color w:val="auto"/>
                      <w:szCs w:val="21"/>
                      <w:highlight w:val="none"/>
                    </w:rPr>
                  </w:pPr>
                  <w:r>
                    <w:rPr>
                      <w:strike w:val="0"/>
                      <w:dstrike w:val="0"/>
                      <w:color w:val="auto"/>
                      <w:szCs w:val="21"/>
                      <w:highlight w:val="none"/>
                    </w:rPr>
                    <w:t>V</w:t>
                  </w:r>
                  <w:r>
                    <w:rPr>
                      <w:strike w:val="0"/>
                      <w:dstrike w:val="0"/>
                      <w:color w:val="auto"/>
                      <w:szCs w:val="21"/>
                      <w:highlight w:val="none"/>
                      <w:vertAlign w:val="subscript"/>
                    </w:rPr>
                    <w:t>O1</w:t>
                  </w:r>
                  <w:r>
                    <w:rPr>
                      <w:strike w:val="0"/>
                      <w:dstrike w:val="0"/>
                      <w:color w:val="auto"/>
                      <w:szCs w:val="21"/>
                      <w:highlight w:val="none"/>
                    </w:rPr>
                    <w:t>/240+V</w:t>
                  </w:r>
                  <w:r>
                    <w:rPr>
                      <w:strike w:val="0"/>
                      <w:dstrike w:val="0"/>
                      <w:color w:val="auto"/>
                      <w:szCs w:val="21"/>
                      <w:highlight w:val="none"/>
                      <w:vertAlign w:val="subscript"/>
                    </w:rPr>
                    <w:t>LNG1</w:t>
                  </w:r>
                  <w:r>
                    <w:rPr>
                      <w:strike w:val="0"/>
                      <w:dstrike w:val="0"/>
                      <w:color w:val="auto"/>
                      <w:szCs w:val="21"/>
                      <w:highlight w:val="none"/>
                    </w:rPr>
                    <w:t>/180≤1</w:t>
                  </w:r>
                </w:p>
              </w:tc>
              <w:tc>
                <w:tcPr>
                  <w:tcW w:w="2526" w:type="dxa"/>
                  <w:vMerge w:val="restart"/>
                  <w:vAlign w:val="center"/>
                </w:tcPr>
                <w:p w14:paraId="79DB954F">
                  <w:pPr>
                    <w:adjustRightInd w:val="0"/>
                    <w:snapToGrid w:val="0"/>
                    <w:jc w:val="center"/>
                    <w:rPr>
                      <w:rFonts w:hint="eastAsia"/>
                      <w:strike w:val="0"/>
                      <w:dstrike w:val="0"/>
                      <w:color w:val="auto"/>
                      <w:szCs w:val="21"/>
                      <w:highlight w:val="none"/>
                      <w:vertAlign w:val="baseline"/>
                      <w:lang w:val="en-US" w:eastAsia="zh-CN"/>
                    </w:rPr>
                  </w:pPr>
                  <w:r>
                    <w:rPr>
                      <w:strike w:val="0"/>
                      <w:dstrike w:val="0"/>
                      <w:color w:val="auto"/>
                      <w:szCs w:val="21"/>
                      <w:highlight w:val="none"/>
                    </w:rPr>
                    <w:t>V</w:t>
                  </w:r>
                  <w:r>
                    <w:rPr>
                      <w:strike w:val="0"/>
                      <w:dstrike w:val="0"/>
                      <w:color w:val="auto"/>
                      <w:szCs w:val="21"/>
                      <w:highlight w:val="none"/>
                      <w:vertAlign w:val="subscript"/>
                    </w:rPr>
                    <w:t>O2</w:t>
                  </w:r>
                  <w:r>
                    <w:rPr>
                      <w:rFonts w:hint="eastAsia"/>
                      <w:strike w:val="0"/>
                      <w:dstrike w:val="0"/>
                      <w:color w:val="auto"/>
                      <w:szCs w:val="21"/>
                      <w:highlight w:val="none"/>
                      <w:vertAlign w:val="baseline"/>
                      <w:lang w:val="en-US" w:eastAsia="zh-CN"/>
                    </w:rPr>
                    <w:t>=90</w:t>
                  </w:r>
                  <w:r>
                    <w:rPr>
                      <w:strike w:val="0"/>
                      <w:dstrike w:val="0"/>
                      <w:color w:val="auto"/>
                      <w:szCs w:val="21"/>
                      <w:highlight w:val="none"/>
                    </w:rPr>
                    <w:t>m</w:t>
                  </w:r>
                  <w:r>
                    <w:rPr>
                      <w:strike w:val="0"/>
                      <w:dstrike w:val="0"/>
                      <w:color w:val="auto"/>
                      <w:szCs w:val="21"/>
                      <w:highlight w:val="none"/>
                      <w:vertAlign w:val="superscript"/>
                    </w:rPr>
                    <w:t>3</w:t>
                  </w:r>
                  <w:r>
                    <w:rPr>
                      <w:rFonts w:hint="eastAsia"/>
                      <w:strike w:val="0"/>
                      <w:dstrike w:val="0"/>
                      <w:color w:val="auto"/>
                      <w:szCs w:val="21"/>
                      <w:highlight w:val="none"/>
                      <w:vertAlign w:val="baseline"/>
                      <w:lang w:val="en-US" w:eastAsia="zh-CN"/>
                    </w:rPr>
                    <w:t>，</w:t>
                  </w:r>
                  <w:r>
                    <w:rPr>
                      <w:strike w:val="0"/>
                      <w:dstrike w:val="0"/>
                      <w:color w:val="auto"/>
                      <w:szCs w:val="21"/>
                      <w:highlight w:val="none"/>
                    </w:rPr>
                    <w:t>V</w:t>
                  </w:r>
                  <w:r>
                    <w:rPr>
                      <w:strike w:val="0"/>
                      <w:dstrike w:val="0"/>
                      <w:color w:val="auto"/>
                      <w:szCs w:val="21"/>
                      <w:highlight w:val="none"/>
                      <w:vertAlign w:val="subscript"/>
                    </w:rPr>
                    <w:t>LNG2</w:t>
                  </w:r>
                  <w:r>
                    <w:rPr>
                      <w:rFonts w:hint="eastAsia"/>
                      <w:strike w:val="0"/>
                      <w:dstrike w:val="0"/>
                      <w:color w:val="auto"/>
                      <w:szCs w:val="21"/>
                      <w:highlight w:val="none"/>
                      <w:vertAlign w:val="baseline"/>
                      <w:lang w:val="en-US" w:eastAsia="zh-CN"/>
                    </w:rPr>
                    <w:t>=60</w:t>
                  </w:r>
                  <w:r>
                    <w:rPr>
                      <w:strike w:val="0"/>
                      <w:dstrike w:val="0"/>
                      <w:color w:val="auto"/>
                      <w:szCs w:val="21"/>
                      <w:highlight w:val="none"/>
                    </w:rPr>
                    <w:t>m</w:t>
                  </w:r>
                  <w:r>
                    <w:rPr>
                      <w:strike w:val="0"/>
                      <w:dstrike w:val="0"/>
                      <w:color w:val="auto"/>
                      <w:szCs w:val="21"/>
                      <w:highlight w:val="none"/>
                      <w:vertAlign w:val="superscript"/>
                    </w:rPr>
                    <w:t>3</w:t>
                  </w:r>
                  <w:r>
                    <w:rPr>
                      <w:rFonts w:hint="eastAsia"/>
                      <w:strike w:val="0"/>
                      <w:dstrike w:val="0"/>
                      <w:color w:val="auto"/>
                      <w:szCs w:val="21"/>
                      <w:highlight w:val="none"/>
                      <w:vertAlign w:val="baseline"/>
                      <w:lang w:val="en-US" w:eastAsia="zh-CN"/>
                    </w:rPr>
                    <w:t>，</w:t>
                  </w:r>
                </w:p>
                <w:p w14:paraId="2E186983">
                  <w:pPr>
                    <w:adjustRightInd w:val="0"/>
                    <w:snapToGrid w:val="0"/>
                    <w:jc w:val="center"/>
                    <w:rPr>
                      <w:rFonts w:hint="eastAsia"/>
                      <w:strike w:val="0"/>
                      <w:dstrike w:val="0"/>
                      <w:color w:val="auto"/>
                      <w:szCs w:val="21"/>
                      <w:highlight w:val="none"/>
                      <w:vertAlign w:val="baseline"/>
                      <w:lang w:val="en-US" w:eastAsia="zh-CN"/>
                    </w:rPr>
                  </w:pPr>
                  <w:r>
                    <w:rPr>
                      <w:rFonts w:hint="eastAsia"/>
                      <w:strike w:val="0"/>
                      <w:dstrike w:val="0"/>
                      <w:color w:val="auto"/>
                      <w:szCs w:val="21"/>
                      <w:highlight w:val="none"/>
                      <w:vertAlign w:val="baseline"/>
                      <w:lang w:val="en-US" w:eastAsia="zh-CN"/>
                    </w:rPr>
                    <w:t>90/180+60/120=1，</w:t>
                  </w:r>
                </w:p>
                <w:p w14:paraId="769FA36C">
                  <w:pPr>
                    <w:adjustRightInd w:val="0"/>
                    <w:snapToGrid w:val="0"/>
                    <w:jc w:val="center"/>
                    <w:rPr>
                      <w:rFonts w:hint="default"/>
                      <w:strike w:val="0"/>
                      <w:dstrike w:val="0"/>
                      <w:color w:val="auto"/>
                      <w:szCs w:val="21"/>
                      <w:highlight w:val="none"/>
                      <w:vertAlign w:val="baseline"/>
                      <w:lang w:val="en-US" w:eastAsia="zh-CN"/>
                    </w:rPr>
                  </w:pPr>
                  <w:r>
                    <w:rPr>
                      <w:rFonts w:hint="eastAsia"/>
                      <w:strike w:val="0"/>
                      <w:dstrike w:val="0"/>
                      <w:color w:val="auto"/>
                      <w:szCs w:val="21"/>
                      <w:highlight w:val="none"/>
                      <w:vertAlign w:val="baseline"/>
                      <w:lang w:val="en-US" w:eastAsia="zh-CN"/>
                    </w:rPr>
                    <w:t>为二级站</w:t>
                  </w:r>
                </w:p>
              </w:tc>
            </w:tr>
            <w:tr w14:paraId="135E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06" w:type="dxa"/>
                  <w:vAlign w:val="center"/>
                </w:tcPr>
                <w:p w14:paraId="00146BD6">
                  <w:pPr>
                    <w:adjustRightInd w:val="0"/>
                    <w:snapToGrid w:val="0"/>
                    <w:jc w:val="center"/>
                    <w:rPr>
                      <w:strike w:val="0"/>
                      <w:dstrike w:val="0"/>
                      <w:color w:val="auto"/>
                      <w:szCs w:val="21"/>
                      <w:highlight w:val="none"/>
                    </w:rPr>
                  </w:pPr>
                  <w:r>
                    <w:rPr>
                      <w:strike w:val="0"/>
                      <w:dstrike w:val="0"/>
                      <w:color w:val="auto"/>
                      <w:szCs w:val="21"/>
                      <w:highlight w:val="none"/>
                    </w:rPr>
                    <w:t>二级</w:t>
                  </w:r>
                </w:p>
              </w:tc>
              <w:tc>
                <w:tcPr>
                  <w:tcW w:w="3607" w:type="dxa"/>
                  <w:vAlign w:val="center"/>
                </w:tcPr>
                <w:p w14:paraId="54117270">
                  <w:pPr>
                    <w:adjustRightInd w:val="0"/>
                    <w:snapToGrid w:val="0"/>
                    <w:jc w:val="center"/>
                    <w:rPr>
                      <w:strike w:val="0"/>
                      <w:dstrike w:val="0"/>
                      <w:color w:val="auto"/>
                      <w:szCs w:val="21"/>
                      <w:highlight w:val="none"/>
                    </w:rPr>
                  </w:pPr>
                  <w:r>
                    <w:rPr>
                      <w:strike w:val="0"/>
                      <w:dstrike w:val="0"/>
                      <w:color w:val="auto"/>
                      <w:szCs w:val="21"/>
                      <w:highlight w:val="none"/>
                    </w:rPr>
                    <w:t>V</w:t>
                  </w:r>
                  <w:r>
                    <w:rPr>
                      <w:strike w:val="0"/>
                      <w:dstrike w:val="0"/>
                      <w:color w:val="auto"/>
                      <w:szCs w:val="21"/>
                      <w:highlight w:val="none"/>
                      <w:vertAlign w:val="subscript"/>
                    </w:rPr>
                    <w:t>O2</w:t>
                  </w:r>
                  <w:r>
                    <w:rPr>
                      <w:strike w:val="0"/>
                      <w:dstrike w:val="0"/>
                      <w:color w:val="auto"/>
                      <w:szCs w:val="21"/>
                      <w:highlight w:val="none"/>
                    </w:rPr>
                    <w:t>/180+V</w:t>
                  </w:r>
                  <w:r>
                    <w:rPr>
                      <w:strike w:val="0"/>
                      <w:dstrike w:val="0"/>
                      <w:color w:val="auto"/>
                      <w:szCs w:val="21"/>
                      <w:highlight w:val="none"/>
                      <w:vertAlign w:val="subscript"/>
                    </w:rPr>
                    <w:t>LNG2</w:t>
                  </w:r>
                  <w:r>
                    <w:rPr>
                      <w:strike w:val="0"/>
                      <w:dstrike w:val="0"/>
                      <w:color w:val="auto"/>
                      <w:szCs w:val="21"/>
                      <w:highlight w:val="none"/>
                    </w:rPr>
                    <w:t>/120≤1</w:t>
                  </w:r>
                </w:p>
              </w:tc>
              <w:tc>
                <w:tcPr>
                  <w:tcW w:w="2526" w:type="dxa"/>
                  <w:vMerge w:val="continue"/>
                  <w:vAlign w:val="center"/>
                </w:tcPr>
                <w:p w14:paraId="7E0C8524">
                  <w:pPr>
                    <w:adjustRightInd w:val="0"/>
                    <w:snapToGrid w:val="0"/>
                    <w:jc w:val="center"/>
                    <w:rPr>
                      <w:strike w:val="0"/>
                      <w:dstrike w:val="0"/>
                      <w:color w:val="auto"/>
                      <w:szCs w:val="21"/>
                      <w:highlight w:val="none"/>
                    </w:rPr>
                  </w:pPr>
                </w:p>
              </w:tc>
            </w:tr>
            <w:tr w14:paraId="6C07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06" w:type="dxa"/>
                  <w:vAlign w:val="center"/>
                </w:tcPr>
                <w:p w14:paraId="45C5E70F">
                  <w:pPr>
                    <w:adjustRightInd w:val="0"/>
                    <w:snapToGrid w:val="0"/>
                    <w:jc w:val="center"/>
                    <w:rPr>
                      <w:strike w:val="0"/>
                      <w:dstrike w:val="0"/>
                      <w:color w:val="auto"/>
                      <w:szCs w:val="21"/>
                      <w:highlight w:val="none"/>
                    </w:rPr>
                  </w:pPr>
                  <w:r>
                    <w:rPr>
                      <w:strike w:val="0"/>
                      <w:dstrike w:val="0"/>
                      <w:color w:val="auto"/>
                      <w:szCs w:val="21"/>
                      <w:highlight w:val="none"/>
                    </w:rPr>
                    <w:t>三级</w:t>
                  </w:r>
                </w:p>
              </w:tc>
              <w:tc>
                <w:tcPr>
                  <w:tcW w:w="3607" w:type="dxa"/>
                  <w:vAlign w:val="center"/>
                </w:tcPr>
                <w:p w14:paraId="12E05CB6">
                  <w:pPr>
                    <w:adjustRightInd w:val="0"/>
                    <w:snapToGrid w:val="0"/>
                    <w:jc w:val="center"/>
                    <w:rPr>
                      <w:strike w:val="0"/>
                      <w:dstrike w:val="0"/>
                      <w:color w:val="auto"/>
                      <w:szCs w:val="21"/>
                      <w:highlight w:val="none"/>
                    </w:rPr>
                  </w:pPr>
                  <w:r>
                    <w:rPr>
                      <w:strike w:val="0"/>
                      <w:dstrike w:val="0"/>
                      <w:color w:val="auto"/>
                      <w:szCs w:val="21"/>
                      <w:highlight w:val="none"/>
                    </w:rPr>
                    <w:t>V</w:t>
                  </w:r>
                  <w:r>
                    <w:rPr>
                      <w:strike w:val="0"/>
                      <w:dstrike w:val="0"/>
                      <w:color w:val="auto"/>
                      <w:szCs w:val="21"/>
                      <w:highlight w:val="none"/>
                      <w:vertAlign w:val="subscript"/>
                    </w:rPr>
                    <w:t>O3</w:t>
                  </w:r>
                  <w:r>
                    <w:rPr>
                      <w:strike w:val="0"/>
                      <w:dstrike w:val="0"/>
                      <w:color w:val="auto"/>
                      <w:szCs w:val="21"/>
                      <w:highlight w:val="none"/>
                    </w:rPr>
                    <w:t>/120+V</w:t>
                  </w:r>
                  <w:r>
                    <w:rPr>
                      <w:strike w:val="0"/>
                      <w:dstrike w:val="0"/>
                      <w:color w:val="auto"/>
                      <w:szCs w:val="21"/>
                      <w:highlight w:val="none"/>
                      <w:vertAlign w:val="subscript"/>
                    </w:rPr>
                    <w:t>LNG3</w:t>
                  </w:r>
                  <w:r>
                    <w:rPr>
                      <w:strike w:val="0"/>
                      <w:dstrike w:val="0"/>
                      <w:color w:val="auto"/>
                      <w:szCs w:val="21"/>
                      <w:highlight w:val="none"/>
                    </w:rPr>
                    <w:t>/60≤1</w:t>
                  </w:r>
                </w:p>
              </w:tc>
              <w:tc>
                <w:tcPr>
                  <w:tcW w:w="2526" w:type="dxa"/>
                  <w:vMerge w:val="continue"/>
                  <w:vAlign w:val="center"/>
                </w:tcPr>
                <w:p w14:paraId="25DA2DD1">
                  <w:pPr>
                    <w:adjustRightInd w:val="0"/>
                    <w:snapToGrid w:val="0"/>
                    <w:jc w:val="center"/>
                    <w:rPr>
                      <w:strike w:val="0"/>
                      <w:dstrike w:val="0"/>
                      <w:color w:val="auto"/>
                      <w:szCs w:val="21"/>
                      <w:highlight w:val="none"/>
                    </w:rPr>
                  </w:pPr>
                </w:p>
              </w:tc>
            </w:tr>
            <w:tr w14:paraId="2941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639" w:type="dxa"/>
                  <w:gridSpan w:val="3"/>
                </w:tcPr>
                <w:p w14:paraId="6DF3F85A">
                  <w:pPr>
                    <w:adjustRightInd w:val="0"/>
                    <w:snapToGrid w:val="0"/>
                    <w:rPr>
                      <w:strike w:val="0"/>
                      <w:dstrike w:val="0"/>
                      <w:color w:val="auto"/>
                      <w:szCs w:val="21"/>
                      <w:highlight w:val="none"/>
                    </w:rPr>
                  </w:pPr>
                  <w:r>
                    <w:rPr>
                      <w:strike w:val="0"/>
                      <w:dstrike w:val="0"/>
                      <w:color w:val="auto"/>
                      <w:szCs w:val="21"/>
                      <w:highlight w:val="none"/>
                    </w:rPr>
                    <w:t>注：1、V</w:t>
                  </w:r>
                  <w:r>
                    <w:rPr>
                      <w:strike w:val="0"/>
                      <w:dstrike w:val="0"/>
                      <w:color w:val="auto"/>
                      <w:szCs w:val="21"/>
                      <w:highlight w:val="none"/>
                      <w:vertAlign w:val="subscript"/>
                    </w:rPr>
                    <w:t>O1</w:t>
                  </w:r>
                  <w:r>
                    <w:rPr>
                      <w:strike w:val="0"/>
                      <w:dstrike w:val="0"/>
                      <w:color w:val="auto"/>
                      <w:szCs w:val="21"/>
                      <w:highlight w:val="none"/>
                    </w:rPr>
                    <w:t>、V</w:t>
                  </w:r>
                  <w:r>
                    <w:rPr>
                      <w:strike w:val="0"/>
                      <w:dstrike w:val="0"/>
                      <w:color w:val="auto"/>
                      <w:szCs w:val="21"/>
                      <w:highlight w:val="none"/>
                      <w:vertAlign w:val="subscript"/>
                    </w:rPr>
                    <w:t>O2</w:t>
                  </w:r>
                  <w:r>
                    <w:rPr>
                      <w:strike w:val="0"/>
                      <w:dstrike w:val="0"/>
                      <w:color w:val="auto"/>
                      <w:szCs w:val="21"/>
                      <w:highlight w:val="none"/>
                    </w:rPr>
                    <w:t>、V</w:t>
                  </w:r>
                  <w:r>
                    <w:rPr>
                      <w:strike w:val="0"/>
                      <w:dstrike w:val="0"/>
                      <w:color w:val="auto"/>
                      <w:szCs w:val="21"/>
                      <w:highlight w:val="none"/>
                      <w:vertAlign w:val="subscript"/>
                    </w:rPr>
                    <w:t>O3</w:t>
                  </w:r>
                  <w:r>
                    <w:rPr>
                      <w:strike w:val="0"/>
                      <w:dstrike w:val="0"/>
                      <w:color w:val="auto"/>
                      <w:szCs w:val="21"/>
                      <w:highlight w:val="none"/>
                    </w:rPr>
                    <w:t>分别为一、二、三级合建站中油品储罐总容积（m</w:t>
                  </w:r>
                  <w:r>
                    <w:rPr>
                      <w:strike w:val="0"/>
                      <w:dstrike w:val="0"/>
                      <w:color w:val="auto"/>
                      <w:szCs w:val="21"/>
                      <w:highlight w:val="none"/>
                      <w:vertAlign w:val="superscript"/>
                    </w:rPr>
                    <w:t>3</w:t>
                  </w:r>
                  <w:r>
                    <w:rPr>
                      <w:strike w:val="0"/>
                      <w:dstrike w:val="0"/>
                      <w:color w:val="auto"/>
                      <w:szCs w:val="21"/>
                      <w:highlight w:val="none"/>
                    </w:rPr>
                    <w:t>）；V</w:t>
                  </w:r>
                  <w:r>
                    <w:rPr>
                      <w:strike w:val="0"/>
                      <w:dstrike w:val="0"/>
                      <w:color w:val="auto"/>
                      <w:szCs w:val="21"/>
                      <w:highlight w:val="none"/>
                      <w:vertAlign w:val="subscript"/>
                    </w:rPr>
                    <w:t>LNG1</w:t>
                  </w:r>
                  <w:r>
                    <w:rPr>
                      <w:strike w:val="0"/>
                      <w:dstrike w:val="0"/>
                      <w:color w:val="auto"/>
                      <w:szCs w:val="21"/>
                      <w:highlight w:val="none"/>
                    </w:rPr>
                    <w:t>、V</w:t>
                  </w:r>
                  <w:r>
                    <w:rPr>
                      <w:strike w:val="0"/>
                      <w:dstrike w:val="0"/>
                      <w:color w:val="auto"/>
                      <w:szCs w:val="21"/>
                      <w:highlight w:val="none"/>
                      <w:vertAlign w:val="subscript"/>
                    </w:rPr>
                    <w:t>LNG2</w:t>
                  </w:r>
                  <w:r>
                    <w:rPr>
                      <w:strike w:val="0"/>
                      <w:dstrike w:val="0"/>
                      <w:color w:val="auto"/>
                      <w:szCs w:val="21"/>
                      <w:highlight w:val="none"/>
                    </w:rPr>
                    <w:t>、V</w:t>
                  </w:r>
                  <w:r>
                    <w:rPr>
                      <w:strike w:val="0"/>
                      <w:dstrike w:val="0"/>
                      <w:color w:val="auto"/>
                      <w:szCs w:val="21"/>
                      <w:highlight w:val="none"/>
                      <w:vertAlign w:val="subscript"/>
                    </w:rPr>
                    <w:t>LNG3</w:t>
                  </w:r>
                  <w:r>
                    <w:rPr>
                      <w:strike w:val="0"/>
                      <w:dstrike w:val="0"/>
                      <w:color w:val="auto"/>
                      <w:szCs w:val="21"/>
                      <w:highlight w:val="none"/>
                    </w:rPr>
                    <w:t>分别为一、二、三级合建站中LNG储罐的总容积（m</w:t>
                  </w:r>
                  <w:r>
                    <w:rPr>
                      <w:strike w:val="0"/>
                      <w:dstrike w:val="0"/>
                      <w:color w:val="auto"/>
                      <w:szCs w:val="21"/>
                      <w:highlight w:val="none"/>
                      <w:vertAlign w:val="superscript"/>
                    </w:rPr>
                    <w:t>3</w:t>
                  </w:r>
                  <w:r>
                    <w:rPr>
                      <w:strike w:val="0"/>
                      <w:dstrike w:val="0"/>
                      <w:color w:val="auto"/>
                      <w:szCs w:val="21"/>
                      <w:highlight w:val="none"/>
                    </w:rPr>
                    <w:t>）。“/</w:t>
                  </w:r>
                  <w:r>
                    <w:rPr>
                      <w:rFonts w:hint="eastAsia"/>
                      <w:strike w:val="0"/>
                      <w:dstrike w:val="0"/>
                      <w:color w:val="auto"/>
                      <w:szCs w:val="21"/>
                      <w:highlight w:val="none"/>
                    </w:rPr>
                    <w:t>”</w:t>
                  </w:r>
                  <w:r>
                    <w:rPr>
                      <w:strike w:val="0"/>
                      <w:dstrike w:val="0"/>
                      <w:color w:val="auto"/>
                      <w:szCs w:val="21"/>
                      <w:highlight w:val="none"/>
                    </w:rPr>
                    <w:t>为除号。</w:t>
                  </w:r>
                </w:p>
                <w:p w14:paraId="5026212B">
                  <w:pPr>
                    <w:numPr>
                      <w:ilvl w:val="0"/>
                      <w:numId w:val="6"/>
                    </w:numPr>
                    <w:adjustRightInd w:val="0"/>
                    <w:snapToGrid w:val="0"/>
                    <w:rPr>
                      <w:strike w:val="0"/>
                      <w:dstrike w:val="0"/>
                      <w:color w:val="auto"/>
                      <w:szCs w:val="21"/>
                      <w:highlight w:val="none"/>
                    </w:rPr>
                  </w:pPr>
                  <w:r>
                    <w:rPr>
                      <w:strike w:val="0"/>
                      <w:dstrike w:val="0"/>
                      <w:color w:val="auto"/>
                      <w:szCs w:val="21"/>
                      <w:highlight w:val="none"/>
                    </w:rPr>
                    <w:t>柴油罐容积可折半计入油罐总容积。</w:t>
                  </w:r>
                </w:p>
                <w:p w14:paraId="59ED667B">
                  <w:pPr>
                    <w:numPr>
                      <w:ilvl w:val="0"/>
                      <w:numId w:val="6"/>
                    </w:numPr>
                    <w:adjustRightInd w:val="0"/>
                    <w:snapToGrid w:val="0"/>
                    <w:rPr>
                      <w:strike w:val="0"/>
                      <w:dstrike w:val="0"/>
                      <w:color w:val="auto"/>
                      <w:szCs w:val="21"/>
                      <w:highlight w:val="none"/>
                    </w:rPr>
                  </w:pPr>
                  <w:r>
                    <w:rPr>
                      <w:strike w:val="0"/>
                      <w:dstrike w:val="0"/>
                      <w:color w:val="auto"/>
                      <w:szCs w:val="21"/>
                      <w:highlight w:val="none"/>
                    </w:rPr>
                    <w:t>当油罐总容积大于90m</w:t>
                  </w:r>
                  <w:r>
                    <w:rPr>
                      <w:strike w:val="0"/>
                      <w:dstrike w:val="0"/>
                      <w:color w:val="auto"/>
                      <w:szCs w:val="21"/>
                      <w:highlight w:val="none"/>
                      <w:vertAlign w:val="superscript"/>
                    </w:rPr>
                    <w:t>3</w:t>
                  </w:r>
                  <w:r>
                    <w:rPr>
                      <w:strike w:val="0"/>
                      <w:dstrike w:val="0"/>
                      <w:color w:val="auto"/>
                      <w:szCs w:val="21"/>
                      <w:highlight w:val="none"/>
                    </w:rPr>
                    <w:t>时，油罐单罐容积不应大于50m</w:t>
                  </w:r>
                  <w:r>
                    <w:rPr>
                      <w:strike w:val="0"/>
                      <w:dstrike w:val="0"/>
                      <w:color w:val="auto"/>
                      <w:szCs w:val="21"/>
                      <w:highlight w:val="none"/>
                      <w:vertAlign w:val="superscript"/>
                    </w:rPr>
                    <w:t>3</w:t>
                  </w:r>
                  <w:r>
                    <w:rPr>
                      <w:strike w:val="0"/>
                      <w:dstrike w:val="0"/>
                      <w:color w:val="auto"/>
                      <w:szCs w:val="21"/>
                      <w:highlight w:val="none"/>
                    </w:rPr>
                    <w:t>；当油罐总容积小于或等于90时，汽油罐单罐容积不应大于30m</w:t>
                  </w:r>
                  <w:r>
                    <w:rPr>
                      <w:strike w:val="0"/>
                      <w:dstrike w:val="0"/>
                      <w:color w:val="auto"/>
                      <w:szCs w:val="21"/>
                      <w:highlight w:val="none"/>
                      <w:vertAlign w:val="superscript"/>
                    </w:rPr>
                    <w:t>3</w:t>
                  </w:r>
                  <w:r>
                    <w:rPr>
                      <w:strike w:val="0"/>
                      <w:dstrike w:val="0"/>
                      <w:color w:val="auto"/>
                      <w:szCs w:val="21"/>
                      <w:highlight w:val="none"/>
                    </w:rPr>
                    <w:t>，柴油罐单罐容积不应大于50m</w:t>
                  </w:r>
                  <w:r>
                    <w:rPr>
                      <w:strike w:val="0"/>
                      <w:dstrike w:val="0"/>
                      <w:color w:val="auto"/>
                      <w:szCs w:val="21"/>
                      <w:highlight w:val="none"/>
                      <w:vertAlign w:val="superscript"/>
                    </w:rPr>
                    <w:t>3</w:t>
                  </w:r>
                  <w:r>
                    <w:rPr>
                      <w:strike w:val="0"/>
                      <w:dstrike w:val="0"/>
                      <w:color w:val="auto"/>
                      <w:szCs w:val="21"/>
                      <w:highlight w:val="none"/>
                    </w:rPr>
                    <w:t>。</w:t>
                  </w:r>
                </w:p>
                <w:p w14:paraId="2DC5552A">
                  <w:pPr>
                    <w:numPr>
                      <w:ilvl w:val="0"/>
                      <w:numId w:val="6"/>
                    </w:numPr>
                    <w:adjustRightInd w:val="0"/>
                    <w:snapToGrid w:val="0"/>
                    <w:rPr>
                      <w:strike w:val="0"/>
                      <w:dstrike w:val="0"/>
                      <w:color w:val="auto"/>
                      <w:highlight w:val="none"/>
                    </w:rPr>
                  </w:pPr>
                  <w:r>
                    <w:rPr>
                      <w:strike w:val="0"/>
                      <w:dstrike w:val="0"/>
                      <w:color w:val="auto"/>
                      <w:szCs w:val="21"/>
                      <w:highlight w:val="none"/>
                    </w:rPr>
                    <w:t>LNG储罐的单罐容积不应大于60m</w:t>
                  </w:r>
                  <w:r>
                    <w:rPr>
                      <w:strike w:val="0"/>
                      <w:dstrike w:val="0"/>
                      <w:color w:val="auto"/>
                      <w:szCs w:val="21"/>
                      <w:highlight w:val="none"/>
                      <w:vertAlign w:val="superscript"/>
                    </w:rPr>
                    <w:t>3</w:t>
                  </w:r>
                  <w:r>
                    <w:rPr>
                      <w:strike w:val="0"/>
                      <w:dstrike w:val="0"/>
                      <w:color w:val="auto"/>
                      <w:szCs w:val="21"/>
                      <w:highlight w:val="none"/>
                    </w:rPr>
                    <w:t>。</w:t>
                  </w:r>
                </w:p>
              </w:tc>
            </w:tr>
          </w:tbl>
          <w:p w14:paraId="3CB89C8D">
            <w:pPr>
              <w:adjustRightInd w:val="0"/>
              <w:snapToGrid w:val="0"/>
              <w:spacing w:line="360" w:lineRule="auto"/>
              <w:jc w:val="left"/>
              <w:rPr>
                <w:b/>
                <w:strike w:val="0"/>
                <w:dstrike w:val="0"/>
                <w:color w:val="auto"/>
                <w:sz w:val="24"/>
                <w:highlight w:val="none"/>
              </w:rPr>
            </w:pPr>
            <w:r>
              <w:rPr>
                <w:b/>
                <w:iCs/>
                <w:strike w:val="0"/>
                <w:dstrike w:val="0"/>
                <w:color w:val="auto"/>
                <w:sz w:val="24"/>
                <w:highlight w:val="none"/>
              </w:rPr>
              <w:t xml:space="preserve">2.1.4 </w:t>
            </w:r>
            <w:r>
              <w:rPr>
                <w:b/>
                <w:strike w:val="0"/>
                <w:dstrike w:val="0"/>
                <w:color w:val="auto"/>
                <w:sz w:val="24"/>
                <w:highlight w:val="none"/>
              </w:rPr>
              <w:t>项目组成</w:t>
            </w:r>
          </w:p>
          <w:p w14:paraId="119B9A85">
            <w:pPr>
              <w:spacing w:line="360" w:lineRule="auto"/>
              <w:ind w:firstLine="480" w:firstLineChars="200"/>
              <w:jc w:val="left"/>
              <w:rPr>
                <w:strike w:val="0"/>
                <w:dstrike w:val="0"/>
                <w:color w:val="auto"/>
                <w:sz w:val="24"/>
                <w:highlight w:val="none"/>
              </w:rPr>
            </w:pPr>
            <w:r>
              <w:rPr>
                <w:strike w:val="0"/>
                <w:dstrike w:val="0"/>
                <w:color w:val="auto"/>
                <w:sz w:val="24"/>
                <w:highlight w:val="none"/>
              </w:rPr>
              <w:t>站内配套站房、加油加气罩棚、储油罐区、卸油区、储气井、辅助用房等，另外配套建设公用设施、环保设施及储运工程等。加油站建成后年销售</w:t>
            </w:r>
            <w:r>
              <w:rPr>
                <w:rFonts w:eastAsia="TimesNewRomanPSMT"/>
                <w:strike w:val="0"/>
                <w:dstrike w:val="0"/>
                <w:color w:val="auto"/>
                <w:sz w:val="24"/>
                <w:highlight w:val="none"/>
              </w:rPr>
              <w:t>92#</w:t>
            </w:r>
            <w:r>
              <w:rPr>
                <w:strike w:val="0"/>
                <w:dstrike w:val="0"/>
                <w:color w:val="auto"/>
                <w:sz w:val="24"/>
                <w:highlight w:val="none"/>
              </w:rPr>
              <w:t>汽油、</w:t>
            </w:r>
            <w:r>
              <w:rPr>
                <w:rFonts w:eastAsia="TimesNewRomanPSMT"/>
                <w:strike w:val="0"/>
                <w:dstrike w:val="0"/>
                <w:color w:val="auto"/>
                <w:sz w:val="24"/>
                <w:highlight w:val="none"/>
              </w:rPr>
              <w:t>95#</w:t>
            </w:r>
            <w:r>
              <w:rPr>
                <w:strike w:val="0"/>
                <w:dstrike w:val="0"/>
                <w:color w:val="auto"/>
                <w:sz w:val="24"/>
                <w:highlight w:val="none"/>
              </w:rPr>
              <w:t>汽油共2000</w:t>
            </w:r>
            <w:r>
              <w:rPr>
                <w:rFonts w:eastAsia="TimesNewRomanPSMT"/>
                <w:strike w:val="0"/>
                <w:dstrike w:val="0"/>
                <w:color w:val="auto"/>
                <w:sz w:val="24"/>
                <w:highlight w:val="none"/>
              </w:rPr>
              <w:t>t</w:t>
            </w:r>
            <w:r>
              <w:rPr>
                <w:strike w:val="0"/>
                <w:dstrike w:val="0"/>
                <w:color w:val="auto"/>
                <w:sz w:val="24"/>
                <w:highlight w:val="none"/>
              </w:rPr>
              <w:t>，</w:t>
            </w:r>
            <w:r>
              <w:rPr>
                <w:rFonts w:eastAsia="TimesNewRomanPSMT"/>
                <w:strike w:val="0"/>
                <w:dstrike w:val="0"/>
                <w:color w:val="auto"/>
                <w:sz w:val="24"/>
                <w:highlight w:val="none"/>
              </w:rPr>
              <w:t>0#</w:t>
            </w:r>
            <w:r>
              <w:rPr>
                <w:strike w:val="0"/>
                <w:dstrike w:val="0"/>
                <w:color w:val="auto"/>
                <w:sz w:val="24"/>
                <w:highlight w:val="none"/>
              </w:rPr>
              <w:t>柴油2000</w:t>
            </w:r>
            <w:r>
              <w:rPr>
                <w:rFonts w:eastAsia="TimesNewRomanPSMT"/>
                <w:strike w:val="0"/>
                <w:dstrike w:val="0"/>
                <w:color w:val="auto"/>
                <w:sz w:val="24"/>
                <w:highlight w:val="none"/>
              </w:rPr>
              <w:t>t</w:t>
            </w:r>
            <w:r>
              <w:rPr>
                <w:strike w:val="0"/>
                <w:dstrike w:val="0"/>
                <w:color w:val="auto"/>
                <w:sz w:val="24"/>
                <w:highlight w:val="none"/>
              </w:rPr>
              <w:t>，年销售L</w:t>
            </w:r>
            <w:r>
              <w:rPr>
                <w:rFonts w:eastAsia="TimesNewRomanPSMT"/>
                <w:strike w:val="0"/>
                <w:dstrike w:val="0"/>
                <w:color w:val="auto"/>
                <w:sz w:val="24"/>
                <w:highlight w:val="none"/>
              </w:rPr>
              <w:t>NG</w:t>
            </w:r>
            <w:r>
              <w:rPr>
                <w:rFonts w:hint="eastAsia" w:eastAsia="TimesNewRomanPSMT"/>
                <w:strike w:val="0"/>
                <w:dstrike w:val="0"/>
                <w:color w:val="auto"/>
                <w:sz w:val="24"/>
                <w:highlight w:val="none"/>
                <w:lang w:eastAsia="zh-CN"/>
              </w:rPr>
              <w:t xml:space="preserve"> </w:t>
            </w:r>
            <w:r>
              <w:rPr>
                <w:strike w:val="0"/>
                <w:dstrike w:val="0"/>
                <w:color w:val="auto"/>
                <w:sz w:val="24"/>
                <w:highlight w:val="none"/>
              </w:rPr>
              <w:t>为6003t。</w:t>
            </w:r>
          </w:p>
          <w:p w14:paraId="67C76634">
            <w:pPr>
              <w:spacing w:line="360" w:lineRule="auto"/>
              <w:ind w:firstLine="480" w:firstLineChars="200"/>
              <w:jc w:val="left"/>
              <w:rPr>
                <w:strike w:val="0"/>
                <w:dstrike w:val="0"/>
                <w:color w:val="auto"/>
                <w:sz w:val="24"/>
                <w:highlight w:val="none"/>
              </w:rPr>
            </w:pPr>
            <w:r>
              <w:rPr>
                <w:strike w:val="0"/>
                <w:dstrike w:val="0"/>
                <w:color w:val="auto"/>
                <w:sz w:val="24"/>
                <w:highlight w:val="none"/>
              </w:rPr>
              <w:t>本项目建设内容和组成情况详见表2.1-2。</w:t>
            </w:r>
          </w:p>
          <w:p w14:paraId="238AAC19">
            <w:pPr>
              <w:adjustRightInd w:val="0"/>
              <w:snapToGrid w:val="0"/>
              <w:jc w:val="center"/>
              <w:rPr>
                <w:strike w:val="0"/>
                <w:dstrike w:val="0"/>
                <w:color w:val="auto"/>
                <w:sz w:val="2"/>
                <w:highlight w:val="none"/>
              </w:rPr>
            </w:pPr>
            <w:r>
              <w:rPr>
                <w:b/>
                <w:strike w:val="0"/>
                <w:dstrike w:val="0"/>
                <w:color w:val="auto"/>
                <w:sz w:val="24"/>
                <w:highlight w:val="none"/>
              </w:rPr>
              <w:t>表2.1-2  本项目组成一览表</w:t>
            </w:r>
          </w:p>
          <w:tbl>
            <w:tblPr>
              <w:tblStyle w:val="22"/>
              <w:tblW w:w="7777" w:type="dxa"/>
              <w:jc w:val="center"/>
              <w:tblLayout w:type="fixed"/>
              <w:tblCellMar>
                <w:top w:w="0" w:type="dxa"/>
                <w:left w:w="108" w:type="dxa"/>
                <w:bottom w:w="0" w:type="dxa"/>
                <w:right w:w="108" w:type="dxa"/>
              </w:tblCellMar>
            </w:tblPr>
            <w:tblGrid>
              <w:gridCol w:w="765"/>
              <w:gridCol w:w="956"/>
              <w:gridCol w:w="5400"/>
              <w:gridCol w:w="656"/>
            </w:tblGrid>
            <w:tr w14:paraId="60E245A4">
              <w:tblPrEx>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5925D7E3">
                  <w:pPr>
                    <w:pStyle w:val="43"/>
                    <w:kinsoku w:val="0"/>
                    <w:overflowPunct w:val="0"/>
                    <w:jc w:val="center"/>
                    <w:rPr>
                      <w:b/>
                      <w:strike w:val="0"/>
                      <w:dstrike w:val="0"/>
                      <w:color w:val="auto"/>
                      <w:sz w:val="21"/>
                      <w:szCs w:val="21"/>
                      <w:highlight w:val="none"/>
                    </w:rPr>
                  </w:pPr>
                  <w:r>
                    <w:rPr>
                      <w:b/>
                      <w:strike w:val="0"/>
                      <w:dstrike w:val="0"/>
                      <w:color w:val="auto"/>
                      <w:sz w:val="21"/>
                      <w:szCs w:val="21"/>
                      <w:highlight w:val="none"/>
                    </w:rPr>
                    <w:t>工程分类</w:t>
                  </w:r>
                </w:p>
              </w:tc>
              <w:tc>
                <w:tcPr>
                  <w:tcW w:w="956" w:type="dxa"/>
                  <w:tcBorders>
                    <w:top w:val="single" w:color="000000" w:sz="4" w:space="0"/>
                    <w:left w:val="single" w:color="000000" w:sz="4" w:space="0"/>
                    <w:bottom w:val="single" w:color="000000" w:sz="4" w:space="0"/>
                    <w:right w:val="single" w:color="000000" w:sz="4" w:space="0"/>
                  </w:tcBorders>
                  <w:vAlign w:val="center"/>
                </w:tcPr>
                <w:p w14:paraId="775AD7ED">
                  <w:pPr>
                    <w:pStyle w:val="43"/>
                    <w:kinsoku w:val="0"/>
                    <w:overflowPunct w:val="0"/>
                    <w:jc w:val="center"/>
                    <w:rPr>
                      <w:b/>
                      <w:strike w:val="0"/>
                      <w:dstrike w:val="0"/>
                      <w:color w:val="auto"/>
                      <w:sz w:val="21"/>
                      <w:szCs w:val="21"/>
                      <w:highlight w:val="none"/>
                    </w:rPr>
                  </w:pPr>
                  <w:r>
                    <w:rPr>
                      <w:b/>
                      <w:strike w:val="0"/>
                      <w:dstrike w:val="0"/>
                      <w:color w:val="auto"/>
                      <w:sz w:val="21"/>
                      <w:szCs w:val="21"/>
                      <w:highlight w:val="none"/>
                    </w:rPr>
                    <w:t>项目组成</w:t>
                  </w:r>
                </w:p>
              </w:tc>
              <w:tc>
                <w:tcPr>
                  <w:tcW w:w="5400" w:type="dxa"/>
                  <w:tcBorders>
                    <w:top w:val="single" w:color="000000" w:sz="4" w:space="0"/>
                    <w:left w:val="single" w:color="000000" w:sz="4" w:space="0"/>
                    <w:bottom w:val="single" w:color="000000" w:sz="4" w:space="0"/>
                    <w:right w:val="single" w:color="000000" w:sz="4" w:space="0"/>
                  </w:tcBorders>
                  <w:vAlign w:val="center"/>
                </w:tcPr>
                <w:p w14:paraId="5B2881AA">
                  <w:pPr>
                    <w:pStyle w:val="43"/>
                    <w:kinsoku w:val="0"/>
                    <w:overflowPunct w:val="0"/>
                    <w:jc w:val="center"/>
                    <w:rPr>
                      <w:b/>
                      <w:strike w:val="0"/>
                      <w:dstrike w:val="0"/>
                      <w:color w:val="auto"/>
                      <w:sz w:val="21"/>
                      <w:szCs w:val="21"/>
                      <w:highlight w:val="none"/>
                    </w:rPr>
                  </w:pPr>
                  <w:r>
                    <w:rPr>
                      <w:b/>
                      <w:strike w:val="0"/>
                      <w:dstrike w:val="0"/>
                      <w:color w:val="auto"/>
                      <w:sz w:val="21"/>
                      <w:szCs w:val="21"/>
                      <w:highlight w:val="none"/>
                    </w:rPr>
                    <w:t>项目情况</w:t>
                  </w:r>
                </w:p>
              </w:tc>
              <w:tc>
                <w:tcPr>
                  <w:tcW w:w="656" w:type="dxa"/>
                  <w:tcBorders>
                    <w:top w:val="single" w:color="000000" w:sz="4" w:space="0"/>
                    <w:left w:val="single" w:color="000000" w:sz="4" w:space="0"/>
                    <w:bottom w:val="single" w:color="000000" w:sz="4" w:space="0"/>
                    <w:right w:val="single" w:color="000000" w:sz="4" w:space="0"/>
                  </w:tcBorders>
                  <w:vAlign w:val="center"/>
                </w:tcPr>
                <w:p w14:paraId="7A7D9C04">
                  <w:pPr>
                    <w:pStyle w:val="43"/>
                    <w:kinsoku w:val="0"/>
                    <w:overflowPunct w:val="0"/>
                    <w:jc w:val="center"/>
                    <w:rPr>
                      <w:b/>
                      <w:strike w:val="0"/>
                      <w:dstrike w:val="0"/>
                      <w:color w:val="auto"/>
                      <w:sz w:val="21"/>
                      <w:szCs w:val="21"/>
                      <w:highlight w:val="none"/>
                    </w:rPr>
                  </w:pPr>
                  <w:r>
                    <w:rPr>
                      <w:b/>
                      <w:strike w:val="0"/>
                      <w:dstrike w:val="0"/>
                      <w:color w:val="auto"/>
                      <w:sz w:val="21"/>
                      <w:szCs w:val="21"/>
                      <w:highlight w:val="none"/>
                    </w:rPr>
                    <w:t>备注</w:t>
                  </w:r>
                </w:p>
              </w:tc>
            </w:tr>
            <w:tr w14:paraId="5144B752">
              <w:tblPrEx>
                <w:tblCellMar>
                  <w:top w:w="0" w:type="dxa"/>
                  <w:left w:w="108" w:type="dxa"/>
                  <w:bottom w:w="0" w:type="dxa"/>
                  <w:right w:w="108" w:type="dxa"/>
                </w:tblCellMar>
              </w:tblPrEx>
              <w:trPr>
                <w:trHeight w:val="23" w:hRule="atLeast"/>
                <w:jc w:val="center"/>
              </w:trPr>
              <w:tc>
                <w:tcPr>
                  <w:tcW w:w="765" w:type="dxa"/>
                  <w:vMerge w:val="restart"/>
                  <w:tcBorders>
                    <w:top w:val="single" w:color="000000" w:sz="4" w:space="0"/>
                    <w:left w:val="single" w:color="000000" w:sz="4" w:space="0"/>
                    <w:right w:val="single" w:color="000000" w:sz="4" w:space="0"/>
                  </w:tcBorders>
                  <w:vAlign w:val="center"/>
                </w:tcPr>
                <w:p w14:paraId="33E1447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主体工程</w:t>
                  </w:r>
                </w:p>
              </w:tc>
              <w:tc>
                <w:tcPr>
                  <w:tcW w:w="956" w:type="dxa"/>
                  <w:tcBorders>
                    <w:top w:val="single" w:color="000000" w:sz="4" w:space="0"/>
                    <w:left w:val="single" w:color="000000" w:sz="4" w:space="0"/>
                    <w:right w:val="single" w:color="000000" w:sz="4" w:space="0"/>
                  </w:tcBorders>
                  <w:vAlign w:val="center"/>
                </w:tcPr>
                <w:p w14:paraId="7E6D6212">
                  <w:pPr>
                    <w:pStyle w:val="43"/>
                    <w:kinsoku w:val="0"/>
                    <w:overflowPunct w:val="0"/>
                    <w:jc w:val="center"/>
                    <w:rPr>
                      <w:strike w:val="0"/>
                      <w:dstrike w:val="0"/>
                      <w:color w:val="auto"/>
                      <w:kern w:val="2"/>
                      <w:sz w:val="21"/>
                      <w:szCs w:val="21"/>
                      <w:highlight w:val="none"/>
                    </w:rPr>
                  </w:pPr>
                  <w:bookmarkStart w:id="7" w:name="OLE_LINK8"/>
                  <w:r>
                    <w:rPr>
                      <w:strike w:val="0"/>
                      <w:dstrike w:val="0"/>
                      <w:color w:val="auto"/>
                      <w:kern w:val="2"/>
                      <w:sz w:val="21"/>
                      <w:szCs w:val="21"/>
                      <w:highlight w:val="none"/>
                    </w:rPr>
                    <w:t>埋地油罐区</w:t>
                  </w:r>
                  <w:bookmarkEnd w:id="7"/>
                </w:p>
              </w:tc>
              <w:tc>
                <w:tcPr>
                  <w:tcW w:w="5400" w:type="dxa"/>
                  <w:tcBorders>
                    <w:top w:val="single" w:color="000000" w:sz="4" w:space="0"/>
                    <w:left w:val="single" w:color="000000" w:sz="4" w:space="0"/>
                    <w:bottom w:val="single" w:color="000000" w:sz="4" w:space="0"/>
                    <w:right w:val="single" w:color="000000" w:sz="4" w:space="0"/>
                  </w:tcBorders>
                  <w:vAlign w:val="center"/>
                </w:tcPr>
                <w:p w14:paraId="5559C33A">
                  <w:pPr>
                    <w:jc w:val="left"/>
                    <w:rPr>
                      <w:strike w:val="0"/>
                      <w:dstrike w:val="0"/>
                      <w:color w:val="auto"/>
                      <w:szCs w:val="21"/>
                      <w:highlight w:val="none"/>
                    </w:rPr>
                  </w:pPr>
                  <w:r>
                    <w:rPr>
                      <w:strike w:val="0"/>
                      <w:dstrike w:val="0"/>
                      <w:color w:val="auto"/>
                      <w:szCs w:val="21"/>
                      <w:highlight w:val="none"/>
                    </w:rPr>
                    <w:t>位于场地西北侧，共4个埋地油罐，包括</w:t>
                  </w:r>
                  <w:bookmarkStart w:id="8" w:name="OLE_LINK4"/>
                  <w:r>
                    <w:rPr>
                      <w:strike w:val="0"/>
                      <w:dstrike w:val="0"/>
                      <w:color w:val="auto"/>
                      <w:kern w:val="0"/>
                      <w:szCs w:val="21"/>
                      <w:highlight w:val="none"/>
                      <w:lang w:bidi="ar"/>
                    </w:rPr>
                    <w:t>1个30m</w:t>
                  </w:r>
                  <w:r>
                    <w:rPr>
                      <w:strike w:val="0"/>
                      <w:dstrike w:val="0"/>
                      <w:color w:val="auto"/>
                      <w:kern w:val="0"/>
                      <w:szCs w:val="21"/>
                      <w:highlight w:val="none"/>
                      <w:vertAlign w:val="superscript"/>
                      <w:lang w:bidi="ar"/>
                    </w:rPr>
                    <w:t>3</w:t>
                  </w:r>
                  <w:r>
                    <w:rPr>
                      <w:strike w:val="0"/>
                      <w:dstrike w:val="0"/>
                      <w:color w:val="auto"/>
                      <w:kern w:val="0"/>
                      <w:szCs w:val="21"/>
                      <w:highlight w:val="none"/>
                      <w:lang w:bidi="ar"/>
                    </w:rPr>
                    <w:t>的</w:t>
                  </w:r>
                  <w:bookmarkEnd w:id="8"/>
                  <w:r>
                    <w:rPr>
                      <w:strike w:val="0"/>
                      <w:dstrike w:val="0"/>
                      <w:color w:val="auto"/>
                      <w:kern w:val="0"/>
                      <w:szCs w:val="21"/>
                      <w:highlight w:val="none"/>
                      <w:lang w:bidi="ar"/>
                    </w:rPr>
                    <w:t>92#汽油罐、1个30m</w:t>
                  </w:r>
                  <w:r>
                    <w:rPr>
                      <w:strike w:val="0"/>
                      <w:dstrike w:val="0"/>
                      <w:color w:val="auto"/>
                      <w:kern w:val="0"/>
                      <w:szCs w:val="21"/>
                      <w:highlight w:val="none"/>
                      <w:vertAlign w:val="superscript"/>
                      <w:lang w:bidi="ar"/>
                    </w:rPr>
                    <w:t>3</w:t>
                  </w:r>
                  <w:r>
                    <w:rPr>
                      <w:strike w:val="0"/>
                      <w:dstrike w:val="0"/>
                      <w:color w:val="auto"/>
                      <w:kern w:val="0"/>
                      <w:szCs w:val="21"/>
                      <w:highlight w:val="none"/>
                      <w:lang w:bidi="ar"/>
                    </w:rPr>
                    <w:t>的95#汽油罐、2个30m</w:t>
                  </w:r>
                  <w:r>
                    <w:rPr>
                      <w:strike w:val="0"/>
                      <w:dstrike w:val="0"/>
                      <w:color w:val="auto"/>
                      <w:kern w:val="0"/>
                      <w:szCs w:val="21"/>
                      <w:highlight w:val="none"/>
                      <w:vertAlign w:val="superscript"/>
                      <w:lang w:bidi="ar"/>
                    </w:rPr>
                    <w:t>3</w:t>
                  </w:r>
                  <w:r>
                    <w:rPr>
                      <w:strike w:val="0"/>
                      <w:dstrike w:val="0"/>
                      <w:color w:val="auto"/>
                      <w:kern w:val="0"/>
                      <w:szCs w:val="21"/>
                      <w:highlight w:val="none"/>
                      <w:lang w:bidi="ar"/>
                    </w:rPr>
                    <w:t>的0#柴油罐，合计总容积为90</w:t>
                  </w:r>
                  <w:bookmarkStart w:id="9" w:name="OLE_LINK5"/>
                  <w:r>
                    <w:rPr>
                      <w:strike w:val="0"/>
                      <w:dstrike w:val="0"/>
                      <w:color w:val="auto"/>
                      <w:kern w:val="0"/>
                      <w:szCs w:val="21"/>
                      <w:highlight w:val="none"/>
                      <w:lang w:bidi="ar"/>
                    </w:rPr>
                    <w:t>m</w:t>
                  </w:r>
                  <w:r>
                    <w:rPr>
                      <w:strike w:val="0"/>
                      <w:dstrike w:val="0"/>
                      <w:color w:val="auto"/>
                      <w:kern w:val="0"/>
                      <w:szCs w:val="21"/>
                      <w:highlight w:val="none"/>
                      <w:vertAlign w:val="superscript"/>
                      <w:lang w:bidi="ar"/>
                    </w:rPr>
                    <w:t>3</w:t>
                  </w:r>
                  <w:bookmarkEnd w:id="9"/>
                  <w:r>
                    <w:rPr>
                      <w:strike w:val="0"/>
                      <w:dstrike w:val="0"/>
                      <w:color w:val="auto"/>
                      <w:kern w:val="0"/>
                      <w:szCs w:val="21"/>
                      <w:highlight w:val="none"/>
                      <w:lang w:bidi="ar"/>
                    </w:rPr>
                    <w:t>（柴油罐容积折半）。</w:t>
                  </w:r>
                  <w:r>
                    <w:rPr>
                      <w:strike w:val="0"/>
                      <w:dstrike w:val="0"/>
                      <w:color w:val="auto"/>
                      <w:szCs w:val="21"/>
                      <w:highlight w:val="none"/>
                    </w:rPr>
                    <w:t>罐体为SF双层罐，外配地下防渗承重罐池，占地面积120</w:t>
                  </w:r>
                  <w:r>
                    <w:rPr>
                      <w:strike w:val="0"/>
                      <w:dstrike w:val="0"/>
                      <w:color w:val="auto"/>
                      <w:kern w:val="0"/>
                      <w:szCs w:val="21"/>
                      <w:highlight w:val="none"/>
                      <w:lang w:bidi="ar"/>
                    </w:rPr>
                    <w:t>m</w:t>
                  </w:r>
                  <w:r>
                    <w:rPr>
                      <w:strike w:val="0"/>
                      <w:dstrike w:val="0"/>
                      <w:color w:val="auto"/>
                      <w:kern w:val="0"/>
                      <w:szCs w:val="21"/>
                      <w:highlight w:val="none"/>
                      <w:vertAlign w:val="superscript"/>
                      <w:lang w:bidi="ar"/>
                    </w:rPr>
                    <w:t>2</w:t>
                  </w:r>
                  <w:r>
                    <w:rPr>
                      <w:strike w:val="0"/>
                      <w:dstrike w:val="0"/>
                      <w:color w:val="auto"/>
                      <w:szCs w:val="21"/>
                      <w:highlight w:val="none"/>
                    </w:rPr>
                    <w:t>。</w:t>
                  </w:r>
                </w:p>
              </w:tc>
              <w:tc>
                <w:tcPr>
                  <w:tcW w:w="656" w:type="dxa"/>
                  <w:tcBorders>
                    <w:top w:val="single" w:color="000000" w:sz="4" w:space="0"/>
                    <w:left w:val="single" w:color="000000" w:sz="4" w:space="0"/>
                    <w:bottom w:val="single" w:color="000000" w:sz="4" w:space="0"/>
                    <w:right w:val="single" w:color="000000" w:sz="4" w:space="0"/>
                  </w:tcBorders>
                  <w:vAlign w:val="center"/>
                </w:tcPr>
                <w:p w14:paraId="184F7668">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新建</w:t>
                  </w:r>
                </w:p>
              </w:tc>
            </w:tr>
            <w:tr w14:paraId="640253DA">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right w:val="single" w:color="000000" w:sz="4" w:space="0"/>
                  </w:tcBorders>
                  <w:vAlign w:val="center"/>
                </w:tcPr>
                <w:p w14:paraId="2A34047B">
                  <w:pPr>
                    <w:pStyle w:val="43"/>
                    <w:kinsoku w:val="0"/>
                    <w:overflowPunct w:val="0"/>
                    <w:jc w:val="center"/>
                    <w:rPr>
                      <w:strike w:val="0"/>
                      <w:dstrike w:val="0"/>
                      <w:color w:val="auto"/>
                      <w:sz w:val="21"/>
                      <w:szCs w:val="21"/>
                      <w:highlight w:val="none"/>
                    </w:rPr>
                  </w:pPr>
                </w:p>
              </w:tc>
              <w:tc>
                <w:tcPr>
                  <w:tcW w:w="956" w:type="dxa"/>
                  <w:tcBorders>
                    <w:top w:val="single" w:color="000000" w:sz="4" w:space="0"/>
                    <w:left w:val="single" w:color="000000" w:sz="4" w:space="0"/>
                    <w:right w:val="single" w:color="000000" w:sz="4" w:space="0"/>
                  </w:tcBorders>
                  <w:vAlign w:val="center"/>
                </w:tcPr>
                <w:p w14:paraId="7EDFF5B3">
                  <w:pPr>
                    <w:pStyle w:val="43"/>
                    <w:kinsoku w:val="0"/>
                    <w:overflowPunct w:val="0"/>
                    <w:jc w:val="center"/>
                    <w:rPr>
                      <w:strike w:val="0"/>
                      <w:dstrike w:val="0"/>
                      <w:color w:val="auto"/>
                      <w:kern w:val="2"/>
                      <w:sz w:val="21"/>
                      <w:szCs w:val="21"/>
                      <w:highlight w:val="none"/>
                    </w:rPr>
                  </w:pPr>
                  <w:r>
                    <w:rPr>
                      <w:strike w:val="0"/>
                      <w:dstrike w:val="0"/>
                      <w:color w:val="auto"/>
                      <w:kern w:val="2"/>
                      <w:sz w:val="21"/>
                      <w:szCs w:val="21"/>
                      <w:highlight w:val="none"/>
                    </w:rPr>
                    <w:t>加油区</w:t>
                  </w:r>
                </w:p>
              </w:tc>
              <w:tc>
                <w:tcPr>
                  <w:tcW w:w="5400" w:type="dxa"/>
                  <w:tcBorders>
                    <w:top w:val="single" w:color="000000" w:sz="4" w:space="0"/>
                    <w:left w:val="single" w:color="000000" w:sz="4" w:space="0"/>
                    <w:bottom w:val="single" w:color="000000" w:sz="4" w:space="0"/>
                    <w:right w:val="single" w:color="000000" w:sz="4" w:space="0"/>
                  </w:tcBorders>
                  <w:vAlign w:val="center"/>
                </w:tcPr>
                <w:p w14:paraId="2F3530B6">
                  <w:pPr>
                    <w:jc w:val="left"/>
                    <w:rPr>
                      <w:strike w:val="0"/>
                      <w:dstrike w:val="0"/>
                      <w:color w:val="auto"/>
                      <w:szCs w:val="21"/>
                      <w:highlight w:val="none"/>
                    </w:rPr>
                  </w:pPr>
                  <w:bookmarkStart w:id="10" w:name="OLE_LINK9"/>
                  <w:bookmarkStart w:id="11" w:name="OLE_LINK7"/>
                  <w:r>
                    <w:rPr>
                      <w:strike w:val="0"/>
                      <w:dstrike w:val="0"/>
                      <w:color w:val="auto"/>
                      <w:szCs w:val="21"/>
                      <w:highlight w:val="none"/>
                    </w:rPr>
                    <w:t>位于场地</w:t>
                  </w:r>
                  <w:bookmarkEnd w:id="10"/>
                  <w:r>
                    <w:rPr>
                      <w:strike w:val="0"/>
                      <w:dstrike w:val="0"/>
                      <w:color w:val="auto"/>
                      <w:szCs w:val="21"/>
                      <w:highlight w:val="none"/>
                    </w:rPr>
                    <w:t>东侧的罩棚下方，</w:t>
                  </w:r>
                  <w:bookmarkEnd w:id="11"/>
                  <w:r>
                    <w:rPr>
                      <w:strike w:val="0"/>
                      <w:dstrike w:val="0"/>
                      <w:color w:val="auto"/>
                      <w:szCs w:val="21"/>
                      <w:highlight w:val="none"/>
                    </w:rPr>
                    <w:t>设置4个加油岛，</w:t>
                  </w:r>
                  <w:r>
                    <w:rPr>
                      <w:strike w:val="0"/>
                      <w:dstrike w:val="0"/>
                      <w:color w:val="auto"/>
                      <w:kern w:val="0"/>
                      <w:szCs w:val="21"/>
                      <w:highlight w:val="none"/>
                      <w:lang w:bidi="ar"/>
                    </w:rPr>
                    <w:t>配备</w:t>
                  </w:r>
                  <w:r>
                    <w:rPr>
                      <w:rFonts w:hint="eastAsia"/>
                      <w:strike w:val="0"/>
                      <w:dstrike w:val="0"/>
                      <w:color w:val="auto"/>
                      <w:kern w:val="0"/>
                      <w:szCs w:val="21"/>
                      <w:highlight w:val="none"/>
                      <w:lang w:bidi="ar"/>
                    </w:rPr>
                    <w:t>2台4枪加油机、2台6枪加油机</w:t>
                  </w:r>
                  <w:r>
                    <w:rPr>
                      <w:strike w:val="0"/>
                      <w:dstrike w:val="0"/>
                      <w:color w:val="auto"/>
                      <w:kern w:val="0"/>
                      <w:szCs w:val="21"/>
                      <w:highlight w:val="none"/>
                      <w:lang w:bidi="ar"/>
                    </w:rPr>
                    <w:t>。</w:t>
                  </w:r>
                </w:p>
              </w:tc>
              <w:tc>
                <w:tcPr>
                  <w:tcW w:w="656" w:type="dxa"/>
                  <w:tcBorders>
                    <w:top w:val="single" w:color="000000" w:sz="4" w:space="0"/>
                    <w:left w:val="single" w:color="000000" w:sz="4" w:space="0"/>
                    <w:bottom w:val="single" w:color="000000" w:sz="4" w:space="0"/>
                    <w:right w:val="single" w:color="000000" w:sz="4" w:space="0"/>
                  </w:tcBorders>
                  <w:vAlign w:val="center"/>
                </w:tcPr>
                <w:p w14:paraId="7E0A9A8E">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新建</w:t>
                  </w:r>
                </w:p>
              </w:tc>
            </w:tr>
            <w:tr w14:paraId="2865BD29">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right w:val="single" w:color="000000" w:sz="4" w:space="0"/>
                  </w:tcBorders>
                  <w:vAlign w:val="center"/>
                </w:tcPr>
                <w:p w14:paraId="6778233B">
                  <w:pPr>
                    <w:pStyle w:val="43"/>
                    <w:kinsoku w:val="0"/>
                    <w:overflowPunct w:val="0"/>
                    <w:jc w:val="center"/>
                    <w:rPr>
                      <w:strike w:val="0"/>
                      <w:dstrike w:val="0"/>
                      <w:color w:val="auto"/>
                      <w:kern w:val="2"/>
                      <w:sz w:val="21"/>
                      <w:szCs w:val="21"/>
                      <w:highlight w:val="none"/>
                    </w:rPr>
                  </w:pPr>
                </w:p>
              </w:tc>
              <w:tc>
                <w:tcPr>
                  <w:tcW w:w="956" w:type="dxa"/>
                  <w:tcBorders>
                    <w:top w:val="single" w:color="000000" w:sz="4" w:space="0"/>
                    <w:left w:val="single" w:color="000000" w:sz="4" w:space="0"/>
                    <w:right w:val="single" w:color="000000" w:sz="4" w:space="0"/>
                  </w:tcBorders>
                  <w:vAlign w:val="center"/>
                </w:tcPr>
                <w:p w14:paraId="748E31BA">
                  <w:pPr>
                    <w:pStyle w:val="43"/>
                    <w:kinsoku w:val="0"/>
                    <w:overflowPunct w:val="0"/>
                    <w:jc w:val="center"/>
                    <w:rPr>
                      <w:strike w:val="0"/>
                      <w:dstrike w:val="0"/>
                      <w:color w:val="auto"/>
                      <w:kern w:val="2"/>
                      <w:sz w:val="21"/>
                      <w:szCs w:val="21"/>
                      <w:highlight w:val="none"/>
                    </w:rPr>
                  </w:pPr>
                  <w:r>
                    <w:rPr>
                      <w:strike w:val="0"/>
                      <w:dstrike w:val="0"/>
                      <w:color w:val="auto"/>
                      <w:kern w:val="2"/>
                      <w:sz w:val="21"/>
                      <w:szCs w:val="21"/>
                      <w:highlight w:val="none"/>
                    </w:rPr>
                    <w:t>储气加气区</w:t>
                  </w:r>
                </w:p>
              </w:tc>
              <w:tc>
                <w:tcPr>
                  <w:tcW w:w="5400" w:type="dxa"/>
                  <w:tcBorders>
                    <w:top w:val="single" w:color="000000" w:sz="4" w:space="0"/>
                    <w:left w:val="single" w:color="000000" w:sz="4" w:space="0"/>
                    <w:bottom w:val="single" w:color="000000" w:sz="4" w:space="0"/>
                    <w:right w:val="single" w:color="000000" w:sz="4" w:space="0"/>
                  </w:tcBorders>
                  <w:vAlign w:val="center"/>
                </w:tcPr>
                <w:p w14:paraId="5DCDA5AE">
                  <w:pPr>
                    <w:jc w:val="left"/>
                    <w:rPr>
                      <w:rFonts w:hint="eastAsia" w:eastAsia="宋体"/>
                      <w:strike w:val="0"/>
                      <w:dstrike w:val="0"/>
                      <w:color w:val="auto"/>
                      <w:szCs w:val="21"/>
                      <w:highlight w:val="none"/>
                      <w:lang w:val="en-US" w:eastAsia="zh-CN"/>
                    </w:rPr>
                  </w:pPr>
                  <w:r>
                    <w:rPr>
                      <w:strike w:val="0"/>
                      <w:dstrike w:val="0"/>
                      <w:color w:val="auto"/>
                      <w:szCs w:val="21"/>
                      <w:highlight w:val="none"/>
                    </w:rPr>
                    <w:t>加气区域布置在场地西侧，设有加气雨棚，设置1个60m</w:t>
                  </w:r>
                  <w:r>
                    <w:rPr>
                      <w:strike w:val="0"/>
                      <w:dstrike w:val="0"/>
                      <w:color w:val="auto"/>
                      <w:kern w:val="0"/>
                      <w:szCs w:val="21"/>
                      <w:highlight w:val="none"/>
                      <w:vertAlign w:val="superscript"/>
                      <w:lang w:bidi="ar"/>
                    </w:rPr>
                    <w:t>3</w:t>
                  </w:r>
                  <w:bookmarkStart w:id="12" w:name="OLE_LINK42"/>
                  <w:r>
                    <w:rPr>
                      <w:strike w:val="0"/>
                      <w:dstrike w:val="0"/>
                      <w:color w:val="auto"/>
                      <w:szCs w:val="21"/>
                      <w:highlight w:val="none"/>
                    </w:rPr>
                    <w:t>LNG卧式撬装储罐</w:t>
                  </w:r>
                  <w:bookmarkEnd w:id="12"/>
                  <w:r>
                    <w:rPr>
                      <w:strike w:val="0"/>
                      <w:dstrike w:val="0"/>
                      <w:color w:val="auto"/>
                      <w:szCs w:val="21"/>
                      <w:highlight w:val="none"/>
                    </w:rPr>
                    <w:t>（</w:t>
                  </w:r>
                  <w:r>
                    <w:rPr>
                      <w:rFonts w:hint="eastAsia"/>
                      <w:strike w:val="0"/>
                      <w:dstrike w:val="0"/>
                      <w:color w:val="auto"/>
                      <w:szCs w:val="21"/>
                      <w:highlight w:val="none"/>
                      <w:lang w:val="en-US" w:eastAsia="zh-CN"/>
                    </w:rPr>
                    <w:t>内罐设计压力1.44MPa，</w:t>
                  </w:r>
                  <w:r>
                    <w:rPr>
                      <w:rFonts w:hint="eastAsia" w:hAnsi="宋体"/>
                      <w:strike w:val="0"/>
                      <w:dstrike w:val="0"/>
                      <w:color w:val="auto"/>
                      <w:highlight w:val="none"/>
                    </w:rPr>
                    <w:t>设计温度-196℃</w:t>
                  </w:r>
                  <w:r>
                    <w:rPr>
                      <w:rFonts w:hint="eastAsia"/>
                      <w:strike w:val="0"/>
                      <w:dstrike w:val="0"/>
                      <w:color w:val="auto"/>
                      <w:szCs w:val="21"/>
                      <w:highlight w:val="none"/>
                      <w:lang w:val="en-US" w:eastAsia="zh-CN"/>
                    </w:rPr>
                    <w:t>，</w:t>
                  </w:r>
                  <w:r>
                    <w:rPr>
                      <w:strike w:val="0"/>
                      <w:dstrike w:val="0"/>
                      <w:color w:val="auto"/>
                      <w:szCs w:val="21"/>
                      <w:highlight w:val="none"/>
                    </w:rPr>
                    <w:t>内置潜液泵2台</w:t>
                  </w:r>
                  <w:r>
                    <w:rPr>
                      <w:rFonts w:hint="eastAsia"/>
                      <w:strike w:val="0"/>
                      <w:dstrike w:val="0"/>
                      <w:color w:val="auto"/>
                      <w:szCs w:val="21"/>
                      <w:highlight w:val="none"/>
                      <w:lang w:eastAsia="zh-CN"/>
                    </w:rPr>
                    <w:t>、卸车/储罐增压器1台</w:t>
                  </w:r>
                  <w:r>
                    <w:rPr>
                      <w:strike w:val="0"/>
                      <w:dstrike w:val="0"/>
                      <w:color w:val="auto"/>
                      <w:szCs w:val="21"/>
                      <w:highlight w:val="none"/>
                    </w:rPr>
                    <w:t>）</w:t>
                  </w:r>
                  <w:r>
                    <w:rPr>
                      <w:rFonts w:hint="eastAsia"/>
                      <w:strike w:val="0"/>
                      <w:dstrike w:val="0"/>
                      <w:color w:val="auto"/>
                      <w:szCs w:val="21"/>
                      <w:highlight w:val="none"/>
                      <w:lang w:eastAsia="zh-CN"/>
                    </w:rPr>
                    <w:t>、</w:t>
                  </w:r>
                  <w:r>
                    <w:rPr>
                      <w:rFonts w:hint="eastAsia"/>
                      <w:strike w:val="0"/>
                      <w:dstrike w:val="0"/>
                      <w:color w:val="auto"/>
                      <w:szCs w:val="21"/>
                      <w:highlight w:val="none"/>
                    </w:rPr>
                    <w:t>BOG回收系统1套</w:t>
                  </w:r>
                  <w:r>
                    <w:rPr>
                      <w:rFonts w:hint="eastAsia"/>
                      <w:strike w:val="0"/>
                      <w:dstrike w:val="0"/>
                      <w:color w:val="auto"/>
                      <w:szCs w:val="21"/>
                      <w:highlight w:val="none"/>
                      <w:lang w:eastAsia="zh-CN"/>
                    </w:rPr>
                    <w:t>、</w:t>
                  </w:r>
                  <w:r>
                    <w:rPr>
                      <w:rFonts w:hint="eastAsia"/>
                      <w:strike w:val="0"/>
                      <w:dstrike w:val="0"/>
                      <w:color w:val="auto"/>
                      <w:szCs w:val="21"/>
                      <w:highlight w:val="none"/>
                    </w:rPr>
                    <w:t>EAG加热器1套，</w:t>
                  </w:r>
                  <w:r>
                    <w:rPr>
                      <w:strike w:val="0"/>
                      <w:dstrike w:val="0"/>
                      <w:color w:val="auto"/>
                      <w:szCs w:val="21"/>
                      <w:highlight w:val="none"/>
                    </w:rPr>
                    <w:t>配套仪表风系统1套（空压机1台，冷干机1台）</w:t>
                  </w:r>
                  <w:r>
                    <w:rPr>
                      <w:rFonts w:hint="eastAsia"/>
                      <w:strike w:val="0"/>
                      <w:dstrike w:val="0"/>
                      <w:color w:val="auto"/>
                      <w:szCs w:val="21"/>
                      <w:highlight w:val="none"/>
                    </w:rPr>
                    <w:t>，</w:t>
                  </w:r>
                  <w:r>
                    <w:rPr>
                      <w:strike w:val="0"/>
                      <w:dstrike w:val="0"/>
                      <w:color w:val="auto"/>
                      <w:szCs w:val="21"/>
                      <w:highlight w:val="none"/>
                    </w:rPr>
                    <w:t>设置LNG单枪加气机2台。</w:t>
                  </w:r>
                  <w:r>
                    <w:rPr>
                      <w:rFonts w:hint="eastAsia"/>
                      <w:strike w:val="0"/>
                      <w:dstrike w:val="0"/>
                      <w:color w:val="auto"/>
                      <w:sz w:val="21"/>
                      <w:szCs w:val="21"/>
                      <w:highlight w:val="none"/>
                    </w:rPr>
                    <w:t>EAG加热器</w:t>
                  </w:r>
                  <w:r>
                    <w:rPr>
                      <w:rFonts w:hint="eastAsia"/>
                      <w:strike w:val="0"/>
                      <w:dstrike w:val="0"/>
                      <w:color w:val="auto"/>
                      <w:sz w:val="21"/>
                      <w:szCs w:val="21"/>
                      <w:highlight w:val="none"/>
                      <w:lang w:val="en-US" w:eastAsia="zh-CN"/>
                    </w:rPr>
                    <w:t>为</w:t>
                  </w:r>
                  <w:r>
                    <w:rPr>
                      <w:rFonts w:ascii="Times New Roman" w:hAnsi="Times New Roman"/>
                      <w:strike w:val="0"/>
                      <w:dstrike w:val="0"/>
                      <w:color w:val="auto"/>
                      <w:sz w:val="21"/>
                      <w:szCs w:val="21"/>
                      <w:highlight w:val="none"/>
                    </w:rPr>
                    <w:t>空温式气化器</w:t>
                  </w:r>
                  <w:r>
                    <w:rPr>
                      <w:rFonts w:hint="eastAsia"/>
                      <w:strike w:val="0"/>
                      <w:dstrike w:val="0"/>
                      <w:color w:val="auto"/>
                      <w:sz w:val="21"/>
                      <w:szCs w:val="21"/>
                      <w:highlight w:val="none"/>
                      <w:lang w:eastAsia="zh-CN"/>
                    </w:rPr>
                    <w:t>。</w:t>
                  </w:r>
                </w:p>
              </w:tc>
              <w:tc>
                <w:tcPr>
                  <w:tcW w:w="656" w:type="dxa"/>
                  <w:tcBorders>
                    <w:top w:val="single" w:color="000000" w:sz="4" w:space="0"/>
                    <w:left w:val="single" w:color="000000" w:sz="4" w:space="0"/>
                    <w:bottom w:val="single" w:color="000000" w:sz="4" w:space="0"/>
                    <w:right w:val="single" w:color="000000" w:sz="4" w:space="0"/>
                  </w:tcBorders>
                  <w:vAlign w:val="center"/>
                </w:tcPr>
                <w:p w14:paraId="287C635E">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新建</w:t>
                  </w:r>
                </w:p>
              </w:tc>
            </w:tr>
            <w:tr w14:paraId="72F6C1F6">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bottom w:val="single" w:color="000000" w:sz="4" w:space="0"/>
                    <w:right w:val="single" w:color="000000" w:sz="4" w:space="0"/>
                  </w:tcBorders>
                  <w:vAlign w:val="center"/>
                </w:tcPr>
                <w:p w14:paraId="6AA1A45D">
                  <w:pPr>
                    <w:pStyle w:val="43"/>
                    <w:kinsoku w:val="0"/>
                    <w:overflowPunct w:val="0"/>
                    <w:jc w:val="center"/>
                    <w:rPr>
                      <w:strike w:val="0"/>
                      <w:dstrike w:val="0"/>
                      <w:color w:val="auto"/>
                      <w:kern w:val="2"/>
                      <w:sz w:val="21"/>
                      <w:szCs w:val="21"/>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1CF4C6A7">
                  <w:pPr>
                    <w:pStyle w:val="43"/>
                    <w:kinsoku w:val="0"/>
                    <w:overflowPunct w:val="0"/>
                    <w:jc w:val="center"/>
                    <w:rPr>
                      <w:strike w:val="0"/>
                      <w:dstrike w:val="0"/>
                      <w:color w:val="auto"/>
                      <w:kern w:val="2"/>
                      <w:sz w:val="21"/>
                      <w:szCs w:val="21"/>
                      <w:highlight w:val="none"/>
                    </w:rPr>
                  </w:pPr>
                  <w:r>
                    <w:rPr>
                      <w:strike w:val="0"/>
                      <w:dstrike w:val="0"/>
                      <w:color w:val="auto"/>
                      <w:kern w:val="2"/>
                      <w:sz w:val="21"/>
                      <w:szCs w:val="21"/>
                      <w:highlight w:val="none"/>
                    </w:rPr>
                    <w:t>卸油区</w:t>
                  </w:r>
                </w:p>
              </w:tc>
              <w:tc>
                <w:tcPr>
                  <w:tcW w:w="5400" w:type="dxa"/>
                  <w:tcBorders>
                    <w:top w:val="single" w:color="000000" w:sz="4" w:space="0"/>
                    <w:left w:val="single" w:color="000000" w:sz="4" w:space="0"/>
                    <w:bottom w:val="single" w:color="000000" w:sz="4" w:space="0"/>
                    <w:right w:val="single" w:color="000000" w:sz="4" w:space="0"/>
                  </w:tcBorders>
                  <w:vAlign w:val="center"/>
                </w:tcPr>
                <w:p w14:paraId="4521088D">
                  <w:pPr>
                    <w:jc w:val="left"/>
                    <w:rPr>
                      <w:strike w:val="0"/>
                      <w:dstrike w:val="0"/>
                      <w:color w:val="auto"/>
                      <w:szCs w:val="21"/>
                      <w:highlight w:val="none"/>
                    </w:rPr>
                  </w:pPr>
                  <w:r>
                    <w:rPr>
                      <w:strike w:val="0"/>
                      <w:dstrike w:val="0"/>
                      <w:color w:val="auto"/>
                      <w:szCs w:val="21"/>
                      <w:highlight w:val="none"/>
                    </w:rPr>
                    <w:t>位于埋地油罐区东北侧，设置密闭卸油口箱，内设4个</w:t>
                  </w:r>
                  <w:bookmarkStart w:id="13" w:name="OLE_LINK10"/>
                  <w:r>
                    <w:rPr>
                      <w:strike w:val="0"/>
                      <w:dstrike w:val="0"/>
                      <w:color w:val="auto"/>
                      <w:szCs w:val="21"/>
                      <w:highlight w:val="none"/>
                    </w:rPr>
                    <w:t>密闭卸油快速接头</w:t>
                  </w:r>
                  <w:bookmarkEnd w:id="13"/>
                  <w:r>
                    <w:rPr>
                      <w:strike w:val="0"/>
                      <w:dstrike w:val="0"/>
                      <w:color w:val="auto"/>
                      <w:szCs w:val="21"/>
                      <w:highlight w:val="none"/>
                    </w:rPr>
                    <w:t>及1个卸油油气回收快速接头。</w:t>
                  </w:r>
                </w:p>
              </w:tc>
              <w:tc>
                <w:tcPr>
                  <w:tcW w:w="656" w:type="dxa"/>
                  <w:tcBorders>
                    <w:top w:val="single" w:color="000000" w:sz="4" w:space="0"/>
                    <w:left w:val="single" w:color="000000" w:sz="4" w:space="0"/>
                    <w:bottom w:val="single" w:color="000000" w:sz="4" w:space="0"/>
                    <w:right w:val="single" w:color="000000" w:sz="4" w:space="0"/>
                  </w:tcBorders>
                  <w:vAlign w:val="center"/>
                </w:tcPr>
                <w:p w14:paraId="60417729">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新建</w:t>
                  </w:r>
                </w:p>
              </w:tc>
            </w:tr>
            <w:tr w14:paraId="53E668D9">
              <w:tblPrEx>
                <w:tblCellMar>
                  <w:top w:w="0" w:type="dxa"/>
                  <w:left w:w="108" w:type="dxa"/>
                  <w:bottom w:w="0" w:type="dxa"/>
                  <w:right w:w="108" w:type="dxa"/>
                </w:tblCellMar>
              </w:tblPrEx>
              <w:trPr>
                <w:trHeight w:val="23" w:hRule="atLeast"/>
                <w:jc w:val="center"/>
              </w:trPr>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138CD63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辅助工程</w:t>
                  </w:r>
                </w:p>
              </w:tc>
              <w:tc>
                <w:tcPr>
                  <w:tcW w:w="956" w:type="dxa"/>
                  <w:tcBorders>
                    <w:top w:val="single" w:color="000000" w:sz="4" w:space="0"/>
                    <w:left w:val="single" w:color="000000" w:sz="4" w:space="0"/>
                    <w:bottom w:val="single" w:color="000000" w:sz="4" w:space="0"/>
                    <w:right w:val="single" w:color="000000" w:sz="4" w:space="0"/>
                  </w:tcBorders>
                  <w:vAlign w:val="center"/>
                </w:tcPr>
                <w:p w14:paraId="1C20BFB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罩棚</w:t>
                  </w:r>
                </w:p>
              </w:tc>
              <w:tc>
                <w:tcPr>
                  <w:tcW w:w="5400" w:type="dxa"/>
                  <w:tcBorders>
                    <w:top w:val="single" w:color="000000" w:sz="4" w:space="0"/>
                    <w:left w:val="single" w:color="000000" w:sz="4" w:space="0"/>
                    <w:bottom w:val="single" w:color="000000" w:sz="4" w:space="0"/>
                    <w:right w:val="single" w:color="000000" w:sz="4" w:space="0"/>
                  </w:tcBorders>
                  <w:vAlign w:val="center"/>
                </w:tcPr>
                <w:p w14:paraId="789A107C">
                  <w:pPr>
                    <w:pStyle w:val="43"/>
                    <w:keepNext w:val="0"/>
                    <w:keepLines w:val="0"/>
                    <w:pageBreakBefore w:val="0"/>
                    <w:widowControl w:val="0"/>
                    <w:kinsoku w:val="0"/>
                    <w:wordWrap/>
                    <w:overflowPunct w:val="0"/>
                    <w:topLinePunct w:val="0"/>
                    <w:autoSpaceDE w:val="0"/>
                    <w:autoSpaceDN w:val="0"/>
                    <w:bidi w:val="0"/>
                    <w:adjustRightInd w:val="0"/>
                    <w:snapToGrid/>
                    <w:textAlignment w:val="auto"/>
                    <w:rPr>
                      <w:rFonts w:hint="default" w:ascii="Times New Roman" w:hAnsi="Times New Roman" w:cs="Times New Roman"/>
                      <w:strike w:val="0"/>
                      <w:dstrike w:val="0"/>
                      <w:color w:val="auto"/>
                      <w:sz w:val="21"/>
                      <w:szCs w:val="21"/>
                      <w:highlight w:val="none"/>
                    </w:rPr>
                  </w:pPr>
                  <w:bookmarkStart w:id="14" w:name="OLE_LINK11"/>
                  <w:r>
                    <w:rPr>
                      <w:rFonts w:hint="default" w:ascii="Times New Roman" w:hAnsi="Times New Roman" w:cs="Times New Roman"/>
                      <w:strike w:val="0"/>
                      <w:dstrike w:val="0"/>
                      <w:color w:val="auto"/>
                      <w:sz w:val="21"/>
                      <w:szCs w:val="21"/>
                      <w:highlight w:val="none"/>
                    </w:rPr>
                    <w:t>位于场地</w:t>
                  </w:r>
                  <w:bookmarkEnd w:id="14"/>
                  <w:r>
                    <w:rPr>
                      <w:rFonts w:hint="default" w:ascii="Times New Roman" w:hAnsi="Times New Roman" w:cs="Times New Roman"/>
                      <w:strike w:val="0"/>
                      <w:dstrike w:val="0"/>
                      <w:color w:val="auto"/>
                      <w:sz w:val="21"/>
                      <w:szCs w:val="21"/>
                      <w:highlight w:val="none"/>
                    </w:rPr>
                    <w:t>中部，设置钢结构加油罩棚一座，面积128m</w:t>
                  </w:r>
                  <w:r>
                    <w:rPr>
                      <w:rFonts w:hint="default" w:ascii="Times New Roman" w:hAnsi="Times New Roman" w:cs="Times New Roman"/>
                      <w:strike w:val="0"/>
                      <w:dstrike w:val="0"/>
                      <w:color w:val="auto"/>
                      <w:sz w:val="21"/>
                      <w:szCs w:val="21"/>
                      <w:highlight w:val="none"/>
                      <w:vertAlign w:val="superscript"/>
                    </w:rPr>
                    <w:t>2</w:t>
                  </w:r>
                  <w:r>
                    <w:rPr>
                      <w:rFonts w:hint="default" w:ascii="Times New Roman" w:hAnsi="Times New Roman" w:cs="Times New Roman"/>
                      <w:strike w:val="0"/>
                      <w:dstrike w:val="0"/>
                      <w:color w:val="auto"/>
                      <w:sz w:val="21"/>
                      <w:szCs w:val="21"/>
                      <w:highlight w:val="none"/>
                    </w:rPr>
                    <w:t>（投影面积256m</w:t>
                  </w:r>
                  <w:r>
                    <w:rPr>
                      <w:rFonts w:hint="default" w:ascii="Times New Roman" w:hAnsi="Times New Roman" w:cs="Times New Roman"/>
                      <w:strike w:val="0"/>
                      <w:dstrike w:val="0"/>
                      <w:color w:val="auto"/>
                      <w:sz w:val="21"/>
                      <w:szCs w:val="21"/>
                      <w:highlight w:val="none"/>
                      <w:vertAlign w:val="superscript"/>
                    </w:rPr>
                    <w:t>2</w:t>
                  </w:r>
                  <w:r>
                    <w:rPr>
                      <w:rFonts w:hint="default" w:ascii="Times New Roman" w:hAnsi="Times New Roman" w:cs="Times New Roman"/>
                      <w:strike w:val="0"/>
                      <w:dstrike w:val="0"/>
                      <w:color w:val="auto"/>
                      <w:sz w:val="21"/>
                      <w:szCs w:val="21"/>
                      <w:highlight w:val="none"/>
                    </w:rPr>
                    <w:t>），棚高6m。</w:t>
                  </w:r>
                </w:p>
              </w:tc>
              <w:tc>
                <w:tcPr>
                  <w:tcW w:w="656" w:type="dxa"/>
                  <w:tcBorders>
                    <w:top w:val="single" w:color="000000" w:sz="4" w:space="0"/>
                    <w:left w:val="single" w:color="000000" w:sz="4" w:space="0"/>
                    <w:bottom w:val="single" w:color="000000" w:sz="4" w:space="0"/>
                    <w:right w:val="single" w:color="000000" w:sz="4" w:space="0"/>
                  </w:tcBorders>
                  <w:vAlign w:val="center"/>
                </w:tcPr>
                <w:p w14:paraId="3D55358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新建</w:t>
                  </w:r>
                </w:p>
              </w:tc>
            </w:tr>
            <w:tr w14:paraId="5A59AB74">
              <w:tblPrEx>
                <w:tblCellMar>
                  <w:top w:w="0" w:type="dxa"/>
                  <w:left w:w="108" w:type="dxa"/>
                  <w:bottom w:w="0" w:type="dxa"/>
                  <w:right w:w="108" w:type="dxa"/>
                </w:tblCellMar>
              </w:tblPrEx>
              <w:trPr>
                <w:trHeight w:val="23" w:hRule="atLeast"/>
                <w:jc w:val="center"/>
              </w:trPr>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ED7CC14">
                  <w:pPr>
                    <w:pStyle w:val="43"/>
                    <w:kinsoku w:val="0"/>
                    <w:overflowPunct w:val="0"/>
                    <w:jc w:val="center"/>
                    <w:rPr>
                      <w:strike w:val="0"/>
                      <w:dstrike w:val="0"/>
                      <w:color w:val="auto"/>
                      <w:sz w:val="21"/>
                      <w:szCs w:val="21"/>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1ACAB36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站房</w:t>
                  </w:r>
                </w:p>
              </w:tc>
              <w:tc>
                <w:tcPr>
                  <w:tcW w:w="5400" w:type="dxa"/>
                  <w:tcBorders>
                    <w:top w:val="single" w:color="000000" w:sz="4" w:space="0"/>
                    <w:left w:val="single" w:color="000000" w:sz="4" w:space="0"/>
                    <w:bottom w:val="single" w:color="000000" w:sz="4" w:space="0"/>
                    <w:right w:val="single" w:color="000000" w:sz="4" w:space="0"/>
                  </w:tcBorders>
                  <w:vAlign w:val="center"/>
                </w:tcPr>
                <w:p w14:paraId="3D75A8A2">
                  <w:pPr>
                    <w:rPr>
                      <w:strike w:val="0"/>
                      <w:dstrike w:val="0"/>
                      <w:color w:val="auto"/>
                      <w:szCs w:val="21"/>
                      <w:highlight w:val="none"/>
                    </w:rPr>
                  </w:pPr>
                  <w:r>
                    <w:rPr>
                      <w:strike w:val="0"/>
                      <w:dstrike w:val="0"/>
                      <w:color w:val="auto"/>
                      <w:szCs w:val="21"/>
                      <w:highlight w:val="none"/>
                    </w:rPr>
                    <w:t>位于场地南侧，2F，H=7.2m，占地面积</w:t>
                  </w:r>
                  <w:r>
                    <w:rPr>
                      <w:rFonts w:hint="eastAsia"/>
                      <w:strike w:val="0"/>
                      <w:dstrike w:val="0"/>
                      <w:color w:val="auto"/>
                      <w:szCs w:val="21"/>
                      <w:highlight w:val="none"/>
                      <w:lang w:val="en-US" w:eastAsia="zh-CN"/>
                    </w:rPr>
                    <w:t>172.61</w:t>
                  </w:r>
                  <w:r>
                    <w:rPr>
                      <w:strike w:val="0"/>
                      <w:dstrike w:val="0"/>
                      <w:color w:val="auto"/>
                      <w:szCs w:val="21"/>
                      <w:highlight w:val="none"/>
                    </w:rPr>
                    <w:t>m</w:t>
                  </w:r>
                  <w:r>
                    <w:rPr>
                      <w:strike w:val="0"/>
                      <w:dstrike w:val="0"/>
                      <w:color w:val="auto"/>
                      <w:szCs w:val="21"/>
                      <w:highlight w:val="none"/>
                      <w:vertAlign w:val="superscript"/>
                    </w:rPr>
                    <w:t>2</w:t>
                  </w:r>
                  <w:r>
                    <w:rPr>
                      <w:strike w:val="0"/>
                      <w:dstrike w:val="0"/>
                      <w:color w:val="auto"/>
                      <w:szCs w:val="21"/>
                      <w:highlight w:val="none"/>
                    </w:rPr>
                    <w:t>，总建筑面积</w:t>
                  </w:r>
                  <w:r>
                    <w:rPr>
                      <w:rFonts w:hint="eastAsia"/>
                      <w:strike w:val="0"/>
                      <w:dstrike w:val="0"/>
                      <w:color w:val="auto"/>
                      <w:szCs w:val="21"/>
                      <w:highlight w:val="none"/>
                      <w:lang w:val="en-US" w:eastAsia="zh-CN"/>
                    </w:rPr>
                    <w:t>345.22</w:t>
                  </w:r>
                  <w:r>
                    <w:rPr>
                      <w:strike w:val="0"/>
                      <w:dstrike w:val="0"/>
                      <w:color w:val="auto"/>
                      <w:szCs w:val="21"/>
                      <w:highlight w:val="none"/>
                    </w:rPr>
                    <w:t>m</w:t>
                  </w:r>
                  <w:r>
                    <w:rPr>
                      <w:strike w:val="0"/>
                      <w:dstrike w:val="0"/>
                      <w:color w:val="auto"/>
                      <w:szCs w:val="21"/>
                      <w:highlight w:val="none"/>
                      <w:vertAlign w:val="superscript"/>
                    </w:rPr>
                    <w:t>2</w:t>
                  </w:r>
                  <w:r>
                    <w:rPr>
                      <w:strike w:val="0"/>
                      <w:dstrike w:val="0"/>
                      <w:color w:val="auto"/>
                      <w:szCs w:val="21"/>
                      <w:highlight w:val="none"/>
                    </w:rPr>
                    <w:t>。钢筋混凝土框架结构，含便利店、办公室、发电机房、配电间、厕所等。</w:t>
                  </w:r>
                </w:p>
              </w:tc>
              <w:tc>
                <w:tcPr>
                  <w:tcW w:w="656" w:type="dxa"/>
                  <w:tcBorders>
                    <w:top w:val="single" w:color="000000" w:sz="4" w:space="0"/>
                    <w:left w:val="single" w:color="000000" w:sz="4" w:space="0"/>
                    <w:bottom w:val="single" w:color="000000" w:sz="4" w:space="0"/>
                    <w:right w:val="single" w:color="000000" w:sz="4" w:space="0"/>
                  </w:tcBorders>
                  <w:vAlign w:val="center"/>
                </w:tcPr>
                <w:p w14:paraId="0386F2A2">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新建</w:t>
                  </w:r>
                </w:p>
              </w:tc>
            </w:tr>
            <w:tr w14:paraId="02407620">
              <w:tblPrEx>
                <w:tblCellMar>
                  <w:top w:w="0" w:type="dxa"/>
                  <w:left w:w="108" w:type="dxa"/>
                  <w:bottom w:w="0" w:type="dxa"/>
                  <w:right w:w="108" w:type="dxa"/>
                </w:tblCellMar>
              </w:tblPrEx>
              <w:trPr>
                <w:trHeight w:val="23" w:hRule="atLeast"/>
                <w:jc w:val="center"/>
              </w:trPr>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68B630D">
                  <w:pPr>
                    <w:pStyle w:val="43"/>
                    <w:kinsoku w:val="0"/>
                    <w:overflowPunct w:val="0"/>
                    <w:jc w:val="center"/>
                    <w:rPr>
                      <w:strike w:val="0"/>
                      <w:dstrike w:val="0"/>
                      <w:color w:val="auto"/>
                      <w:sz w:val="21"/>
                      <w:szCs w:val="21"/>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5DB9D7A8">
                  <w:pPr>
                    <w:pStyle w:val="43"/>
                    <w:kinsoku w:val="0"/>
                    <w:overflowPunct w:val="0"/>
                    <w:jc w:val="center"/>
                    <w:rPr>
                      <w:strike w:val="0"/>
                      <w:dstrike w:val="0"/>
                      <w:color w:val="auto"/>
                      <w:kern w:val="2"/>
                      <w:sz w:val="21"/>
                      <w:szCs w:val="21"/>
                      <w:highlight w:val="none"/>
                    </w:rPr>
                  </w:pPr>
                  <w:r>
                    <w:rPr>
                      <w:strike w:val="0"/>
                      <w:dstrike w:val="0"/>
                      <w:color w:val="auto"/>
                      <w:kern w:val="2"/>
                      <w:sz w:val="21"/>
                      <w:szCs w:val="21"/>
                      <w:highlight w:val="none"/>
                    </w:rPr>
                    <w:t>输油、通气管线</w:t>
                  </w:r>
                </w:p>
              </w:tc>
              <w:tc>
                <w:tcPr>
                  <w:tcW w:w="5400" w:type="dxa"/>
                  <w:tcBorders>
                    <w:top w:val="single" w:color="000000" w:sz="4" w:space="0"/>
                    <w:left w:val="single" w:color="000000" w:sz="4" w:space="0"/>
                    <w:bottom w:val="single" w:color="000000" w:sz="4" w:space="0"/>
                    <w:right w:val="single" w:color="000000" w:sz="4" w:space="0"/>
                  </w:tcBorders>
                  <w:vAlign w:val="center"/>
                </w:tcPr>
                <w:p w14:paraId="185F75BE">
                  <w:pPr>
                    <w:pStyle w:val="43"/>
                    <w:kinsoku w:val="0"/>
                    <w:overflowPunct w:val="0"/>
                    <w:jc w:val="both"/>
                    <w:rPr>
                      <w:strike w:val="0"/>
                      <w:dstrike w:val="0"/>
                      <w:color w:val="auto"/>
                      <w:kern w:val="2"/>
                      <w:sz w:val="21"/>
                      <w:szCs w:val="21"/>
                      <w:highlight w:val="none"/>
                    </w:rPr>
                  </w:pPr>
                  <w:r>
                    <w:rPr>
                      <w:strike w:val="0"/>
                      <w:dstrike w:val="0"/>
                      <w:color w:val="auto"/>
                      <w:sz w:val="21"/>
                      <w:szCs w:val="21"/>
                      <w:highlight w:val="none"/>
                    </w:rPr>
                    <w:t>输油及通气管线均采用无缝钢管焊接连接，敷设在行车道及加油岛下的输油管线须敷设在DN100的铸铁套管内。</w:t>
                  </w:r>
                </w:p>
              </w:tc>
              <w:tc>
                <w:tcPr>
                  <w:tcW w:w="656" w:type="dxa"/>
                  <w:tcBorders>
                    <w:top w:val="single" w:color="000000" w:sz="4" w:space="0"/>
                    <w:left w:val="single" w:color="000000" w:sz="4" w:space="0"/>
                    <w:bottom w:val="single" w:color="000000" w:sz="4" w:space="0"/>
                    <w:right w:val="single" w:color="000000" w:sz="4" w:space="0"/>
                  </w:tcBorders>
                  <w:vAlign w:val="center"/>
                </w:tcPr>
                <w:p w14:paraId="70DB25A5">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新建</w:t>
                  </w:r>
                </w:p>
              </w:tc>
            </w:tr>
            <w:tr w14:paraId="2E2B93F5">
              <w:tblPrEx>
                <w:tblCellMar>
                  <w:top w:w="0" w:type="dxa"/>
                  <w:left w:w="108" w:type="dxa"/>
                  <w:bottom w:w="0" w:type="dxa"/>
                  <w:right w:w="108" w:type="dxa"/>
                </w:tblCellMar>
              </w:tblPrEx>
              <w:trPr>
                <w:trHeight w:val="23" w:hRule="atLeast"/>
                <w:jc w:val="center"/>
              </w:trPr>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2B2B9FA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公用工程</w:t>
                  </w:r>
                </w:p>
              </w:tc>
              <w:tc>
                <w:tcPr>
                  <w:tcW w:w="956" w:type="dxa"/>
                  <w:tcBorders>
                    <w:top w:val="single" w:color="000000" w:sz="4" w:space="0"/>
                    <w:left w:val="single" w:color="000000" w:sz="4" w:space="0"/>
                    <w:bottom w:val="single" w:color="000000" w:sz="4" w:space="0"/>
                    <w:right w:val="single" w:color="000000" w:sz="4" w:space="0"/>
                  </w:tcBorders>
                  <w:vAlign w:val="center"/>
                </w:tcPr>
                <w:p w14:paraId="054B655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给水</w:t>
                  </w:r>
                </w:p>
              </w:tc>
              <w:tc>
                <w:tcPr>
                  <w:tcW w:w="5400" w:type="dxa"/>
                  <w:tcBorders>
                    <w:top w:val="single" w:color="000000" w:sz="4" w:space="0"/>
                    <w:left w:val="single" w:color="000000" w:sz="4" w:space="0"/>
                    <w:bottom w:val="single" w:color="000000" w:sz="4" w:space="0"/>
                    <w:right w:val="single" w:color="000000" w:sz="4" w:space="0"/>
                  </w:tcBorders>
                  <w:vAlign w:val="center"/>
                </w:tcPr>
                <w:p w14:paraId="206672FC">
                  <w:pPr>
                    <w:pStyle w:val="43"/>
                    <w:kinsoku w:val="0"/>
                    <w:overflowPunct w:val="0"/>
                    <w:jc w:val="both"/>
                    <w:rPr>
                      <w:strike w:val="0"/>
                      <w:dstrike w:val="0"/>
                      <w:color w:val="auto"/>
                      <w:sz w:val="21"/>
                      <w:szCs w:val="21"/>
                      <w:highlight w:val="none"/>
                    </w:rPr>
                  </w:pPr>
                  <w:r>
                    <w:rPr>
                      <w:strike w:val="0"/>
                      <w:dstrike w:val="0"/>
                      <w:color w:val="auto"/>
                      <w:sz w:val="21"/>
                      <w:szCs w:val="21"/>
                      <w:highlight w:val="none"/>
                    </w:rPr>
                    <w:t>生产生活给水利用市政管网直接供水，新建站区内部供水管网。</w:t>
                  </w:r>
                </w:p>
              </w:tc>
              <w:tc>
                <w:tcPr>
                  <w:tcW w:w="656" w:type="dxa"/>
                  <w:tcBorders>
                    <w:top w:val="single" w:color="000000" w:sz="4" w:space="0"/>
                    <w:left w:val="single" w:color="000000" w:sz="4" w:space="0"/>
                    <w:bottom w:val="single" w:color="000000" w:sz="4" w:space="0"/>
                    <w:right w:val="single" w:color="000000" w:sz="4" w:space="0"/>
                  </w:tcBorders>
                  <w:vAlign w:val="center"/>
                </w:tcPr>
                <w:p w14:paraId="15123043">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新建+依托</w:t>
                  </w:r>
                </w:p>
              </w:tc>
            </w:tr>
            <w:tr w14:paraId="1EBC8456">
              <w:tblPrEx>
                <w:tblCellMar>
                  <w:top w:w="0" w:type="dxa"/>
                  <w:left w:w="108" w:type="dxa"/>
                  <w:bottom w:w="0" w:type="dxa"/>
                  <w:right w:w="108" w:type="dxa"/>
                </w:tblCellMar>
              </w:tblPrEx>
              <w:trPr>
                <w:trHeight w:val="23" w:hRule="atLeast"/>
                <w:jc w:val="center"/>
              </w:trPr>
              <w:tc>
                <w:tcPr>
                  <w:tcW w:w="765" w:type="dxa"/>
                  <w:vMerge w:val="continue"/>
                  <w:tcBorders>
                    <w:top w:val="single" w:color="000000" w:sz="4" w:space="0"/>
                    <w:left w:val="single" w:color="000000" w:sz="4" w:space="0"/>
                    <w:right w:val="single" w:color="000000" w:sz="4" w:space="0"/>
                  </w:tcBorders>
                  <w:vAlign w:val="center"/>
                </w:tcPr>
                <w:p w14:paraId="4E17E436">
                  <w:pPr>
                    <w:pStyle w:val="43"/>
                    <w:kinsoku w:val="0"/>
                    <w:overflowPunct w:val="0"/>
                    <w:jc w:val="center"/>
                    <w:rPr>
                      <w:strike w:val="0"/>
                      <w:dstrike w:val="0"/>
                      <w:color w:val="auto"/>
                      <w:sz w:val="21"/>
                      <w:szCs w:val="21"/>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35AF898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排水</w:t>
                  </w:r>
                </w:p>
              </w:tc>
              <w:tc>
                <w:tcPr>
                  <w:tcW w:w="5400" w:type="dxa"/>
                  <w:tcBorders>
                    <w:top w:val="single" w:color="000000" w:sz="4" w:space="0"/>
                    <w:left w:val="single" w:color="000000" w:sz="4" w:space="0"/>
                    <w:bottom w:val="single" w:color="000000" w:sz="4" w:space="0"/>
                    <w:right w:val="single" w:color="000000" w:sz="4" w:space="0"/>
                  </w:tcBorders>
                  <w:vAlign w:val="center"/>
                </w:tcPr>
                <w:p w14:paraId="55FD1D72">
                  <w:pPr>
                    <w:rPr>
                      <w:rFonts w:ascii="Times New Roman" w:hAnsi="Times New Roman" w:cs="Times New Roman"/>
                      <w:bCs/>
                      <w:strike w:val="0"/>
                      <w:dstrike w:val="0"/>
                      <w:color w:val="auto"/>
                      <w:szCs w:val="21"/>
                      <w:highlight w:val="none"/>
                    </w:rPr>
                  </w:pPr>
                  <w:r>
                    <w:rPr>
                      <w:rFonts w:ascii="Times New Roman" w:hAnsi="Times New Roman" w:cs="Times New Roman"/>
                      <w:bCs/>
                      <w:strike w:val="0"/>
                      <w:dstrike w:val="0"/>
                      <w:color w:val="auto"/>
                      <w:szCs w:val="21"/>
                      <w:highlight w:val="none"/>
                    </w:rPr>
                    <w:t>厂区外部雨水及排水均依托市政现有设施；新建站区内部排水管网。</w:t>
                  </w:r>
                </w:p>
                <w:p w14:paraId="42174671">
                  <w:pPr>
                    <w:rPr>
                      <w:rFonts w:ascii="Times New Roman" w:hAnsi="Times New Roman" w:cs="Times New Roman"/>
                      <w:bCs/>
                      <w:strike w:val="0"/>
                      <w:dstrike w:val="0"/>
                      <w:color w:val="auto"/>
                      <w:szCs w:val="21"/>
                      <w:highlight w:val="none"/>
                    </w:rPr>
                  </w:pPr>
                  <w:r>
                    <w:rPr>
                      <w:rFonts w:ascii="Times New Roman" w:hAnsi="Times New Roman" w:cs="Times New Roman"/>
                      <w:bCs/>
                      <w:strike w:val="0"/>
                      <w:dstrike w:val="0"/>
                      <w:color w:val="auto"/>
                      <w:szCs w:val="21"/>
                      <w:highlight w:val="none"/>
                    </w:rPr>
                    <w:t>雨污分流，所有污、废水及雨水均采用重力自流排放；</w:t>
                  </w:r>
                </w:p>
                <w:p w14:paraId="13144D67">
                  <w:pPr>
                    <w:rPr>
                      <w:rFonts w:ascii="Times New Roman" w:hAnsi="Times New Roman" w:cs="Times New Roman"/>
                      <w:bCs/>
                      <w:strike w:val="0"/>
                      <w:dstrike w:val="0"/>
                      <w:color w:val="auto"/>
                      <w:szCs w:val="21"/>
                      <w:highlight w:val="none"/>
                    </w:rPr>
                  </w:pPr>
                  <w:r>
                    <w:rPr>
                      <w:rFonts w:ascii="Times New Roman" w:hAnsi="Times New Roman" w:cs="Times New Roman"/>
                      <w:bCs/>
                      <w:strike w:val="0"/>
                      <w:dstrike w:val="0"/>
                      <w:color w:val="auto"/>
                      <w:szCs w:val="21"/>
                      <w:highlight w:val="none"/>
                    </w:rPr>
                    <w:t>站内雨水进入站内雨水管网，然后排入市政雨水管网；</w:t>
                  </w:r>
                </w:p>
                <w:p w14:paraId="7AE1A896">
                  <w:pPr>
                    <w:rPr>
                      <w:rFonts w:ascii="Times New Roman" w:hAnsi="Times New Roman" w:cs="Times New Roman"/>
                      <w:bCs/>
                      <w:strike w:val="0"/>
                      <w:dstrike w:val="0"/>
                      <w:color w:val="auto"/>
                      <w:szCs w:val="21"/>
                      <w:highlight w:val="none"/>
                    </w:rPr>
                  </w:pPr>
                  <w:r>
                    <w:rPr>
                      <w:rFonts w:hint="eastAsia" w:ascii="Times New Roman" w:hAnsi="Times New Roman" w:cs="Times New Roman"/>
                      <w:bCs/>
                      <w:strike w:val="0"/>
                      <w:dstrike w:val="0"/>
                      <w:color w:val="auto"/>
                      <w:szCs w:val="21"/>
                      <w:highlight w:val="none"/>
                    </w:rPr>
                    <w:t>项目在雨水井（</w:t>
                  </w:r>
                  <w:r>
                    <w:rPr>
                      <w:rFonts w:hint="eastAsia" w:cs="Times New Roman"/>
                      <w:bCs/>
                      <w:strike w:val="0"/>
                      <w:dstrike w:val="0"/>
                      <w:color w:val="auto"/>
                      <w:szCs w:val="21"/>
                      <w:highlight w:val="none"/>
                      <w:lang w:eastAsia="zh-CN"/>
                    </w:rPr>
                    <w:t>Y1、Y2</w:t>
                  </w:r>
                  <w:r>
                    <w:rPr>
                      <w:rFonts w:hint="eastAsia" w:ascii="Times New Roman" w:hAnsi="Times New Roman" w:cs="Times New Roman"/>
                      <w:bCs/>
                      <w:strike w:val="0"/>
                      <w:dstrike w:val="0"/>
                      <w:color w:val="auto"/>
                      <w:szCs w:val="21"/>
                      <w:highlight w:val="none"/>
                    </w:rPr>
                    <w:t>）设置有切换阀，雨水井（Y1）一端连接至隔油池，正常情况下关闭，</w:t>
                  </w:r>
                  <w:r>
                    <w:rPr>
                      <w:rFonts w:hint="eastAsia" w:cs="Times New Roman"/>
                      <w:bCs/>
                      <w:strike w:val="0"/>
                      <w:dstrike w:val="0"/>
                      <w:color w:val="auto"/>
                      <w:szCs w:val="21"/>
                      <w:highlight w:val="none"/>
                      <w:lang w:eastAsia="zh-CN"/>
                    </w:rPr>
                    <w:t>遇事故状态时</w:t>
                  </w:r>
                  <w:r>
                    <w:rPr>
                      <w:rFonts w:hint="eastAsia" w:ascii="Times New Roman" w:hAnsi="Times New Roman" w:cs="Times New Roman"/>
                      <w:bCs/>
                      <w:strike w:val="0"/>
                      <w:dstrike w:val="0"/>
                      <w:color w:val="auto"/>
                      <w:szCs w:val="21"/>
                      <w:highlight w:val="none"/>
                    </w:rPr>
                    <w:t>将切换阀转换至隔油池，事故废水经隔油池预处理后排入市政污水管网。</w:t>
                  </w:r>
                </w:p>
                <w:p w14:paraId="5F2F6893">
                  <w:pPr>
                    <w:rPr>
                      <w:rFonts w:ascii="Times New Roman" w:hAnsi="Times New Roman" w:cs="Times New Roman"/>
                      <w:bCs/>
                      <w:strike w:val="0"/>
                      <w:dstrike w:val="0"/>
                      <w:color w:val="auto"/>
                      <w:szCs w:val="21"/>
                      <w:highlight w:val="none"/>
                    </w:rPr>
                  </w:pPr>
                  <w:r>
                    <w:rPr>
                      <w:rFonts w:ascii="Times New Roman" w:hAnsi="Times New Roman" w:cs="Times New Roman"/>
                      <w:bCs/>
                      <w:strike w:val="0"/>
                      <w:dstrike w:val="0"/>
                      <w:color w:val="auto"/>
                      <w:szCs w:val="21"/>
                      <w:highlight w:val="none"/>
                    </w:rPr>
                    <w:t>生活污水经生化池处理后排入市政污水管网</w:t>
                  </w:r>
                  <w:r>
                    <w:rPr>
                      <w:rFonts w:hint="eastAsia" w:ascii="Times New Roman" w:hAnsi="Times New Roman" w:cs="Times New Roman"/>
                      <w:bCs/>
                      <w:strike w:val="0"/>
                      <w:dstrike w:val="0"/>
                      <w:color w:val="auto"/>
                      <w:szCs w:val="21"/>
                      <w:highlight w:val="none"/>
                    </w:rPr>
                    <w:t>，</w:t>
                  </w:r>
                  <w:r>
                    <w:rPr>
                      <w:rFonts w:ascii="Times New Roman" w:hAnsi="Times New Roman" w:cs="Times New Roman"/>
                      <w:bCs/>
                      <w:strike w:val="0"/>
                      <w:dstrike w:val="0"/>
                      <w:color w:val="auto"/>
                      <w:szCs w:val="21"/>
                      <w:highlight w:val="none"/>
                    </w:rPr>
                    <w:t>排入</w:t>
                  </w:r>
                  <w:r>
                    <w:rPr>
                      <w:rFonts w:hint="eastAsia" w:cs="Times New Roman"/>
                      <w:bCs/>
                      <w:strike w:val="0"/>
                      <w:dstrike w:val="0"/>
                      <w:color w:val="auto"/>
                      <w:szCs w:val="21"/>
                      <w:highlight w:val="none"/>
                      <w:lang w:eastAsia="zh-CN"/>
                    </w:rPr>
                    <w:t>微车基地污水处理厂</w:t>
                  </w:r>
                  <w:r>
                    <w:rPr>
                      <w:rFonts w:ascii="Times New Roman" w:hAnsi="Times New Roman" w:cs="Times New Roman"/>
                      <w:bCs/>
                      <w:strike w:val="0"/>
                      <w:dstrike w:val="0"/>
                      <w:color w:val="auto"/>
                      <w:szCs w:val="21"/>
                      <w:highlight w:val="none"/>
                    </w:rPr>
                    <w:t>处理达《城镇污水处理厂污染物排放标准》(GB18918-2002)一级A标后排入柏水溪，最终汇入嘉陵江。</w:t>
                  </w:r>
                </w:p>
              </w:tc>
              <w:tc>
                <w:tcPr>
                  <w:tcW w:w="656" w:type="dxa"/>
                  <w:tcBorders>
                    <w:top w:val="single" w:color="000000" w:sz="4" w:space="0"/>
                    <w:left w:val="single" w:color="000000" w:sz="4" w:space="0"/>
                    <w:bottom w:val="single" w:color="000000" w:sz="4" w:space="0"/>
                    <w:right w:val="single" w:color="000000" w:sz="4" w:space="0"/>
                  </w:tcBorders>
                  <w:vAlign w:val="center"/>
                </w:tcPr>
                <w:p w14:paraId="139E705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新建+依托</w:t>
                  </w:r>
                </w:p>
              </w:tc>
            </w:tr>
            <w:tr w14:paraId="49D61CA8">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right w:val="single" w:color="000000" w:sz="4" w:space="0"/>
                  </w:tcBorders>
                  <w:vAlign w:val="center"/>
                </w:tcPr>
                <w:p w14:paraId="1D398184">
                  <w:pPr>
                    <w:pStyle w:val="43"/>
                    <w:kinsoku w:val="0"/>
                    <w:overflowPunct w:val="0"/>
                    <w:jc w:val="center"/>
                    <w:rPr>
                      <w:strike w:val="0"/>
                      <w:dstrike w:val="0"/>
                      <w:color w:val="auto"/>
                      <w:sz w:val="21"/>
                      <w:szCs w:val="21"/>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1BF89171">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供电</w:t>
                  </w:r>
                </w:p>
              </w:tc>
              <w:tc>
                <w:tcPr>
                  <w:tcW w:w="5400" w:type="dxa"/>
                  <w:tcBorders>
                    <w:top w:val="single" w:color="000000" w:sz="4" w:space="0"/>
                    <w:left w:val="single" w:color="000000" w:sz="4" w:space="0"/>
                    <w:bottom w:val="single" w:color="000000" w:sz="4" w:space="0"/>
                    <w:right w:val="single" w:color="000000" w:sz="4" w:space="0"/>
                  </w:tcBorders>
                  <w:vAlign w:val="center"/>
                </w:tcPr>
                <w:p w14:paraId="2403A3BD">
                  <w:pPr>
                    <w:rPr>
                      <w:rFonts w:ascii="Times New Roman" w:hAnsi="Times New Roman" w:cs="Times New Roman"/>
                      <w:bCs/>
                      <w:strike w:val="0"/>
                      <w:dstrike w:val="0"/>
                      <w:color w:val="auto"/>
                      <w:szCs w:val="21"/>
                      <w:highlight w:val="none"/>
                    </w:rPr>
                  </w:pPr>
                  <w:r>
                    <w:rPr>
                      <w:rFonts w:ascii="Times New Roman" w:hAnsi="Times New Roman" w:cs="Times New Roman"/>
                      <w:bCs/>
                      <w:strike w:val="0"/>
                      <w:dstrike w:val="0"/>
                      <w:color w:val="auto"/>
                      <w:szCs w:val="21"/>
                      <w:highlight w:val="none"/>
                    </w:rPr>
                    <w:t>站内供电电源由10kV 市政电网“T</w:t>
                  </w:r>
                  <w:r>
                    <w:rPr>
                      <w:rFonts w:hint="eastAsia" w:ascii="Times New Roman" w:hAnsi="Times New Roman" w:cs="Times New Roman"/>
                      <w:bCs/>
                      <w:strike w:val="0"/>
                      <w:dstrike w:val="0"/>
                      <w:color w:val="auto"/>
                      <w:szCs w:val="21"/>
                      <w:highlight w:val="none"/>
                    </w:rPr>
                    <w:t>”</w:t>
                  </w:r>
                  <w:r>
                    <w:rPr>
                      <w:rFonts w:ascii="Times New Roman" w:hAnsi="Times New Roman" w:cs="Times New Roman"/>
                      <w:bCs/>
                      <w:strike w:val="0"/>
                      <w:dstrike w:val="0"/>
                      <w:color w:val="auto"/>
                      <w:szCs w:val="21"/>
                      <w:highlight w:val="none"/>
                    </w:rPr>
                    <w:t>接后直埋引入站内箱变高压进线柜，经变压器降压后，通过低压配电柜出线端向站内生产、生活等用电设备供电</w:t>
                  </w:r>
                  <w:r>
                    <w:rPr>
                      <w:rFonts w:hint="eastAsia" w:ascii="Times New Roman" w:hAnsi="Times New Roman" w:cs="Times New Roman"/>
                      <w:bCs/>
                      <w:strike w:val="0"/>
                      <w:dstrike w:val="0"/>
                      <w:color w:val="auto"/>
                      <w:szCs w:val="21"/>
                      <w:highlight w:val="none"/>
                    </w:rPr>
                    <w:t>，配电电压为380V。配电系统接地形式采用TN-S系统，总配电柜内引出的配电线路PE线与N线分开设置；采用放射式供电方式。信息系统配备UPS不间断供电电源。</w:t>
                  </w:r>
                </w:p>
              </w:tc>
              <w:tc>
                <w:tcPr>
                  <w:tcW w:w="656" w:type="dxa"/>
                  <w:tcBorders>
                    <w:top w:val="single" w:color="000000" w:sz="4" w:space="0"/>
                    <w:left w:val="single" w:color="000000" w:sz="4" w:space="0"/>
                    <w:bottom w:val="single" w:color="000000" w:sz="4" w:space="0"/>
                    <w:right w:val="single" w:color="000000" w:sz="4" w:space="0"/>
                  </w:tcBorders>
                  <w:vAlign w:val="center"/>
                </w:tcPr>
                <w:p w14:paraId="2016D4F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新建+依托</w:t>
                  </w:r>
                </w:p>
              </w:tc>
            </w:tr>
            <w:tr w14:paraId="2131E76A">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right w:val="single" w:color="000000" w:sz="4" w:space="0"/>
                  </w:tcBorders>
                  <w:vAlign w:val="center"/>
                </w:tcPr>
                <w:p w14:paraId="563B2CF0">
                  <w:pPr>
                    <w:pStyle w:val="10"/>
                    <w:spacing w:before="0" w:after="0" w:line="240" w:lineRule="auto"/>
                    <w:ind w:right="0"/>
                    <w:jc w:val="center"/>
                    <w:rPr>
                      <w:strike w:val="0"/>
                      <w:dstrike w:val="0"/>
                      <w:color w:val="auto"/>
                      <w:sz w:val="21"/>
                      <w:szCs w:val="21"/>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6944F992">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消防</w:t>
                  </w:r>
                </w:p>
              </w:tc>
              <w:tc>
                <w:tcPr>
                  <w:tcW w:w="5400" w:type="dxa"/>
                  <w:tcBorders>
                    <w:top w:val="single" w:color="000000" w:sz="4" w:space="0"/>
                    <w:left w:val="single" w:color="000000" w:sz="4" w:space="0"/>
                    <w:bottom w:val="single" w:color="000000" w:sz="4" w:space="0"/>
                    <w:right w:val="single" w:color="000000" w:sz="4" w:space="0"/>
                  </w:tcBorders>
                  <w:vAlign w:val="center"/>
                </w:tcPr>
                <w:p w14:paraId="70F105C8">
                  <w:pPr>
                    <w:jc w:val="left"/>
                    <w:rPr>
                      <w:strike w:val="0"/>
                      <w:dstrike w:val="0"/>
                      <w:color w:val="auto"/>
                      <w:szCs w:val="21"/>
                      <w:highlight w:val="none"/>
                    </w:rPr>
                  </w:pPr>
                  <w:r>
                    <w:rPr>
                      <w:strike w:val="0"/>
                      <w:dstrike w:val="0"/>
                      <w:color w:val="auto"/>
                      <w:szCs w:val="21"/>
                      <w:highlight w:val="none"/>
                    </w:rPr>
                    <w:t>站内设置2具35kg推车式干粉灭火器、</w:t>
                  </w:r>
                  <w:r>
                    <w:rPr>
                      <w:rFonts w:hint="eastAsia"/>
                      <w:strike w:val="0"/>
                      <w:dstrike w:val="0"/>
                      <w:color w:val="auto"/>
                      <w:szCs w:val="21"/>
                      <w:highlight w:val="none"/>
                      <w:lang w:val="en-US" w:eastAsia="zh-CN"/>
                    </w:rPr>
                    <w:t>36</w:t>
                  </w:r>
                  <w:r>
                    <w:rPr>
                      <w:strike w:val="0"/>
                      <w:dstrike w:val="0"/>
                      <w:color w:val="auto"/>
                      <w:szCs w:val="21"/>
                      <w:highlight w:val="none"/>
                    </w:rPr>
                    <w:t>具手提式干粉灭火器、5块灭火毯、1个2m</w:t>
                  </w:r>
                  <w:r>
                    <w:rPr>
                      <w:strike w:val="0"/>
                      <w:dstrike w:val="0"/>
                      <w:color w:val="auto"/>
                      <w:szCs w:val="21"/>
                      <w:highlight w:val="none"/>
                      <w:vertAlign w:val="superscript"/>
                    </w:rPr>
                    <w:t>3</w:t>
                  </w:r>
                  <w:r>
                    <w:rPr>
                      <w:strike w:val="0"/>
                      <w:dstrike w:val="0"/>
                      <w:color w:val="auto"/>
                      <w:szCs w:val="21"/>
                      <w:highlight w:val="none"/>
                    </w:rPr>
                    <w:t>消防沙箱，配消防锹2把、消防桶2个。</w:t>
                  </w:r>
                </w:p>
              </w:tc>
              <w:tc>
                <w:tcPr>
                  <w:tcW w:w="656" w:type="dxa"/>
                  <w:tcBorders>
                    <w:top w:val="single" w:color="000000" w:sz="4" w:space="0"/>
                    <w:left w:val="single" w:color="000000" w:sz="4" w:space="0"/>
                    <w:bottom w:val="single" w:color="000000" w:sz="4" w:space="0"/>
                    <w:right w:val="single" w:color="000000" w:sz="4" w:space="0"/>
                  </w:tcBorders>
                  <w:vAlign w:val="center"/>
                </w:tcPr>
                <w:p w14:paraId="71C871D5">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新建</w:t>
                  </w:r>
                </w:p>
              </w:tc>
            </w:tr>
            <w:tr w14:paraId="3BB3F4C0">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right w:val="single" w:color="000000" w:sz="4" w:space="0"/>
                  </w:tcBorders>
                  <w:vAlign w:val="center"/>
                </w:tcPr>
                <w:p w14:paraId="35B3C384">
                  <w:pPr>
                    <w:pStyle w:val="43"/>
                    <w:kinsoku w:val="0"/>
                    <w:overflowPunct w:val="0"/>
                    <w:jc w:val="center"/>
                    <w:rPr>
                      <w:strike w:val="0"/>
                      <w:dstrike w:val="0"/>
                      <w:color w:val="auto"/>
                      <w:sz w:val="21"/>
                      <w:szCs w:val="21"/>
                      <w:highlight w:val="none"/>
                    </w:rPr>
                  </w:pPr>
                  <w:bookmarkStart w:id="15" w:name="OLE_LINK13" w:colFirst="1" w:colLast="2"/>
                </w:p>
              </w:tc>
              <w:tc>
                <w:tcPr>
                  <w:tcW w:w="956" w:type="dxa"/>
                  <w:tcBorders>
                    <w:top w:val="single" w:color="000000" w:sz="4" w:space="0"/>
                    <w:left w:val="single" w:color="000000" w:sz="4" w:space="0"/>
                    <w:bottom w:val="single" w:color="000000" w:sz="4" w:space="0"/>
                    <w:right w:val="single" w:color="000000" w:sz="4" w:space="0"/>
                  </w:tcBorders>
                  <w:vAlign w:val="center"/>
                </w:tcPr>
                <w:p w14:paraId="0FE4933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防雷</w:t>
                  </w:r>
                </w:p>
              </w:tc>
              <w:tc>
                <w:tcPr>
                  <w:tcW w:w="5400" w:type="dxa"/>
                  <w:tcBorders>
                    <w:top w:val="single" w:color="000000" w:sz="4" w:space="0"/>
                    <w:left w:val="single" w:color="000000" w:sz="4" w:space="0"/>
                    <w:bottom w:val="single" w:color="000000" w:sz="4" w:space="0"/>
                    <w:right w:val="single" w:color="000000" w:sz="4" w:space="0"/>
                  </w:tcBorders>
                  <w:vAlign w:val="center"/>
                </w:tcPr>
                <w:p w14:paraId="6F10DE2A">
                  <w:pPr>
                    <w:pStyle w:val="43"/>
                    <w:kinsoku w:val="0"/>
                    <w:overflowPunct w:val="0"/>
                    <w:rPr>
                      <w:strike w:val="0"/>
                      <w:dstrike w:val="0"/>
                      <w:color w:val="auto"/>
                      <w:sz w:val="21"/>
                      <w:szCs w:val="21"/>
                      <w:highlight w:val="none"/>
                    </w:rPr>
                  </w:pPr>
                  <w:r>
                    <w:rPr>
                      <w:rFonts w:hint="eastAsia"/>
                      <w:strike w:val="0"/>
                      <w:dstrike w:val="0"/>
                      <w:color w:val="auto"/>
                      <w:sz w:val="21"/>
                      <w:szCs w:val="21"/>
                      <w:highlight w:val="none"/>
                      <w:lang w:eastAsia="zh-CN"/>
                    </w:rPr>
                    <w:t>按二类防雷构筑物设防雷保护措施</w:t>
                  </w:r>
                  <w:r>
                    <w:rPr>
                      <w:strike w:val="0"/>
                      <w:dstrike w:val="0"/>
                      <w:color w:val="auto"/>
                      <w:sz w:val="21"/>
                      <w:szCs w:val="21"/>
                      <w:highlight w:val="none"/>
                    </w:rPr>
                    <w:t>。</w:t>
                  </w:r>
                </w:p>
              </w:tc>
              <w:tc>
                <w:tcPr>
                  <w:tcW w:w="656" w:type="dxa"/>
                  <w:tcBorders>
                    <w:top w:val="single" w:color="000000" w:sz="4" w:space="0"/>
                    <w:left w:val="single" w:color="000000" w:sz="4" w:space="0"/>
                    <w:bottom w:val="single" w:color="000000" w:sz="4" w:space="0"/>
                    <w:right w:val="single" w:color="000000" w:sz="4" w:space="0"/>
                  </w:tcBorders>
                  <w:vAlign w:val="center"/>
                </w:tcPr>
                <w:p w14:paraId="3D3A9ABD">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新建</w:t>
                  </w:r>
                </w:p>
              </w:tc>
            </w:tr>
            <w:bookmarkEnd w:id="15"/>
            <w:tr w14:paraId="62B50682">
              <w:tblPrEx>
                <w:tblCellMar>
                  <w:top w:w="0" w:type="dxa"/>
                  <w:left w:w="108" w:type="dxa"/>
                  <w:bottom w:w="0" w:type="dxa"/>
                  <w:right w:w="108" w:type="dxa"/>
                </w:tblCellMar>
              </w:tblPrEx>
              <w:trPr>
                <w:trHeight w:val="23" w:hRule="atLeast"/>
                <w:jc w:val="center"/>
              </w:trPr>
              <w:tc>
                <w:tcPr>
                  <w:tcW w:w="765" w:type="dxa"/>
                  <w:vMerge w:val="restart"/>
                  <w:tcBorders>
                    <w:top w:val="single" w:color="000000" w:sz="4" w:space="0"/>
                    <w:left w:val="single" w:color="000000" w:sz="4" w:space="0"/>
                    <w:right w:val="single" w:color="000000" w:sz="4" w:space="0"/>
                  </w:tcBorders>
                  <w:vAlign w:val="center"/>
                </w:tcPr>
                <w:p w14:paraId="6B32DE0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环保工程</w:t>
                  </w:r>
                </w:p>
              </w:tc>
              <w:tc>
                <w:tcPr>
                  <w:tcW w:w="956" w:type="dxa"/>
                  <w:tcBorders>
                    <w:top w:val="single" w:color="000000" w:sz="4" w:space="0"/>
                    <w:left w:val="single" w:color="000000" w:sz="4" w:space="0"/>
                    <w:right w:val="single" w:color="000000" w:sz="4" w:space="0"/>
                  </w:tcBorders>
                  <w:vAlign w:val="center"/>
                </w:tcPr>
                <w:p w14:paraId="288D179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废气治理工程</w:t>
                  </w:r>
                </w:p>
              </w:tc>
              <w:tc>
                <w:tcPr>
                  <w:tcW w:w="5400" w:type="dxa"/>
                  <w:tcBorders>
                    <w:top w:val="single" w:color="000000" w:sz="4" w:space="0"/>
                    <w:left w:val="single" w:color="000000" w:sz="4" w:space="0"/>
                    <w:bottom w:val="single" w:color="000000" w:sz="4" w:space="0"/>
                    <w:right w:val="single" w:color="000000" w:sz="4" w:space="0"/>
                  </w:tcBorders>
                  <w:vAlign w:val="center"/>
                </w:tcPr>
                <w:p w14:paraId="6B3E7AD4">
                  <w:pPr>
                    <w:jc w:val="left"/>
                    <w:rPr>
                      <w:rFonts w:ascii="Times New Roman" w:hAnsi="Times New Roman" w:cs="Times New Roman"/>
                      <w:strike w:val="0"/>
                      <w:dstrike w:val="0"/>
                      <w:color w:val="auto"/>
                      <w:szCs w:val="21"/>
                      <w:highlight w:val="none"/>
                    </w:rPr>
                  </w:pPr>
                  <w:bookmarkStart w:id="16" w:name="OLE_LINK15"/>
                  <w:bookmarkStart w:id="17" w:name="OLE_LINK16"/>
                  <w:r>
                    <w:rPr>
                      <w:strike w:val="0"/>
                      <w:dstrike w:val="0"/>
                      <w:color w:val="auto"/>
                      <w:szCs w:val="21"/>
                      <w:highlight w:val="none"/>
                    </w:rPr>
                    <w:t>油气回收</w:t>
                  </w:r>
                  <w:r>
                    <w:rPr>
                      <w:rFonts w:ascii="Times New Roman" w:hAnsi="Times New Roman" w:cs="Times New Roman"/>
                      <w:strike w:val="0"/>
                      <w:dstrike w:val="0"/>
                      <w:color w:val="auto"/>
                      <w:szCs w:val="21"/>
                      <w:highlight w:val="none"/>
                    </w:rPr>
                    <w:t>系统</w:t>
                  </w:r>
                  <w:bookmarkEnd w:id="16"/>
                  <w:r>
                    <w:rPr>
                      <w:rFonts w:ascii="Times New Roman" w:hAnsi="Times New Roman" w:cs="Times New Roman"/>
                      <w:strike w:val="0"/>
                      <w:dstrike w:val="0"/>
                      <w:color w:val="auto"/>
                      <w:szCs w:val="21"/>
                      <w:highlight w:val="none"/>
                    </w:rPr>
                    <w:t>：</w:t>
                  </w:r>
                  <w:bookmarkEnd w:id="17"/>
                  <w:r>
                    <w:rPr>
                      <w:rFonts w:hint="eastAsia" w:ascii="Times New Roman" w:hAnsi="Times New Roman" w:cs="Times New Roman"/>
                      <w:strike w:val="0"/>
                      <w:dstrike w:val="0"/>
                      <w:color w:val="auto"/>
                      <w:szCs w:val="21"/>
                      <w:highlight w:val="none"/>
                      <w:lang w:val="en-US" w:eastAsia="zh-CN"/>
                    </w:rPr>
                    <w:t>设卸油油气回收系统、加油油气回收系统</w:t>
                  </w:r>
                  <w:r>
                    <w:rPr>
                      <w:rFonts w:ascii="Times New Roman" w:hAnsi="Times New Roman" w:cs="Times New Roman"/>
                      <w:strike w:val="0"/>
                      <w:dstrike w:val="0"/>
                      <w:color w:val="auto"/>
                      <w:szCs w:val="21"/>
                      <w:highlight w:val="none"/>
                    </w:rPr>
                    <w:t>。</w:t>
                  </w:r>
                </w:p>
                <w:p w14:paraId="76A99885">
                  <w:pPr>
                    <w:jc w:val="left"/>
                    <w:rPr>
                      <w:rFonts w:ascii="Times New Roman" w:hAnsi="Times New Roman" w:cs="Times New Roman"/>
                      <w:strike w:val="0"/>
                      <w:dstrike w:val="0"/>
                      <w:color w:val="auto"/>
                      <w:szCs w:val="21"/>
                      <w:highlight w:val="none"/>
                    </w:rPr>
                  </w:pPr>
                  <w:r>
                    <w:rPr>
                      <w:rFonts w:ascii="Times New Roman" w:hAnsi="Times New Roman" w:cs="Times New Roman"/>
                      <w:strike w:val="0"/>
                      <w:dstrike w:val="0"/>
                      <w:color w:val="auto"/>
                      <w:szCs w:val="21"/>
                      <w:highlight w:val="none"/>
                    </w:rPr>
                    <w:t>通气立管：油罐</w:t>
                  </w:r>
                  <w:r>
                    <w:rPr>
                      <w:rFonts w:hint="eastAsia" w:ascii="Times New Roman" w:hAnsi="Times New Roman" w:cs="Times New Roman"/>
                      <w:strike w:val="0"/>
                      <w:dstrike w:val="0"/>
                      <w:color w:val="auto"/>
                      <w:szCs w:val="21"/>
                      <w:highlight w:val="none"/>
                      <w:lang w:val="en-US" w:eastAsia="zh-CN"/>
                    </w:rPr>
                    <w:t>卸油</w:t>
                  </w:r>
                  <w:r>
                    <w:rPr>
                      <w:rFonts w:ascii="Times New Roman" w:hAnsi="Times New Roman" w:cs="Times New Roman"/>
                      <w:strike w:val="0"/>
                      <w:dstrike w:val="0"/>
                      <w:color w:val="auto"/>
                      <w:szCs w:val="21"/>
                      <w:highlight w:val="none"/>
                    </w:rPr>
                    <w:t>区</w:t>
                  </w:r>
                  <w:r>
                    <w:rPr>
                      <w:rFonts w:hint="eastAsia" w:ascii="Times New Roman" w:hAnsi="Times New Roman" w:cs="Times New Roman"/>
                      <w:strike w:val="0"/>
                      <w:dstrike w:val="0"/>
                      <w:color w:val="auto"/>
                      <w:szCs w:val="21"/>
                      <w:highlight w:val="none"/>
                    </w:rPr>
                    <w:t>设置2根汽油通气管和2根柴油通气管，其中3根通气管带阻火器，其中1根汽油通气管上设1只呼吸阀（具有阻火功能）</w:t>
                  </w:r>
                  <w:r>
                    <w:rPr>
                      <w:rFonts w:ascii="Times New Roman" w:hAnsi="Times New Roman" w:cs="Times New Roman"/>
                      <w:strike w:val="0"/>
                      <w:dstrike w:val="0"/>
                      <w:color w:val="auto"/>
                      <w:szCs w:val="21"/>
                      <w:highlight w:val="none"/>
                    </w:rPr>
                    <w:t>，通气立管向上引出。</w:t>
                  </w:r>
                </w:p>
                <w:p w14:paraId="5BDCA85D">
                  <w:pPr>
                    <w:jc w:val="left"/>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放散管：LNG储罐区设置一根5m高的放散管。</w:t>
                  </w:r>
                </w:p>
                <w:p w14:paraId="60D561FB">
                  <w:pPr>
                    <w:jc w:val="left"/>
                    <w:rPr>
                      <w:strike w:val="0"/>
                      <w:dstrike w:val="0"/>
                      <w:color w:val="auto"/>
                      <w:szCs w:val="21"/>
                      <w:highlight w:val="none"/>
                    </w:rPr>
                  </w:pPr>
                  <w:r>
                    <w:rPr>
                      <w:strike w:val="0"/>
                      <w:dstrike w:val="0"/>
                      <w:color w:val="auto"/>
                      <w:szCs w:val="21"/>
                      <w:highlight w:val="none"/>
                    </w:rPr>
                    <w:t>生化池臭气经专用管道排放。</w:t>
                  </w:r>
                </w:p>
              </w:tc>
              <w:tc>
                <w:tcPr>
                  <w:tcW w:w="656" w:type="dxa"/>
                  <w:tcBorders>
                    <w:top w:val="single" w:color="000000" w:sz="4" w:space="0"/>
                    <w:left w:val="single" w:color="000000" w:sz="4" w:space="0"/>
                    <w:right w:val="single" w:color="000000" w:sz="4" w:space="0"/>
                  </w:tcBorders>
                  <w:vAlign w:val="center"/>
                </w:tcPr>
                <w:p w14:paraId="56E20A9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新建</w:t>
                  </w:r>
                </w:p>
              </w:tc>
            </w:tr>
            <w:tr w14:paraId="7D40E969">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right w:val="single" w:color="000000" w:sz="4" w:space="0"/>
                  </w:tcBorders>
                  <w:vAlign w:val="center"/>
                </w:tcPr>
                <w:p w14:paraId="0135B295">
                  <w:pPr>
                    <w:pStyle w:val="46"/>
                    <w:kinsoku w:val="0"/>
                    <w:overflowPunct w:val="0"/>
                    <w:jc w:val="center"/>
                    <w:rPr>
                      <w:strike w:val="0"/>
                      <w:dstrike w:val="0"/>
                      <w:color w:val="auto"/>
                      <w:sz w:val="21"/>
                      <w:szCs w:val="21"/>
                      <w:highlight w:val="none"/>
                    </w:rPr>
                  </w:pPr>
                </w:p>
              </w:tc>
              <w:tc>
                <w:tcPr>
                  <w:tcW w:w="956" w:type="dxa"/>
                  <w:tcBorders>
                    <w:top w:val="single" w:color="000000" w:sz="4" w:space="0"/>
                    <w:left w:val="single" w:color="000000" w:sz="4" w:space="0"/>
                    <w:bottom w:val="single" w:color="000000" w:sz="4" w:space="0"/>
                    <w:right w:val="single" w:color="000000" w:sz="4" w:space="0"/>
                  </w:tcBorders>
                  <w:vAlign w:val="center"/>
                </w:tcPr>
                <w:p w14:paraId="17AD7B6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废水治理工程</w:t>
                  </w:r>
                </w:p>
              </w:tc>
              <w:tc>
                <w:tcPr>
                  <w:tcW w:w="5400" w:type="dxa"/>
                  <w:tcBorders>
                    <w:top w:val="single" w:color="000000" w:sz="4" w:space="0"/>
                    <w:left w:val="single" w:color="000000" w:sz="4" w:space="0"/>
                    <w:bottom w:val="single" w:color="000000" w:sz="4" w:space="0"/>
                    <w:right w:val="single" w:color="000000" w:sz="4" w:space="0"/>
                  </w:tcBorders>
                  <w:vAlign w:val="center"/>
                </w:tcPr>
                <w:p w14:paraId="74DB1A34">
                  <w:pPr>
                    <w:jc w:val="left"/>
                    <w:rPr>
                      <w:strike w:val="0"/>
                      <w:dstrike w:val="0"/>
                      <w:color w:val="auto"/>
                      <w:szCs w:val="21"/>
                      <w:highlight w:val="none"/>
                    </w:rPr>
                  </w:pPr>
                  <w:r>
                    <w:rPr>
                      <w:strike w:val="0"/>
                      <w:dstrike w:val="0"/>
                      <w:color w:val="auto"/>
                      <w:szCs w:val="21"/>
                      <w:highlight w:val="none"/>
                    </w:rPr>
                    <w:t>三段式隔油池：位于</w:t>
                  </w:r>
                  <w:r>
                    <w:rPr>
                      <w:rFonts w:hint="eastAsia"/>
                      <w:strike w:val="0"/>
                      <w:dstrike w:val="0"/>
                      <w:color w:val="auto"/>
                      <w:szCs w:val="21"/>
                      <w:highlight w:val="none"/>
                    </w:rPr>
                    <w:t>站场北侧</w:t>
                  </w:r>
                  <w:r>
                    <w:rPr>
                      <w:strike w:val="0"/>
                      <w:dstrike w:val="0"/>
                      <w:color w:val="auto"/>
                      <w:szCs w:val="21"/>
                      <w:highlight w:val="none"/>
                    </w:rPr>
                    <w:t>，为三段式隔油池，</w:t>
                  </w:r>
                  <w:r>
                    <w:rPr>
                      <w:bCs/>
                      <w:strike w:val="0"/>
                      <w:dstrike w:val="0"/>
                      <w:color w:val="auto"/>
                      <w:szCs w:val="21"/>
                      <w:highlight w:val="none"/>
                    </w:rPr>
                    <w:t>采用“隔油沉淀</w:t>
                  </w:r>
                  <w:r>
                    <w:rPr>
                      <w:rFonts w:hint="eastAsia"/>
                      <w:strike w:val="0"/>
                      <w:dstrike w:val="0"/>
                      <w:color w:val="auto"/>
                      <w:kern w:val="0"/>
                      <w:szCs w:val="21"/>
                      <w:highlight w:val="none"/>
                    </w:rPr>
                    <w:t>”</w:t>
                  </w:r>
                  <w:r>
                    <w:rPr>
                      <w:strike w:val="0"/>
                      <w:dstrike w:val="0"/>
                      <w:color w:val="auto"/>
                      <w:kern w:val="0"/>
                      <w:szCs w:val="21"/>
                      <w:highlight w:val="none"/>
                    </w:rPr>
                    <w:t>工艺，</w:t>
                  </w:r>
                  <w:bookmarkStart w:id="18" w:name="OLE_LINK19"/>
                  <w:r>
                    <w:rPr>
                      <w:rFonts w:hint="eastAsia"/>
                      <w:strike w:val="0"/>
                      <w:dstrike w:val="0"/>
                      <w:color w:val="auto"/>
                      <w:szCs w:val="21"/>
                      <w:highlight w:val="none"/>
                      <w:lang w:eastAsia="zh-CN"/>
                    </w:rPr>
                    <w:t>处理能力为6m</w:t>
                  </w:r>
                  <w:r>
                    <w:rPr>
                      <w:strike w:val="0"/>
                      <w:dstrike w:val="0"/>
                      <w:color w:val="auto"/>
                      <w:szCs w:val="21"/>
                      <w:highlight w:val="none"/>
                      <w:vertAlign w:val="superscript"/>
                    </w:rPr>
                    <w:t>3</w:t>
                  </w:r>
                  <w:bookmarkEnd w:id="18"/>
                  <w:r>
                    <w:rPr>
                      <w:strike w:val="0"/>
                      <w:dstrike w:val="0"/>
                      <w:color w:val="auto"/>
                      <w:szCs w:val="21"/>
                      <w:highlight w:val="none"/>
                    </w:rPr>
                    <w:t>/d；收集处理场地冲洗废水和初期雨水；</w:t>
                  </w:r>
                </w:p>
                <w:p w14:paraId="65791F39">
                  <w:pPr>
                    <w:jc w:val="left"/>
                    <w:rPr>
                      <w:strike w:val="0"/>
                      <w:dstrike w:val="0"/>
                      <w:color w:val="auto"/>
                      <w:szCs w:val="21"/>
                      <w:highlight w:val="none"/>
                    </w:rPr>
                  </w:pPr>
                  <w:r>
                    <w:rPr>
                      <w:strike w:val="0"/>
                      <w:dstrike w:val="0"/>
                      <w:color w:val="auto"/>
                      <w:szCs w:val="21"/>
                      <w:highlight w:val="none"/>
                    </w:rPr>
                    <w:t>生化池：位于站房东北侧，采用</w:t>
                  </w:r>
                  <w:r>
                    <w:rPr>
                      <w:rFonts w:hint="eastAsia"/>
                      <w:strike w:val="0"/>
                      <w:dstrike w:val="0"/>
                      <w:color w:val="auto"/>
                      <w:szCs w:val="21"/>
                      <w:highlight w:val="none"/>
                    </w:rPr>
                    <w:t>“</w:t>
                  </w:r>
                  <w:r>
                    <w:rPr>
                      <w:strike w:val="0"/>
                      <w:dstrike w:val="0"/>
                      <w:color w:val="auto"/>
                      <w:szCs w:val="21"/>
                      <w:highlight w:val="none"/>
                    </w:rPr>
                    <w:t>沉淀+厌氧</w:t>
                  </w:r>
                  <w:r>
                    <w:rPr>
                      <w:rFonts w:hint="eastAsia"/>
                      <w:strike w:val="0"/>
                      <w:dstrike w:val="0"/>
                      <w:color w:val="auto"/>
                      <w:szCs w:val="21"/>
                      <w:highlight w:val="none"/>
                    </w:rPr>
                    <w:t>”</w:t>
                  </w:r>
                  <w:r>
                    <w:rPr>
                      <w:strike w:val="0"/>
                      <w:dstrike w:val="0"/>
                      <w:color w:val="auto"/>
                      <w:szCs w:val="21"/>
                      <w:highlight w:val="none"/>
                    </w:rPr>
                    <w:t>处理工艺，</w:t>
                  </w:r>
                  <w:r>
                    <w:rPr>
                      <w:rFonts w:hint="eastAsia"/>
                      <w:strike w:val="0"/>
                      <w:dstrike w:val="0"/>
                      <w:color w:val="auto"/>
                      <w:szCs w:val="21"/>
                      <w:highlight w:val="none"/>
                      <w:lang w:eastAsia="zh-CN"/>
                    </w:rPr>
                    <w:t>处理能力为6m</w:t>
                  </w:r>
                  <w:r>
                    <w:rPr>
                      <w:strike w:val="0"/>
                      <w:dstrike w:val="0"/>
                      <w:color w:val="auto"/>
                      <w:szCs w:val="21"/>
                      <w:highlight w:val="none"/>
                      <w:vertAlign w:val="superscript"/>
                    </w:rPr>
                    <w:t>3</w:t>
                  </w:r>
                  <w:bookmarkStart w:id="19" w:name="OLE_LINK20"/>
                  <w:r>
                    <w:rPr>
                      <w:strike w:val="0"/>
                      <w:dstrike w:val="0"/>
                      <w:color w:val="auto"/>
                      <w:szCs w:val="21"/>
                      <w:highlight w:val="none"/>
                    </w:rPr>
                    <w:t>/d</w:t>
                  </w:r>
                  <w:bookmarkEnd w:id="19"/>
                  <w:r>
                    <w:rPr>
                      <w:strike w:val="0"/>
                      <w:dstrike w:val="0"/>
                      <w:color w:val="auto"/>
                      <w:szCs w:val="21"/>
                      <w:highlight w:val="none"/>
                    </w:rPr>
                    <w:t>，收集处理站内工作人员及加油车辆及同行人员生活污水。</w:t>
                  </w:r>
                </w:p>
              </w:tc>
              <w:tc>
                <w:tcPr>
                  <w:tcW w:w="656" w:type="dxa"/>
                  <w:tcBorders>
                    <w:top w:val="single" w:color="000000" w:sz="4" w:space="0"/>
                    <w:left w:val="single" w:color="000000" w:sz="4" w:space="0"/>
                    <w:bottom w:val="single" w:color="000000" w:sz="4" w:space="0"/>
                    <w:right w:val="single" w:color="000000" w:sz="4" w:space="0"/>
                  </w:tcBorders>
                  <w:vAlign w:val="center"/>
                </w:tcPr>
                <w:p w14:paraId="307DCA8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新建</w:t>
                  </w:r>
                </w:p>
              </w:tc>
            </w:tr>
            <w:tr w14:paraId="1AAA84C7">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right w:val="single" w:color="000000" w:sz="4" w:space="0"/>
                  </w:tcBorders>
                  <w:vAlign w:val="center"/>
                </w:tcPr>
                <w:p w14:paraId="4505B034">
                  <w:pPr>
                    <w:pStyle w:val="46"/>
                    <w:kinsoku w:val="0"/>
                    <w:overflowPunct w:val="0"/>
                    <w:jc w:val="center"/>
                    <w:rPr>
                      <w:strike w:val="0"/>
                      <w:dstrike w:val="0"/>
                      <w:color w:val="auto"/>
                      <w:sz w:val="21"/>
                      <w:szCs w:val="21"/>
                      <w:highlight w:val="none"/>
                    </w:rPr>
                  </w:pPr>
                </w:p>
              </w:tc>
              <w:tc>
                <w:tcPr>
                  <w:tcW w:w="956" w:type="dxa"/>
                  <w:tcBorders>
                    <w:top w:val="single" w:color="000000" w:sz="4" w:space="0"/>
                    <w:left w:val="single" w:color="000000" w:sz="4" w:space="0"/>
                    <w:right w:val="single" w:color="000000" w:sz="4" w:space="0"/>
                  </w:tcBorders>
                  <w:vAlign w:val="center"/>
                </w:tcPr>
                <w:p w14:paraId="7D05E75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固体废物治理工程</w:t>
                  </w:r>
                </w:p>
              </w:tc>
              <w:tc>
                <w:tcPr>
                  <w:tcW w:w="5400" w:type="dxa"/>
                  <w:tcBorders>
                    <w:top w:val="single" w:color="000000" w:sz="4" w:space="0"/>
                    <w:left w:val="single" w:color="000000" w:sz="4" w:space="0"/>
                    <w:right w:val="single" w:color="000000" w:sz="4" w:space="0"/>
                  </w:tcBorders>
                  <w:vAlign w:val="center"/>
                </w:tcPr>
                <w:p w14:paraId="2DDACA1E">
                  <w:pPr>
                    <w:jc w:val="left"/>
                    <w:rPr>
                      <w:strike w:val="0"/>
                      <w:dstrike w:val="0"/>
                      <w:color w:val="auto"/>
                      <w:szCs w:val="21"/>
                      <w:highlight w:val="none"/>
                    </w:rPr>
                  </w:pPr>
                  <w:r>
                    <w:rPr>
                      <w:rFonts w:hint="eastAsia"/>
                      <w:strike w:val="0"/>
                      <w:dstrike w:val="0"/>
                      <w:color w:val="auto"/>
                      <w:szCs w:val="21"/>
                      <w:highlight w:val="none"/>
                    </w:rPr>
                    <w:t>危废贮存点</w:t>
                  </w:r>
                  <w:r>
                    <w:rPr>
                      <w:strike w:val="0"/>
                      <w:dstrike w:val="0"/>
                      <w:color w:val="auto"/>
                      <w:szCs w:val="21"/>
                      <w:highlight w:val="none"/>
                    </w:rPr>
                    <w:t>：1个，位于厂区中部，用于收集暂存废油品等危险废物，危险废物分类暂存于</w:t>
                  </w:r>
                  <w:r>
                    <w:rPr>
                      <w:rFonts w:hint="eastAsia"/>
                      <w:strike w:val="0"/>
                      <w:dstrike w:val="0"/>
                      <w:color w:val="auto"/>
                      <w:szCs w:val="21"/>
                      <w:highlight w:val="none"/>
                    </w:rPr>
                    <w:t>危废贮存点</w:t>
                  </w:r>
                  <w:r>
                    <w:rPr>
                      <w:strike w:val="0"/>
                      <w:dstrike w:val="0"/>
                      <w:color w:val="auto"/>
                      <w:szCs w:val="21"/>
                      <w:highlight w:val="none"/>
                    </w:rPr>
                    <w:t>，设置标识标牌，</w:t>
                  </w:r>
                  <w:r>
                    <w:rPr>
                      <w:rFonts w:hint="eastAsia"/>
                      <w:strike w:val="0"/>
                      <w:dstrike w:val="0"/>
                      <w:color w:val="auto"/>
                      <w:szCs w:val="21"/>
                      <w:highlight w:val="none"/>
                    </w:rPr>
                    <w:t>危废贮存点</w:t>
                  </w:r>
                  <w:r>
                    <w:rPr>
                      <w:strike w:val="0"/>
                      <w:dstrike w:val="0"/>
                      <w:color w:val="auto"/>
                      <w:szCs w:val="21"/>
                      <w:highlight w:val="none"/>
                    </w:rPr>
                    <w:t>按《危险废物贮存污染控制标准》（GB18597-2023）要求进行防风、防晒、防雨、防漏、防渗、防腐以及其他环境污染防治措施。</w:t>
                  </w:r>
                </w:p>
                <w:p w14:paraId="33F79AC7">
                  <w:pPr>
                    <w:jc w:val="left"/>
                    <w:rPr>
                      <w:strike w:val="0"/>
                      <w:dstrike w:val="0"/>
                      <w:color w:val="auto"/>
                      <w:szCs w:val="21"/>
                      <w:highlight w:val="none"/>
                    </w:rPr>
                  </w:pPr>
                  <w:r>
                    <w:rPr>
                      <w:strike w:val="0"/>
                      <w:dstrike w:val="0"/>
                      <w:color w:val="auto"/>
                      <w:szCs w:val="21"/>
                      <w:highlight w:val="none"/>
                    </w:rPr>
                    <w:t>生活垃圾：站场内设置多处生活垃圾收集桶，分类收集后交环卫部门统一清运。</w:t>
                  </w:r>
                </w:p>
              </w:tc>
              <w:tc>
                <w:tcPr>
                  <w:tcW w:w="656" w:type="dxa"/>
                  <w:tcBorders>
                    <w:top w:val="single" w:color="000000" w:sz="4" w:space="0"/>
                    <w:left w:val="single" w:color="000000" w:sz="4" w:space="0"/>
                    <w:bottom w:val="single" w:color="000000" w:sz="4" w:space="0"/>
                    <w:right w:val="single" w:color="000000" w:sz="4" w:space="0"/>
                  </w:tcBorders>
                  <w:vAlign w:val="center"/>
                </w:tcPr>
                <w:p w14:paraId="6743611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新建</w:t>
                  </w:r>
                </w:p>
              </w:tc>
            </w:tr>
            <w:tr w14:paraId="70ED1BBC">
              <w:tblPrEx>
                <w:tblCellMar>
                  <w:top w:w="0" w:type="dxa"/>
                  <w:left w:w="108" w:type="dxa"/>
                  <w:bottom w:w="0" w:type="dxa"/>
                  <w:right w:w="108" w:type="dxa"/>
                </w:tblCellMar>
              </w:tblPrEx>
              <w:trPr>
                <w:trHeight w:val="23" w:hRule="atLeast"/>
                <w:jc w:val="center"/>
              </w:trPr>
              <w:tc>
                <w:tcPr>
                  <w:tcW w:w="765" w:type="dxa"/>
                  <w:vMerge w:val="continue"/>
                  <w:tcBorders>
                    <w:left w:val="single" w:color="000000" w:sz="4" w:space="0"/>
                    <w:bottom w:val="single" w:color="000000" w:sz="4" w:space="0"/>
                    <w:right w:val="single" w:color="000000" w:sz="4" w:space="0"/>
                  </w:tcBorders>
                  <w:vAlign w:val="center"/>
                </w:tcPr>
                <w:p w14:paraId="49B6BC2E">
                  <w:pPr>
                    <w:pStyle w:val="43"/>
                    <w:kinsoku w:val="0"/>
                    <w:overflowPunct w:val="0"/>
                    <w:jc w:val="center"/>
                    <w:rPr>
                      <w:strike w:val="0"/>
                      <w:dstrike w:val="0"/>
                      <w:color w:val="auto"/>
                      <w:sz w:val="21"/>
                      <w:szCs w:val="21"/>
                      <w:highlight w:val="none"/>
                    </w:rPr>
                  </w:pPr>
                  <w:bookmarkStart w:id="20" w:name="OLE_LINK1" w:colFirst="1" w:colLast="1"/>
                </w:p>
              </w:tc>
              <w:tc>
                <w:tcPr>
                  <w:tcW w:w="956" w:type="dxa"/>
                  <w:tcBorders>
                    <w:top w:val="single" w:color="000000" w:sz="4" w:space="0"/>
                    <w:left w:val="single" w:color="000000" w:sz="4" w:space="0"/>
                    <w:bottom w:val="single" w:color="000000" w:sz="4" w:space="0"/>
                    <w:right w:val="single" w:color="000000" w:sz="4" w:space="0"/>
                  </w:tcBorders>
                  <w:vAlign w:val="center"/>
                </w:tcPr>
                <w:p w14:paraId="680D526F">
                  <w:pPr>
                    <w:pStyle w:val="49"/>
                    <w:rPr>
                      <w:strike w:val="0"/>
                      <w:dstrike w:val="0"/>
                      <w:color w:val="auto"/>
                      <w:sz w:val="21"/>
                      <w:szCs w:val="21"/>
                      <w:highlight w:val="none"/>
                      <w:lang w:eastAsia="zh-CN"/>
                    </w:rPr>
                  </w:pPr>
                  <w:r>
                    <w:rPr>
                      <w:strike w:val="0"/>
                      <w:dstrike w:val="0"/>
                      <w:color w:val="auto"/>
                      <w:sz w:val="21"/>
                      <w:szCs w:val="21"/>
                      <w:highlight w:val="none"/>
                      <w:lang w:eastAsia="zh-CN"/>
                    </w:rPr>
                    <w:t>环境风险防范措施</w:t>
                  </w:r>
                </w:p>
              </w:tc>
              <w:tc>
                <w:tcPr>
                  <w:tcW w:w="5400" w:type="dxa"/>
                  <w:tcBorders>
                    <w:top w:val="single" w:color="000000" w:sz="4" w:space="0"/>
                    <w:left w:val="single" w:color="000000" w:sz="4" w:space="0"/>
                    <w:bottom w:val="single" w:color="000000" w:sz="4" w:space="0"/>
                    <w:right w:val="single" w:color="000000" w:sz="4" w:space="0"/>
                  </w:tcBorders>
                  <w:vAlign w:val="center"/>
                </w:tcPr>
                <w:p w14:paraId="0C10CFFE">
                  <w:pPr>
                    <w:jc w:val="left"/>
                    <w:rPr>
                      <w:rFonts w:ascii="Times New Roman" w:hAnsi="Times New Roman" w:cs="Times New Roman"/>
                      <w:strike w:val="0"/>
                      <w:dstrike w:val="0"/>
                      <w:color w:val="auto"/>
                      <w:sz w:val="21"/>
                      <w:szCs w:val="21"/>
                      <w:highlight w:val="none"/>
                    </w:rPr>
                  </w:pPr>
                  <w:r>
                    <w:rPr>
                      <w:strike w:val="0"/>
                      <w:dstrike w:val="0"/>
                      <w:color w:val="auto"/>
                      <w:szCs w:val="21"/>
                      <w:highlight w:val="none"/>
                    </w:rPr>
                    <w:t>①</w:t>
                  </w:r>
                  <w:r>
                    <w:rPr>
                      <w:rFonts w:ascii="Times New Roman" w:hAnsi="Times New Roman" w:cs="Times New Roman"/>
                      <w:strike w:val="0"/>
                      <w:dstrike w:val="0"/>
                      <w:color w:val="auto"/>
                      <w:sz w:val="21"/>
                      <w:szCs w:val="21"/>
                      <w:highlight w:val="none"/>
                    </w:rPr>
                    <w:t>加油棚下设</w:t>
                  </w:r>
                  <w:r>
                    <w:rPr>
                      <w:rFonts w:hint="eastAsia" w:ascii="Times New Roman" w:hAnsi="Times New Roman" w:cs="Times New Roman"/>
                      <w:strike w:val="0"/>
                      <w:dstrike w:val="0"/>
                      <w:color w:val="auto"/>
                      <w:sz w:val="21"/>
                      <w:szCs w:val="21"/>
                      <w:highlight w:val="none"/>
                    </w:rPr>
                    <w:t>截流沟</w:t>
                  </w:r>
                  <w:r>
                    <w:rPr>
                      <w:rFonts w:ascii="Times New Roman" w:hAnsi="Times New Roman" w:cs="Times New Roman"/>
                      <w:strike w:val="0"/>
                      <w:dstrike w:val="0"/>
                      <w:color w:val="auto"/>
                      <w:sz w:val="21"/>
                      <w:szCs w:val="21"/>
                      <w:highlight w:val="none"/>
                    </w:rPr>
                    <w:t>，站区东侧设</w:t>
                  </w:r>
                  <w:r>
                    <w:rPr>
                      <w:rFonts w:hint="eastAsia" w:ascii="Times New Roman" w:hAnsi="Times New Roman" w:cs="Times New Roman"/>
                      <w:strike w:val="0"/>
                      <w:dstrike w:val="0"/>
                      <w:color w:val="auto"/>
                      <w:sz w:val="21"/>
                      <w:szCs w:val="21"/>
                      <w:highlight w:val="none"/>
                    </w:rPr>
                    <w:t>截流沟</w:t>
                  </w:r>
                  <w:r>
                    <w:rPr>
                      <w:rFonts w:ascii="Times New Roman" w:hAnsi="Times New Roman" w:cs="Times New Roman"/>
                      <w:strike w:val="0"/>
                      <w:dstrike w:val="0"/>
                      <w:color w:val="auto"/>
                      <w:sz w:val="21"/>
                      <w:szCs w:val="21"/>
                      <w:highlight w:val="none"/>
                    </w:rPr>
                    <w:t>，进行防渗处理，用于场地冲洗废水和初期雨水的收集。</w:t>
                  </w:r>
                </w:p>
                <w:p w14:paraId="6DAA9E88">
                  <w:pPr>
                    <w:jc w:val="left"/>
                    <w:rPr>
                      <w:bCs/>
                      <w:strike w:val="0"/>
                      <w:dstrike w:val="0"/>
                      <w:color w:val="auto"/>
                      <w:szCs w:val="21"/>
                      <w:highlight w:val="none"/>
                    </w:rPr>
                  </w:pPr>
                  <w:r>
                    <w:rPr>
                      <w:strike w:val="0"/>
                      <w:dstrike w:val="0"/>
                      <w:color w:val="auto"/>
                      <w:szCs w:val="21"/>
                      <w:highlight w:val="none"/>
                    </w:rPr>
                    <w:t>②分区防渗。罩棚下整个区域、储油罐区、加油区、卸油区、储气罐区、</w:t>
                  </w:r>
                  <w:r>
                    <w:rPr>
                      <w:rFonts w:hint="eastAsia"/>
                      <w:strike w:val="0"/>
                      <w:dstrike w:val="0"/>
                      <w:color w:val="auto"/>
                      <w:szCs w:val="21"/>
                      <w:highlight w:val="none"/>
                    </w:rPr>
                    <w:t>危废贮存点</w:t>
                  </w:r>
                  <w:r>
                    <w:rPr>
                      <w:strike w:val="0"/>
                      <w:dstrike w:val="0"/>
                      <w:color w:val="auto"/>
                      <w:szCs w:val="21"/>
                      <w:highlight w:val="none"/>
                    </w:rPr>
                    <w:t>、隔油池</w:t>
                  </w:r>
                  <w:r>
                    <w:rPr>
                      <w:bCs/>
                      <w:strike w:val="0"/>
                      <w:dstrike w:val="0"/>
                      <w:color w:val="auto"/>
                      <w:szCs w:val="21"/>
                      <w:highlight w:val="none"/>
                    </w:rPr>
                    <w:t>采取重点防渗措施。</w:t>
                  </w:r>
                  <w:r>
                    <w:rPr>
                      <w:strike w:val="0"/>
                      <w:dstrike w:val="0"/>
                      <w:color w:val="auto"/>
                      <w:szCs w:val="21"/>
                      <w:highlight w:val="none"/>
                    </w:rPr>
                    <w:t>加油区</w:t>
                  </w:r>
                  <w:r>
                    <w:rPr>
                      <w:rFonts w:hint="eastAsia"/>
                      <w:strike w:val="0"/>
                      <w:dstrike w:val="0"/>
                      <w:color w:val="auto"/>
                      <w:szCs w:val="21"/>
                      <w:highlight w:val="none"/>
                      <w:lang w:eastAsia="zh-CN"/>
                    </w:rPr>
                    <w:t>截流沟</w:t>
                  </w:r>
                  <w:r>
                    <w:rPr>
                      <w:strike w:val="0"/>
                      <w:dstrike w:val="0"/>
                      <w:color w:val="auto"/>
                      <w:szCs w:val="21"/>
                      <w:highlight w:val="none"/>
                    </w:rPr>
                    <w:t>、厂内道路和加油区地面</w:t>
                  </w:r>
                  <w:r>
                    <w:rPr>
                      <w:rFonts w:hint="eastAsia"/>
                      <w:strike w:val="0"/>
                      <w:dstrike w:val="0"/>
                      <w:color w:val="auto"/>
                      <w:szCs w:val="21"/>
                      <w:highlight w:val="none"/>
                    </w:rPr>
                    <w:t>、生化池</w:t>
                  </w:r>
                  <w:r>
                    <w:rPr>
                      <w:bCs/>
                      <w:strike w:val="0"/>
                      <w:dstrike w:val="0"/>
                      <w:color w:val="auto"/>
                      <w:szCs w:val="21"/>
                      <w:highlight w:val="none"/>
                    </w:rPr>
                    <w:t>采取一般防渗措施。</w:t>
                  </w:r>
                </w:p>
                <w:p w14:paraId="7BF16FC9">
                  <w:pPr>
                    <w:jc w:val="left"/>
                    <w:rPr>
                      <w:strike w:val="0"/>
                      <w:dstrike w:val="0"/>
                      <w:color w:val="auto"/>
                      <w:szCs w:val="21"/>
                      <w:highlight w:val="none"/>
                    </w:rPr>
                  </w:pPr>
                  <w:r>
                    <w:rPr>
                      <w:strike w:val="0"/>
                      <w:dstrike w:val="0"/>
                      <w:color w:val="auto"/>
                      <w:sz w:val="21"/>
                      <w:szCs w:val="21"/>
                      <w:highlight w:val="none"/>
                    </w:rPr>
                    <w:t>③</w:t>
                  </w:r>
                  <w:r>
                    <w:rPr>
                      <w:strike w:val="0"/>
                      <w:dstrike w:val="0"/>
                      <w:color w:val="auto"/>
                      <w:szCs w:val="21"/>
                      <w:highlight w:val="none"/>
                    </w:rPr>
                    <w:t>卸油区设置防静电接地装置及静电接地报警器。</w:t>
                  </w:r>
                </w:p>
                <w:p w14:paraId="3DC999AF">
                  <w:pPr>
                    <w:pStyle w:val="9"/>
                    <w:jc w:val="both"/>
                    <w:rPr>
                      <w:rFonts w:hint="default" w:ascii="Times New Roman" w:hAnsi="Times New Roman" w:eastAsia="宋体" w:cs="Times New Roman"/>
                      <w:strike w:val="0"/>
                      <w:dstrike w:val="0"/>
                      <w:color w:val="auto"/>
                      <w:sz w:val="21"/>
                      <w:szCs w:val="21"/>
                      <w:highlight w:val="none"/>
                    </w:rPr>
                  </w:pPr>
                  <w:r>
                    <w:rPr>
                      <w:rFonts w:ascii="Times New Roman" w:hAnsi="Times New Roman" w:cs="Times New Roman"/>
                      <w:strike w:val="0"/>
                      <w:dstrike w:val="0"/>
                      <w:color w:val="auto"/>
                      <w:sz w:val="21"/>
                      <w:szCs w:val="21"/>
                      <w:highlight w:val="none"/>
                    </w:rPr>
                    <w:fldChar w:fldCharType="begin"/>
                  </w:r>
                  <w:r>
                    <w:rPr>
                      <w:rFonts w:ascii="Times New Roman" w:hAnsi="Times New Roman" w:cs="Times New Roman"/>
                      <w:strike w:val="0"/>
                      <w:dstrike w:val="0"/>
                      <w:color w:val="auto"/>
                      <w:sz w:val="21"/>
                      <w:szCs w:val="21"/>
                      <w:highlight w:val="none"/>
                    </w:rPr>
                    <w:instrText xml:space="preserve"> = 4 \* GB3 \* MERGEFORMAT </w:instrText>
                  </w:r>
                  <w:r>
                    <w:rPr>
                      <w:rFonts w:ascii="Times New Roman" w:hAnsi="Times New Roman" w:cs="Times New Roman"/>
                      <w:strike w:val="0"/>
                      <w:dstrike w:val="0"/>
                      <w:color w:val="auto"/>
                      <w:sz w:val="21"/>
                      <w:szCs w:val="21"/>
                      <w:highlight w:val="none"/>
                    </w:rPr>
                    <w:fldChar w:fldCharType="separate"/>
                  </w:r>
                  <w:r>
                    <w:rPr>
                      <w:rFonts w:ascii="Times New Roman" w:hAnsi="Times New Roman" w:cs="Times New Roman"/>
                      <w:strike w:val="0"/>
                      <w:dstrike w:val="0"/>
                      <w:color w:val="auto"/>
                      <w:sz w:val="21"/>
                      <w:szCs w:val="21"/>
                      <w:highlight w:val="none"/>
                    </w:rPr>
                    <w:t>④</w:t>
                  </w:r>
                  <w:r>
                    <w:rPr>
                      <w:rFonts w:ascii="Times New Roman" w:hAnsi="Times New Roman" w:cs="Times New Roman"/>
                      <w:strike w:val="0"/>
                      <w:dstrike w:val="0"/>
                      <w:color w:val="auto"/>
                      <w:sz w:val="21"/>
                      <w:szCs w:val="21"/>
                      <w:highlight w:val="none"/>
                    </w:rPr>
                    <w:fldChar w:fldCharType="end"/>
                  </w:r>
                  <w:r>
                    <w:rPr>
                      <w:strike w:val="0"/>
                      <w:dstrike w:val="0"/>
                      <w:color w:val="auto"/>
                      <w:sz w:val="21"/>
                      <w:szCs w:val="21"/>
                      <w:highlight w:val="none"/>
                    </w:rPr>
                    <w:t>卸油区、加油区周围设置截流沟，站区储备大量防水沙袋，当发生事故时，能有效拦截事故废水进入雨水管网，同时为防止未拦截到的事故废水进入雨水管网后直接排入市政雨水管网，</w:t>
                  </w:r>
                  <w:r>
                    <w:rPr>
                      <w:rFonts w:hint="eastAsia"/>
                      <w:strike w:val="0"/>
                      <w:dstrike w:val="0"/>
                      <w:color w:val="auto"/>
                      <w:sz w:val="21"/>
                      <w:szCs w:val="21"/>
                      <w:highlight w:val="none"/>
                    </w:rPr>
                    <w:t>项目在雨水井（</w:t>
                  </w:r>
                  <w:r>
                    <w:rPr>
                      <w:rFonts w:hint="eastAsia"/>
                      <w:strike w:val="0"/>
                      <w:dstrike w:val="0"/>
                      <w:color w:val="auto"/>
                      <w:sz w:val="21"/>
                      <w:szCs w:val="21"/>
                      <w:highlight w:val="none"/>
                      <w:lang w:eastAsia="zh-CN"/>
                    </w:rPr>
                    <w:t>Y1、Y2</w:t>
                  </w:r>
                  <w:r>
                    <w:rPr>
                      <w:rFonts w:hint="eastAsia"/>
                      <w:strike w:val="0"/>
                      <w:dstrike w:val="0"/>
                      <w:color w:val="auto"/>
                      <w:sz w:val="21"/>
                      <w:szCs w:val="21"/>
                      <w:highlight w:val="none"/>
                    </w:rPr>
                    <w:t>）设置有切换阀，雨水井（Y1）一端连接至隔油池，正常情况下关闭，</w:t>
                  </w:r>
                  <w:r>
                    <w:rPr>
                      <w:rFonts w:hint="eastAsia"/>
                      <w:strike w:val="0"/>
                      <w:dstrike w:val="0"/>
                      <w:color w:val="auto"/>
                      <w:sz w:val="21"/>
                      <w:szCs w:val="21"/>
                      <w:highlight w:val="none"/>
                      <w:lang w:eastAsia="zh-CN"/>
                    </w:rPr>
                    <w:t>遇事故状态时</w:t>
                  </w:r>
                  <w:r>
                    <w:rPr>
                      <w:rFonts w:hint="default" w:ascii="Times New Roman" w:hAnsi="Times New Roman" w:eastAsia="宋体" w:cs="Times New Roman"/>
                      <w:strike w:val="0"/>
                      <w:dstrike w:val="0"/>
                      <w:color w:val="auto"/>
                      <w:sz w:val="21"/>
                      <w:szCs w:val="21"/>
                      <w:highlight w:val="none"/>
                    </w:rPr>
                    <w:t>将切换阀转换至隔油池，事故废水经隔油池预处理后排入市政污水管网。</w:t>
                  </w:r>
                </w:p>
                <w:p w14:paraId="5831B8C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cs="Times New Roman"/>
                      <w:strike w:val="0"/>
                      <w:dstrike w:val="0"/>
                      <w:color w:val="auto"/>
                      <w:sz w:val="21"/>
                      <w:szCs w:val="21"/>
                      <w:highlight w:val="none"/>
                    </w:rPr>
                  </w:pPr>
                  <w:r>
                    <w:rPr>
                      <w:rFonts w:hint="default" w:ascii="Times New Roman" w:hAnsi="Times New Roman" w:eastAsia="宋体" w:cs="Times New Roman"/>
                      <w:strike w:val="0"/>
                      <w:dstrike w:val="0"/>
                      <w:color w:val="auto"/>
                      <w:kern w:val="0"/>
                      <w:sz w:val="21"/>
                      <w:szCs w:val="21"/>
                      <w:highlight w:val="none"/>
                    </w:rPr>
                    <w:t>⑤</w:t>
                  </w:r>
                  <w:r>
                    <w:rPr>
                      <w:rFonts w:hint="default" w:ascii="Times New Roman" w:hAnsi="Times New Roman" w:eastAsia="宋体" w:cs="Times New Roman"/>
                      <w:strike w:val="0"/>
                      <w:dstrike w:val="0"/>
                      <w:color w:val="auto"/>
                      <w:sz w:val="21"/>
                      <w:szCs w:val="21"/>
                      <w:highlight w:val="none"/>
                    </w:rPr>
                    <w:t>LNG储罐的周围</w:t>
                  </w:r>
                  <w:r>
                    <w:rPr>
                      <w:rFonts w:hint="default" w:ascii="Times New Roman" w:hAnsi="Times New Roman" w:eastAsia="宋体" w:cs="Times New Roman"/>
                      <w:strike w:val="0"/>
                      <w:dstrike w:val="0"/>
                      <w:color w:val="auto"/>
                      <w:kern w:val="0"/>
                      <w:sz w:val="21"/>
                      <w:szCs w:val="21"/>
                      <w:highlight w:val="none"/>
                      <w:lang w:val="en-US" w:eastAsia="zh-CN"/>
                    </w:rPr>
                    <w:t>设置</w:t>
                  </w:r>
                  <w:r>
                    <w:rPr>
                      <w:rFonts w:hint="default" w:ascii="Times New Roman" w:hAnsi="Times New Roman" w:eastAsia="宋体" w:cs="Times New Roman"/>
                      <w:strike w:val="0"/>
                      <w:dstrike w:val="0"/>
                      <w:color w:val="auto"/>
                      <w:kern w:val="0"/>
                      <w:sz w:val="21"/>
                      <w:szCs w:val="21"/>
                      <w:highlight w:val="none"/>
                    </w:rPr>
                    <w:t>拦蓄区</w:t>
                  </w:r>
                  <w:r>
                    <w:rPr>
                      <w:rFonts w:hint="default" w:ascii="Times New Roman" w:hAnsi="Times New Roman" w:eastAsia="宋体" w:cs="Times New Roman"/>
                      <w:strike w:val="0"/>
                      <w:dstrike w:val="0"/>
                      <w:color w:val="auto"/>
                      <w:kern w:val="0"/>
                      <w:sz w:val="21"/>
                      <w:szCs w:val="21"/>
                      <w:highlight w:val="none"/>
                      <w:lang w:eastAsia="zh-CN"/>
                    </w:rPr>
                    <w:t>，</w:t>
                  </w:r>
                  <w:r>
                    <w:rPr>
                      <w:rFonts w:hint="default" w:ascii="Times New Roman" w:hAnsi="Times New Roman" w:eastAsia="宋体" w:cs="Times New Roman"/>
                      <w:strike w:val="0"/>
                      <w:dstrike w:val="0"/>
                      <w:color w:val="auto"/>
                      <w:kern w:val="0"/>
                      <w:sz w:val="21"/>
                      <w:szCs w:val="21"/>
                      <w:highlight w:val="none"/>
                    </w:rPr>
                    <w:t>容积约65m</w:t>
                  </w:r>
                  <w:r>
                    <w:rPr>
                      <w:rFonts w:hint="eastAsia" w:cs="Times New Roman"/>
                      <w:strike w:val="0"/>
                      <w:dstrike w:val="0"/>
                      <w:color w:val="auto"/>
                      <w:kern w:val="0"/>
                      <w:sz w:val="21"/>
                      <w:szCs w:val="21"/>
                      <w:highlight w:val="none"/>
                      <w:vertAlign w:val="superscript"/>
                      <w:lang w:val="en-US" w:eastAsia="zh-CN"/>
                    </w:rPr>
                    <w:t>3</w:t>
                  </w:r>
                  <w:r>
                    <w:rPr>
                      <w:rFonts w:hint="default" w:ascii="Times New Roman" w:hAnsi="Times New Roman" w:eastAsia="宋体" w:cs="Times New Roman"/>
                      <w:strike w:val="0"/>
                      <w:dstrike w:val="0"/>
                      <w:color w:val="auto"/>
                      <w:kern w:val="0"/>
                      <w:sz w:val="21"/>
                      <w:szCs w:val="21"/>
                      <w:highlight w:val="none"/>
                      <w:lang w:eastAsia="zh-CN"/>
                    </w:rPr>
                    <w:t>。</w:t>
                  </w:r>
                  <w:r>
                    <w:rPr>
                      <w:rFonts w:hint="default" w:ascii="Times New Roman" w:hAnsi="Times New Roman" w:eastAsia="宋体" w:cs="Times New Roman"/>
                      <w:strike w:val="0"/>
                      <w:dstrike w:val="0"/>
                      <w:color w:val="auto"/>
                      <w:sz w:val="21"/>
                      <w:szCs w:val="21"/>
                      <w:highlight w:val="none"/>
                    </w:rPr>
                    <w:t>在拦蓄区内设置集液池一座，以便收集泄漏的LNG、油或雨水，集液池内安装防爆潜污泵，当发生LNG、油泄漏时，潜水泵不工作，当需要排雨水时，启动潜水泵将雨水排入拦蓄区外的排水系统。集液池尺寸为1.6×0.8×1.0</w:t>
                  </w:r>
                  <w:r>
                    <w:rPr>
                      <w:rFonts w:hint="eastAsia" w:cs="Times New Roman"/>
                      <w:strike w:val="0"/>
                      <w:dstrike w:val="0"/>
                      <w:color w:val="auto"/>
                      <w:sz w:val="21"/>
                      <w:szCs w:val="21"/>
                      <w:highlight w:val="none"/>
                      <w:lang w:val="en-US" w:eastAsia="zh-CN"/>
                    </w:rPr>
                    <w:t>m</w:t>
                  </w:r>
                  <w:r>
                    <w:rPr>
                      <w:rFonts w:hint="default" w:ascii="Times New Roman" w:hAnsi="Times New Roman" w:eastAsia="宋体" w:cs="Times New Roman"/>
                      <w:strike w:val="0"/>
                      <w:dstrike w:val="0"/>
                      <w:color w:val="auto"/>
                      <w:sz w:val="21"/>
                      <w:szCs w:val="21"/>
                      <w:highlight w:val="none"/>
                    </w:rPr>
                    <w:t>。</w:t>
                  </w:r>
                </w:p>
              </w:tc>
              <w:tc>
                <w:tcPr>
                  <w:tcW w:w="656" w:type="dxa"/>
                  <w:tcBorders>
                    <w:top w:val="single" w:color="000000" w:sz="4" w:space="0"/>
                    <w:left w:val="single" w:color="000000" w:sz="4" w:space="0"/>
                    <w:bottom w:val="single" w:color="000000" w:sz="4" w:space="0"/>
                    <w:right w:val="single" w:color="000000" w:sz="4" w:space="0"/>
                  </w:tcBorders>
                  <w:vAlign w:val="center"/>
                </w:tcPr>
                <w:p w14:paraId="6B5F8703">
                  <w:pPr>
                    <w:pStyle w:val="43"/>
                    <w:kinsoku w:val="0"/>
                    <w:overflowPunct w:val="0"/>
                    <w:autoSpaceDE/>
                    <w:autoSpaceDN/>
                    <w:jc w:val="center"/>
                    <w:rPr>
                      <w:strike w:val="0"/>
                      <w:dstrike w:val="0"/>
                      <w:color w:val="auto"/>
                      <w:sz w:val="21"/>
                      <w:szCs w:val="21"/>
                      <w:highlight w:val="none"/>
                    </w:rPr>
                  </w:pPr>
                  <w:r>
                    <w:rPr>
                      <w:strike w:val="0"/>
                      <w:dstrike w:val="0"/>
                      <w:color w:val="auto"/>
                      <w:sz w:val="21"/>
                      <w:szCs w:val="21"/>
                      <w:highlight w:val="none"/>
                    </w:rPr>
                    <w:t>/</w:t>
                  </w:r>
                </w:p>
              </w:tc>
            </w:tr>
            <w:bookmarkEnd w:id="20"/>
          </w:tbl>
          <w:p w14:paraId="44112D36">
            <w:pPr>
              <w:pStyle w:val="47"/>
              <w:tabs>
                <w:tab w:val="left" w:pos="5573"/>
              </w:tabs>
              <w:spacing w:before="0" w:line="360" w:lineRule="auto"/>
              <w:ind w:firstLine="0" w:firstLineChars="0"/>
              <w:rPr>
                <w:strike w:val="0"/>
                <w:dstrike w:val="0"/>
                <w:color w:val="auto"/>
                <w:highlight w:val="none"/>
              </w:rPr>
            </w:pPr>
            <w:r>
              <w:rPr>
                <w:b/>
                <w:strike w:val="0"/>
                <w:dstrike w:val="0"/>
                <w:color w:val="auto"/>
                <w:highlight w:val="none"/>
              </w:rPr>
              <w:t>2.1.5 主要设备</w:t>
            </w:r>
          </w:p>
          <w:p w14:paraId="61CFBD69">
            <w:pPr>
              <w:spacing w:line="360" w:lineRule="auto"/>
              <w:ind w:firstLine="480" w:firstLineChars="200"/>
              <w:rPr>
                <w:b/>
                <w:bCs/>
                <w:strike w:val="0"/>
                <w:dstrike w:val="0"/>
                <w:color w:val="auto"/>
                <w:spacing w:val="-1"/>
                <w:sz w:val="24"/>
                <w:highlight w:val="none"/>
              </w:rPr>
            </w:pPr>
            <w:r>
              <w:rPr>
                <w:bCs/>
                <w:strike w:val="0"/>
                <w:dstrike w:val="0"/>
                <w:snapToGrid w:val="0"/>
                <w:color w:val="auto"/>
                <w:kern w:val="0"/>
                <w:sz w:val="24"/>
                <w:highlight w:val="none"/>
              </w:rPr>
              <w:t>本项目</w:t>
            </w:r>
            <w:r>
              <w:rPr>
                <w:strike w:val="0"/>
                <w:dstrike w:val="0"/>
                <w:color w:val="auto"/>
                <w:spacing w:val="-1"/>
                <w:sz w:val="24"/>
                <w:highlight w:val="none"/>
              </w:rPr>
              <w:t>主要设施、设备详见表2.1-3。</w:t>
            </w:r>
          </w:p>
          <w:p w14:paraId="70588A6D">
            <w:pPr>
              <w:pStyle w:val="10"/>
              <w:spacing w:before="0" w:after="0" w:line="240" w:lineRule="auto"/>
              <w:ind w:right="0"/>
              <w:jc w:val="center"/>
              <w:rPr>
                <w:b/>
                <w:bCs/>
                <w:strike w:val="0"/>
                <w:dstrike w:val="0"/>
                <w:color w:val="auto"/>
                <w:sz w:val="24"/>
                <w:szCs w:val="24"/>
                <w:highlight w:val="none"/>
              </w:rPr>
            </w:pPr>
            <w:r>
              <w:rPr>
                <w:b/>
                <w:bCs/>
                <w:strike w:val="0"/>
                <w:dstrike w:val="0"/>
                <w:color w:val="auto"/>
                <w:spacing w:val="-1"/>
                <w:sz w:val="24"/>
                <w:szCs w:val="24"/>
                <w:highlight w:val="none"/>
              </w:rPr>
              <w:t>表2.1-3  本项目设施、设备一览表</w:t>
            </w:r>
          </w:p>
          <w:tbl>
            <w:tblPr>
              <w:tblStyle w:val="22"/>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867"/>
              <w:gridCol w:w="1350"/>
              <w:gridCol w:w="1370"/>
              <w:gridCol w:w="807"/>
              <w:gridCol w:w="663"/>
              <w:gridCol w:w="1655"/>
            </w:tblGrid>
            <w:tr w14:paraId="7114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Align w:val="center"/>
                </w:tcPr>
                <w:p w14:paraId="61C3246D">
                  <w:pPr>
                    <w:widowControl/>
                    <w:jc w:val="center"/>
                    <w:rPr>
                      <w:b/>
                      <w:bCs/>
                      <w:strike w:val="0"/>
                      <w:dstrike w:val="0"/>
                      <w:color w:val="auto"/>
                      <w:szCs w:val="21"/>
                      <w:highlight w:val="none"/>
                    </w:rPr>
                  </w:pPr>
                  <w:r>
                    <w:rPr>
                      <w:b/>
                      <w:bCs/>
                      <w:strike w:val="0"/>
                      <w:dstrike w:val="0"/>
                      <w:color w:val="auto"/>
                      <w:szCs w:val="21"/>
                      <w:highlight w:val="none"/>
                    </w:rPr>
                    <w:t>类型</w:t>
                  </w:r>
                </w:p>
              </w:tc>
              <w:tc>
                <w:tcPr>
                  <w:tcW w:w="2217" w:type="dxa"/>
                  <w:gridSpan w:val="2"/>
                  <w:vAlign w:val="center"/>
                </w:tcPr>
                <w:p w14:paraId="5E18F496">
                  <w:pPr>
                    <w:widowControl/>
                    <w:jc w:val="center"/>
                    <w:rPr>
                      <w:b/>
                      <w:bCs/>
                      <w:strike w:val="0"/>
                      <w:dstrike w:val="0"/>
                      <w:color w:val="auto"/>
                      <w:szCs w:val="21"/>
                      <w:highlight w:val="none"/>
                    </w:rPr>
                  </w:pPr>
                  <w:r>
                    <w:rPr>
                      <w:b/>
                      <w:bCs/>
                      <w:strike w:val="0"/>
                      <w:dstrike w:val="0"/>
                      <w:color w:val="auto"/>
                      <w:szCs w:val="21"/>
                      <w:highlight w:val="none"/>
                    </w:rPr>
                    <w:t>生产设施名称</w:t>
                  </w:r>
                </w:p>
              </w:tc>
              <w:tc>
                <w:tcPr>
                  <w:tcW w:w="1370" w:type="dxa"/>
                  <w:vAlign w:val="center"/>
                </w:tcPr>
                <w:p w14:paraId="193A2D5E">
                  <w:pPr>
                    <w:widowControl/>
                    <w:jc w:val="center"/>
                    <w:rPr>
                      <w:b/>
                      <w:bCs/>
                      <w:strike w:val="0"/>
                      <w:dstrike w:val="0"/>
                      <w:color w:val="auto"/>
                      <w:szCs w:val="21"/>
                      <w:highlight w:val="none"/>
                    </w:rPr>
                  </w:pPr>
                  <w:r>
                    <w:rPr>
                      <w:b/>
                      <w:bCs/>
                      <w:strike w:val="0"/>
                      <w:dstrike w:val="0"/>
                      <w:color w:val="auto"/>
                      <w:szCs w:val="21"/>
                      <w:highlight w:val="none"/>
                    </w:rPr>
                    <w:t>规格</w:t>
                  </w:r>
                </w:p>
              </w:tc>
              <w:tc>
                <w:tcPr>
                  <w:tcW w:w="807" w:type="dxa"/>
                  <w:vAlign w:val="center"/>
                </w:tcPr>
                <w:p w14:paraId="0003A3A0">
                  <w:pPr>
                    <w:widowControl/>
                    <w:jc w:val="center"/>
                    <w:rPr>
                      <w:b/>
                      <w:bCs/>
                      <w:strike w:val="0"/>
                      <w:dstrike w:val="0"/>
                      <w:color w:val="auto"/>
                      <w:szCs w:val="21"/>
                      <w:highlight w:val="none"/>
                    </w:rPr>
                  </w:pPr>
                  <w:r>
                    <w:rPr>
                      <w:b/>
                      <w:bCs/>
                      <w:strike w:val="0"/>
                      <w:dstrike w:val="0"/>
                      <w:color w:val="auto"/>
                      <w:szCs w:val="21"/>
                      <w:highlight w:val="none"/>
                    </w:rPr>
                    <w:t>单位</w:t>
                  </w:r>
                </w:p>
              </w:tc>
              <w:tc>
                <w:tcPr>
                  <w:tcW w:w="663" w:type="dxa"/>
                  <w:vAlign w:val="center"/>
                </w:tcPr>
                <w:p w14:paraId="41596512">
                  <w:pPr>
                    <w:widowControl/>
                    <w:jc w:val="center"/>
                    <w:rPr>
                      <w:b/>
                      <w:bCs/>
                      <w:strike w:val="0"/>
                      <w:dstrike w:val="0"/>
                      <w:color w:val="auto"/>
                      <w:szCs w:val="21"/>
                      <w:highlight w:val="none"/>
                    </w:rPr>
                  </w:pPr>
                  <w:r>
                    <w:rPr>
                      <w:b/>
                      <w:bCs/>
                      <w:strike w:val="0"/>
                      <w:dstrike w:val="0"/>
                      <w:color w:val="auto"/>
                      <w:szCs w:val="21"/>
                      <w:highlight w:val="none"/>
                    </w:rPr>
                    <w:t>数量</w:t>
                  </w:r>
                </w:p>
              </w:tc>
              <w:tc>
                <w:tcPr>
                  <w:tcW w:w="1655" w:type="dxa"/>
                  <w:vAlign w:val="center"/>
                </w:tcPr>
                <w:p w14:paraId="35B5ACCA">
                  <w:pPr>
                    <w:widowControl/>
                    <w:jc w:val="center"/>
                    <w:rPr>
                      <w:b/>
                      <w:bCs/>
                      <w:strike w:val="0"/>
                      <w:dstrike w:val="0"/>
                      <w:color w:val="auto"/>
                      <w:szCs w:val="21"/>
                      <w:highlight w:val="none"/>
                    </w:rPr>
                  </w:pPr>
                  <w:r>
                    <w:rPr>
                      <w:b/>
                      <w:bCs/>
                      <w:strike w:val="0"/>
                      <w:dstrike w:val="0"/>
                      <w:color w:val="auto"/>
                      <w:szCs w:val="21"/>
                      <w:highlight w:val="none"/>
                    </w:rPr>
                    <w:t>备注</w:t>
                  </w:r>
                </w:p>
              </w:tc>
            </w:tr>
            <w:tr w14:paraId="73EE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restart"/>
                  <w:vAlign w:val="center"/>
                </w:tcPr>
                <w:p w14:paraId="22082E3A">
                  <w:pPr>
                    <w:widowControl/>
                    <w:jc w:val="center"/>
                    <w:textAlignment w:val="center"/>
                    <w:rPr>
                      <w:strike w:val="0"/>
                      <w:dstrike w:val="0"/>
                      <w:color w:val="auto"/>
                      <w:kern w:val="0"/>
                      <w:szCs w:val="21"/>
                      <w:highlight w:val="none"/>
                      <w:lang w:bidi="ar"/>
                    </w:rPr>
                  </w:pPr>
                  <w:bookmarkStart w:id="21" w:name="OLE_LINK44" w:colFirst="3" w:colLast="4"/>
                  <w:bookmarkStart w:id="22" w:name="OLE_LINK22" w:colFirst="2" w:colLast="5"/>
                  <w:bookmarkStart w:id="23" w:name="OLE_LINK53" w:colFirst="1" w:colLast="1"/>
                  <w:r>
                    <w:rPr>
                      <w:strike w:val="0"/>
                      <w:dstrike w:val="0"/>
                      <w:color w:val="auto"/>
                      <w:kern w:val="0"/>
                      <w:szCs w:val="21"/>
                      <w:highlight w:val="none"/>
                      <w:lang w:bidi="ar"/>
                    </w:rPr>
                    <w:t>加油设备</w:t>
                  </w:r>
                </w:p>
              </w:tc>
              <w:tc>
                <w:tcPr>
                  <w:tcW w:w="2217" w:type="dxa"/>
                  <w:gridSpan w:val="2"/>
                  <w:vAlign w:val="center"/>
                </w:tcPr>
                <w:p w14:paraId="7362072E">
                  <w:pPr>
                    <w:widowControl/>
                    <w:jc w:val="center"/>
                    <w:rPr>
                      <w:strike w:val="0"/>
                      <w:dstrike w:val="0"/>
                      <w:color w:val="auto"/>
                      <w:szCs w:val="21"/>
                      <w:highlight w:val="none"/>
                    </w:rPr>
                  </w:pPr>
                  <w:r>
                    <w:rPr>
                      <w:strike w:val="0"/>
                      <w:dstrike w:val="0"/>
                      <w:color w:val="auto"/>
                      <w:szCs w:val="21"/>
                      <w:highlight w:val="none"/>
                    </w:rPr>
                    <w:t>0#柴油罐</w:t>
                  </w:r>
                </w:p>
              </w:tc>
              <w:tc>
                <w:tcPr>
                  <w:tcW w:w="1370" w:type="dxa"/>
                  <w:vAlign w:val="center"/>
                </w:tcPr>
                <w:p w14:paraId="6D0A1767">
                  <w:pPr>
                    <w:widowControl/>
                    <w:jc w:val="center"/>
                    <w:rPr>
                      <w:strike w:val="0"/>
                      <w:dstrike w:val="0"/>
                      <w:color w:val="auto"/>
                      <w:szCs w:val="21"/>
                      <w:highlight w:val="none"/>
                    </w:rPr>
                  </w:pPr>
                  <w:r>
                    <w:rPr>
                      <w:strike w:val="0"/>
                      <w:dstrike w:val="0"/>
                      <w:color w:val="auto"/>
                      <w:szCs w:val="21"/>
                      <w:highlight w:val="none"/>
                    </w:rPr>
                    <w:t>SF双层油罐，</w:t>
                  </w:r>
                  <w:bookmarkStart w:id="24" w:name="OLE_LINK41"/>
                  <w:r>
                    <w:rPr>
                      <w:strike w:val="0"/>
                      <w:dstrike w:val="0"/>
                      <w:color w:val="auto"/>
                      <w:szCs w:val="21"/>
                      <w:highlight w:val="none"/>
                    </w:rPr>
                    <w:t>V=30m</w:t>
                  </w:r>
                  <w:r>
                    <w:rPr>
                      <w:strike w:val="0"/>
                      <w:dstrike w:val="0"/>
                      <w:color w:val="auto"/>
                      <w:szCs w:val="21"/>
                      <w:highlight w:val="none"/>
                      <w:vertAlign w:val="superscript"/>
                    </w:rPr>
                    <w:t>3</w:t>
                  </w:r>
                  <w:bookmarkEnd w:id="24"/>
                </w:p>
              </w:tc>
              <w:tc>
                <w:tcPr>
                  <w:tcW w:w="807" w:type="dxa"/>
                  <w:vAlign w:val="center"/>
                </w:tcPr>
                <w:p w14:paraId="0909F1A1">
                  <w:pPr>
                    <w:widowControl/>
                    <w:jc w:val="center"/>
                    <w:rPr>
                      <w:strike w:val="0"/>
                      <w:dstrike w:val="0"/>
                      <w:color w:val="auto"/>
                      <w:szCs w:val="21"/>
                      <w:highlight w:val="none"/>
                    </w:rPr>
                  </w:pPr>
                  <w:r>
                    <w:rPr>
                      <w:strike w:val="0"/>
                      <w:dstrike w:val="0"/>
                      <w:color w:val="auto"/>
                      <w:szCs w:val="21"/>
                      <w:highlight w:val="none"/>
                    </w:rPr>
                    <w:t>台</w:t>
                  </w:r>
                </w:p>
              </w:tc>
              <w:tc>
                <w:tcPr>
                  <w:tcW w:w="663" w:type="dxa"/>
                  <w:vAlign w:val="center"/>
                </w:tcPr>
                <w:p w14:paraId="569B53A9">
                  <w:pPr>
                    <w:widowControl/>
                    <w:jc w:val="center"/>
                    <w:rPr>
                      <w:strike w:val="0"/>
                      <w:dstrike w:val="0"/>
                      <w:color w:val="auto"/>
                      <w:szCs w:val="21"/>
                      <w:highlight w:val="none"/>
                    </w:rPr>
                  </w:pPr>
                  <w:r>
                    <w:rPr>
                      <w:strike w:val="0"/>
                      <w:dstrike w:val="0"/>
                      <w:color w:val="auto"/>
                      <w:szCs w:val="21"/>
                      <w:highlight w:val="none"/>
                    </w:rPr>
                    <w:t>2</w:t>
                  </w:r>
                </w:p>
              </w:tc>
              <w:tc>
                <w:tcPr>
                  <w:tcW w:w="1655" w:type="dxa"/>
                  <w:vAlign w:val="center"/>
                </w:tcPr>
                <w:p w14:paraId="0AA967D9">
                  <w:pPr>
                    <w:widowControl/>
                    <w:jc w:val="center"/>
                    <w:rPr>
                      <w:strike w:val="0"/>
                      <w:dstrike w:val="0"/>
                      <w:color w:val="auto"/>
                      <w:szCs w:val="21"/>
                      <w:highlight w:val="none"/>
                    </w:rPr>
                  </w:pPr>
                  <w:r>
                    <w:rPr>
                      <w:strike w:val="0"/>
                      <w:dstrike w:val="0"/>
                      <w:color w:val="auto"/>
                      <w:szCs w:val="21"/>
                      <w:highlight w:val="none"/>
                    </w:rPr>
                    <w:t>埋地卧式油罐</w:t>
                  </w:r>
                </w:p>
              </w:tc>
            </w:tr>
            <w:bookmarkEnd w:id="21"/>
            <w:bookmarkEnd w:id="22"/>
            <w:tr w14:paraId="6707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16F20A28">
                  <w:pPr>
                    <w:widowControl/>
                    <w:jc w:val="center"/>
                    <w:textAlignment w:val="center"/>
                    <w:rPr>
                      <w:strike w:val="0"/>
                      <w:dstrike w:val="0"/>
                      <w:color w:val="auto"/>
                      <w:kern w:val="0"/>
                      <w:szCs w:val="21"/>
                      <w:highlight w:val="none"/>
                      <w:lang w:bidi="ar"/>
                    </w:rPr>
                  </w:pPr>
                  <w:bookmarkStart w:id="25" w:name="OLE_LINK25" w:colFirst="3" w:colLast="3"/>
                </w:p>
              </w:tc>
              <w:tc>
                <w:tcPr>
                  <w:tcW w:w="2217" w:type="dxa"/>
                  <w:gridSpan w:val="2"/>
                  <w:vAlign w:val="center"/>
                </w:tcPr>
                <w:p w14:paraId="5A5743B2">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92#汽油罐</w:t>
                  </w:r>
                </w:p>
              </w:tc>
              <w:tc>
                <w:tcPr>
                  <w:tcW w:w="1370" w:type="dxa"/>
                  <w:vAlign w:val="center"/>
                </w:tcPr>
                <w:p w14:paraId="1B25A341">
                  <w:pPr>
                    <w:widowControl/>
                    <w:jc w:val="center"/>
                    <w:rPr>
                      <w:strike w:val="0"/>
                      <w:dstrike w:val="0"/>
                      <w:color w:val="auto"/>
                      <w:szCs w:val="21"/>
                      <w:highlight w:val="none"/>
                    </w:rPr>
                  </w:pPr>
                  <w:r>
                    <w:rPr>
                      <w:strike w:val="0"/>
                      <w:dstrike w:val="0"/>
                      <w:color w:val="auto"/>
                      <w:szCs w:val="21"/>
                      <w:highlight w:val="none"/>
                    </w:rPr>
                    <w:t>SF双层油罐，V=30m</w:t>
                  </w:r>
                  <w:r>
                    <w:rPr>
                      <w:strike w:val="0"/>
                      <w:dstrike w:val="0"/>
                      <w:color w:val="auto"/>
                      <w:szCs w:val="21"/>
                      <w:highlight w:val="none"/>
                      <w:vertAlign w:val="superscript"/>
                    </w:rPr>
                    <w:t>3</w:t>
                  </w:r>
                </w:p>
              </w:tc>
              <w:tc>
                <w:tcPr>
                  <w:tcW w:w="807" w:type="dxa"/>
                  <w:vAlign w:val="center"/>
                </w:tcPr>
                <w:p w14:paraId="0713EEFC">
                  <w:pPr>
                    <w:widowControl/>
                    <w:jc w:val="center"/>
                    <w:rPr>
                      <w:strike w:val="0"/>
                      <w:dstrike w:val="0"/>
                      <w:color w:val="auto"/>
                      <w:kern w:val="0"/>
                      <w:szCs w:val="21"/>
                      <w:highlight w:val="none"/>
                    </w:rPr>
                  </w:pPr>
                  <w:r>
                    <w:rPr>
                      <w:strike w:val="0"/>
                      <w:dstrike w:val="0"/>
                      <w:color w:val="auto"/>
                      <w:szCs w:val="21"/>
                      <w:highlight w:val="none"/>
                    </w:rPr>
                    <w:t>台</w:t>
                  </w:r>
                </w:p>
              </w:tc>
              <w:tc>
                <w:tcPr>
                  <w:tcW w:w="663" w:type="dxa"/>
                  <w:vAlign w:val="center"/>
                </w:tcPr>
                <w:p w14:paraId="16A95E05">
                  <w:pPr>
                    <w:widowControl/>
                    <w:jc w:val="center"/>
                    <w:rPr>
                      <w:strike w:val="0"/>
                      <w:dstrike w:val="0"/>
                      <w:color w:val="auto"/>
                      <w:kern w:val="0"/>
                      <w:szCs w:val="21"/>
                      <w:highlight w:val="none"/>
                    </w:rPr>
                  </w:pPr>
                  <w:r>
                    <w:rPr>
                      <w:strike w:val="0"/>
                      <w:dstrike w:val="0"/>
                      <w:color w:val="auto"/>
                      <w:szCs w:val="21"/>
                      <w:highlight w:val="none"/>
                    </w:rPr>
                    <w:t>1</w:t>
                  </w:r>
                </w:p>
              </w:tc>
              <w:tc>
                <w:tcPr>
                  <w:tcW w:w="1655" w:type="dxa"/>
                  <w:vAlign w:val="center"/>
                </w:tcPr>
                <w:p w14:paraId="6EC05DE7">
                  <w:pPr>
                    <w:widowControl/>
                    <w:jc w:val="center"/>
                    <w:rPr>
                      <w:strike w:val="0"/>
                      <w:dstrike w:val="0"/>
                      <w:color w:val="auto"/>
                      <w:szCs w:val="21"/>
                      <w:highlight w:val="none"/>
                    </w:rPr>
                  </w:pPr>
                  <w:r>
                    <w:rPr>
                      <w:strike w:val="0"/>
                      <w:dstrike w:val="0"/>
                      <w:color w:val="auto"/>
                      <w:szCs w:val="21"/>
                      <w:highlight w:val="none"/>
                    </w:rPr>
                    <w:t>埋地卧式油罐</w:t>
                  </w:r>
                </w:p>
              </w:tc>
            </w:tr>
            <w:tr w14:paraId="25C4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7AC647EE">
                  <w:pPr>
                    <w:widowControl/>
                    <w:jc w:val="center"/>
                    <w:textAlignment w:val="center"/>
                    <w:rPr>
                      <w:strike w:val="0"/>
                      <w:dstrike w:val="0"/>
                      <w:color w:val="auto"/>
                      <w:kern w:val="0"/>
                      <w:szCs w:val="21"/>
                      <w:highlight w:val="none"/>
                      <w:lang w:bidi="ar"/>
                    </w:rPr>
                  </w:pPr>
                  <w:bookmarkStart w:id="26" w:name="OLE_LINK23" w:colFirst="1" w:colLast="5"/>
                  <w:bookmarkStart w:id="27" w:name="OLE_LINK31" w:colFirst="3" w:colLast="4"/>
                </w:p>
              </w:tc>
              <w:tc>
                <w:tcPr>
                  <w:tcW w:w="2217" w:type="dxa"/>
                  <w:gridSpan w:val="2"/>
                  <w:vAlign w:val="center"/>
                </w:tcPr>
                <w:p w14:paraId="3B36A28E">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95#汽油罐</w:t>
                  </w:r>
                </w:p>
              </w:tc>
              <w:tc>
                <w:tcPr>
                  <w:tcW w:w="1370" w:type="dxa"/>
                  <w:vAlign w:val="center"/>
                </w:tcPr>
                <w:p w14:paraId="39A2B78C">
                  <w:pPr>
                    <w:widowControl/>
                    <w:jc w:val="center"/>
                    <w:rPr>
                      <w:strike w:val="0"/>
                      <w:dstrike w:val="0"/>
                      <w:color w:val="auto"/>
                      <w:szCs w:val="21"/>
                      <w:highlight w:val="none"/>
                    </w:rPr>
                  </w:pPr>
                  <w:r>
                    <w:rPr>
                      <w:strike w:val="0"/>
                      <w:dstrike w:val="0"/>
                      <w:color w:val="auto"/>
                      <w:szCs w:val="21"/>
                      <w:highlight w:val="none"/>
                    </w:rPr>
                    <w:t>SF双层油罐，V=30m</w:t>
                  </w:r>
                  <w:r>
                    <w:rPr>
                      <w:strike w:val="0"/>
                      <w:dstrike w:val="0"/>
                      <w:color w:val="auto"/>
                      <w:szCs w:val="21"/>
                      <w:highlight w:val="none"/>
                      <w:vertAlign w:val="superscript"/>
                    </w:rPr>
                    <w:t>3</w:t>
                  </w:r>
                </w:p>
              </w:tc>
              <w:tc>
                <w:tcPr>
                  <w:tcW w:w="807" w:type="dxa"/>
                  <w:vAlign w:val="center"/>
                </w:tcPr>
                <w:p w14:paraId="541E5B6F">
                  <w:pPr>
                    <w:widowControl/>
                    <w:jc w:val="center"/>
                    <w:rPr>
                      <w:strike w:val="0"/>
                      <w:dstrike w:val="0"/>
                      <w:color w:val="auto"/>
                      <w:szCs w:val="21"/>
                      <w:highlight w:val="none"/>
                    </w:rPr>
                  </w:pPr>
                  <w:r>
                    <w:rPr>
                      <w:strike w:val="0"/>
                      <w:dstrike w:val="0"/>
                      <w:color w:val="auto"/>
                      <w:szCs w:val="21"/>
                      <w:highlight w:val="none"/>
                    </w:rPr>
                    <w:t>台</w:t>
                  </w:r>
                </w:p>
              </w:tc>
              <w:tc>
                <w:tcPr>
                  <w:tcW w:w="663" w:type="dxa"/>
                  <w:vAlign w:val="center"/>
                </w:tcPr>
                <w:p w14:paraId="4BEBECCD">
                  <w:pPr>
                    <w:widowControl/>
                    <w:jc w:val="center"/>
                    <w:rPr>
                      <w:strike w:val="0"/>
                      <w:dstrike w:val="0"/>
                      <w:color w:val="auto"/>
                      <w:kern w:val="0"/>
                      <w:szCs w:val="21"/>
                      <w:highlight w:val="none"/>
                    </w:rPr>
                  </w:pPr>
                  <w:r>
                    <w:rPr>
                      <w:strike w:val="0"/>
                      <w:dstrike w:val="0"/>
                      <w:color w:val="auto"/>
                      <w:szCs w:val="21"/>
                      <w:highlight w:val="none"/>
                    </w:rPr>
                    <w:t>1</w:t>
                  </w:r>
                </w:p>
              </w:tc>
              <w:tc>
                <w:tcPr>
                  <w:tcW w:w="1655" w:type="dxa"/>
                  <w:vAlign w:val="center"/>
                </w:tcPr>
                <w:p w14:paraId="1BCF4402">
                  <w:pPr>
                    <w:widowControl/>
                    <w:jc w:val="center"/>
                    <w:rPr>
                      <w:strike w:val="0"/>
                      <w:dstrike w:val="0"/>
                      <w:color w:val="auto"/>
                      <w:kern w:val="0"/>
                      <w:szCs w:val="21"/>
                      <w:highlight w:val="none"/>
                    </w:rPr>
                  </w:pPr>
                  <w:r>
                    <w:rPr>
                      <w:strike w:val="0"/>
                      <w:dstrike w:val="0"/>
                      <w:color w:val="auto"/>
                      <w:szCs w:val="21"/>
                      <w:highlight w:val="none"/>
                    </w:rPr>
                    <w:t>埋地卧式油罐</w:t>
                  </w:r>
                </w:p>
              </w:tc>
            </w:tr>
            <w:bookmarkEnd w:id="23"/>
            <w:bookmarkEnd w:id="25"/>
            <w:bookmarkEnd w:id="26"/>
            <w:bookmarkEnd w:id="27"/>
            <w:tr w14:paraId="687E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29DEBBBE">
                  <w:pPr>
                    <w:widowControl/>
                    <w:jc w:val="center"/>
                    <w:rPr>
                      <w:strike w:val="0"/>
                      <w:dstrike w:val="0"/>
                      <w:color w:val="auto"/>
                      <w:szCs w:val="21"/>
                      <w:highlight w:val="none"/>
                    </w:rPr>
                  </w:pPr>
                </w:p>
              </w:tc>
              <w:tc>
                <w:tcPr>
                  <w:tcW w:w="2217" w:type="dxa"/>
                  <w:gridSpan w:val="2"/>
                  <w:vAlign w:val="center"/>
                </w:tcPr>
                <w:p w14:paraId="16079A08">
                  <w:pPr>
                    <w:widowControl/>
                    <w:jc w:val="center"/>
                    <w:rPr>
                      <w:strike w:val="0"/>
                      <w:dstrike w:val="0"/>
                      <w:color w:val="auto"/>
                      <w:szCs w:val="21"/>
                      <w:highlight w:val="none"/>
                    </w:rPr>
                  </w:pPr>
                  <w:bookmarkStart w:id="28" w:name="OLE_LINK26"/>
                  <w:r>
                    <w:rPr>
                      <w:strike w:val="0"/>
                      <w:dstrike w:val="0"/>
                      <w:color w:val="auto"/>
                      <w:szCs w:val="21"/>
                      <w:highlight w:val="none"/>
                    </w:rPr>
                    <w:t>潜油泵</w:t>
                  </w:r>
                  <w:bookmarkEnd w:id="28"/>
                </w:p>
              </w:tc>
              <w:tc>
                <w:tcPr>
                  <w:tcW w:w="1370" w:type="dxa"/>
                  <w:vAlign w:val="center"/>
                </w:tcPr>
                <w:p w14:paraId="3066B847">
                  <w:pPr>
                    <w:widowControl/>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0336D049">
                  <w:pPr>
                    <w:widowControl/>
                    <w:jc w:val="center"/>
                    <w:rPr>
                      <w:strike w:val="0"/>
                      <w:dstrike w:val="0"/>
                      <w:color w:val="auto"/>
                      <w:kern w:val="0"/>
                      <w:szCs w:val="21"/>
                      <w:highlight w:val="none"/>
                    </w:rPr>
                  </w:pPr>
                  <w:r>
                    <w:rPr>
                      <w:strike w:val="0"/>
                      <w:dstrike w:val="0"/>
                      <w:color w:val="auto"/>
                      <w:szCs w:val="21"/>
                      <w:highlight w:val="none"/>
                    </w:rPr>
                    <w:t>台</w:t>
                  </w:r>
                </w:p>
              </w:tc>
              <w:tc>
                <w:tcPr>
                  <w:tcW w:w="663" w:type="dxa"/>
                  <w:vAlign w:val="center"/>
                </w:tcPr>
                <w:p w14:paraId="4BE4463F">
                  <w:pPr>
                    <w:widowControl/>
                    <w:jc w:val="center"/>
                    <w:rPr>
                      <w:strike w:val="0"/>
                      <w:dstrike w:val="0"/>
                      <w:color w:val="auto"/>
                      <w:szCs w:val="21"/>
                      <w:highlight w:val="none"/>
                    </w:rPr>
                  </w:pPr>
                  <w:r>
                    <w:rPr>
                      <w:strike w:val="0"/>
                      <w:dstrike w:val="0"/>
                      <w:color w:val="auto"/>
                      <w:szCs w:val="21"/>
                      <w:highlight w:val="none"/>
                    </w:rPr>
                    <w:t>4</w:t>
                  </w:r>
                </w:p>
              </w:tc>
              <w:tc>
                <w:tcPr>
                  <w:tcW w:w="1655" w:type="dxa"/>
                  <w:vAlign w:val="center"/>
                </w:tcPr>
                <w:p w14:paraId="469DD037">
                  <w:pPr>
                    <w:widowControl/>
                    <w:jc w:val="center"/>
                    <w:rPr>
                      <w:strike w:val="0"/>
                      <w:dstrike w:val="0"/>
                      <w:color w:val="auto"/>
                      <w:szCs w:val="21"/>
                      <w:highlight w:val="none"/>
                    </w:rPr>
                  </w:pPr>
                  <w:r>
                    <w:rPr>
                      <w:strike w:val="0"/>
                      <w:dstrike w:val="0"/>
                      <w:color w:val="auto"/>
                      <w:szCs w:val="21"/>
                      <w:highlight w:val="none"/>
                    </w:rPr>
                    <w:t>/</w:t>
                  </w:r>
                </w:p>
              </w:tc>
            </w:tr>
            <w:tr w14:paraId="159C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943" w:type="dxa"/>
                  <w:vMerge w:val="continue"/>
                  <w:vAlign w:val="center"/>
                </w:tcPr>
                <w:p w14:paraId="67283006">
                  <w:pPr>
                    <w:widowControl/>
                    <w:jc w:val="center"/>
                    <w:rPr>
                      <w:strike w:val="0"/>
                      <w:dstrike w:val="0"/>
                      <w:color w:val="auto"/>
                      <w:szCs w:val="21"/>
                      <w:highlight w:val="none"/>
                    </w:rPr>
                  </w:pPr>
                </w:p>
              </w:tc>
              <w:tc>
                <w:tcPr>
                  <w:tcW w:w="2217" w:type="dxa"/>
                  <w:gridSpan w:val="2"/>
                  <w:vMerge w:val="restart"/>
                  <w:vAlign w:val="center"/>
                </w:tcPr>
                <w:p w14:paraId="19C60034">
                  <w:pPr>
                    <w:widowControl/>
                    <w:jc w:val="center"/>
                    <w:rPr>
                      <w:strike w:val="0"/>
                      <w:dstrike w:val="0"/>
                      <w:color w:val="auto"/>
                      <w:szCs w:val="21"/>
                      <w:highlight w:val="none"/>
                    </w:rPr>
                  </w:pPr>
                  <w:r>
                    <w:rPr>
                      <w:strike w:val="0"/>
                      <w:dstrike w:val="0"/>
                      <w:color w:val="auto"/>
                      <w:szCs w:val="21"/>
                      <w:highlight w:val="none"/>
                    </w:rPr>
                    <w:t>加油机</w:t>
                  </w:r>
                </w:p>
              </w:tc>
              <w:tc>
                <w:tcPr>
                  <w:tcW w:w="1370" w:type="dxa"/>
                  <w:vAlign w:val="center"/>
                </w:tcPr>
                <w:p w14:paraId="72AEEDB9">
                  <w:pPr>
                    <w:widowControl/>
                    <w:jc w:val="center"/>
                    <w:rPr>
                      <w:strike w:val="0"/>
                      <w:dstrike w:val="0"/>
                      <w:color w:val="auto"/>
                      <w:szCs w:val="21"/>
                      <w:highlight w:val="none"/>
                    </w:rPr>
                  </w:pPr>
                  <w:r>
                    <w:rPr>
                      <w:strike w:val="0"/>
                      <w:dstrike w:val="0"/>
                      <w:color w:val="auto"/>
                      <w:szCs w:val="21"/>
                      <w:highlight w:val="none"/>
                    </w:rPr>
                    <w:t>4枪加油机</w:t>
                  </w:r>
                </w:p>
              </w:tc>
              <w:tc>
                <w:tcPr>
                  <w:tcW w:w="807" w:type="dxa"/>
                  <w:vAlign w:val="center"/>
                </w:tcPr>
                <w:p w14:paraId="6EF7EC3C">
                  <w:pPr>
                    <w:widowControl/>
                    <w:jc w:val="center"/>
                    <w:rPr>
                      <w:strike w:val="0"/>
                      <w:dstrike w:val="0"/>
                      <w:color w:val="auto"/>
                      <w:szCs w:val="21"/>
                      <w:highlight w:val="none"/>
                    </w:rPr>
                  </w:pPr>
                  <w:r>
                    <w:rPr>
                      <w:strike w:val="0"/>
                      <w:dstrike w:val="0"/>
                      <w:color w:val="auto"/>
                      <w:szCs w:val="21"/>
                      <w:highlight w:val="none"/>
                    </w:rPr>
                    <w:t>台</w:t>
                  </w:r>
                </w:p>
              </w:tc>
              <w:tc>
                <w:tcPr>
                  <w:tcW w:w="663" w:type="dxa"/>
                  <w:vAlign w:val="center"/>
                </w:tcPr>
                <w:p w14:paraId="6AA38EF6">
                  <w:pPr>
                    <w:widowControl/>
                    <w:jc w:val="center"/>
                    <w:rPr>
                      <w:strike w:val="0"/>
                      <w:dstrike w:val="0"/>
                      <w:color w:val="auto"/>
                      <w:szCs w:val="21"/>
                      <w:highlight w:val="none"/>
                    </w:rPr>
                  </w:pPr>
                  <w:r>
                    <w:rPr>
                      <w:rFonts w:hint="eastAsia"/>
                      <w:strike w:val="0"/>
                      <w:dstrike w:val="0"/>
                      <w:color w:val="auto"/>
                      <w:szCs w:val="21"/>
                      <w:highlight w:val="none"/>
                    </w:rPr>
                    <w:t>2</w:t>
                  </w:r>
                </w:p>
              </w:tc>
              <w:tc>
                <w:tcPr>
                  <w:tcW w:w="1655" w:type="dxa"/>
                  <w:vAlign w:val="center"/>
                </w:tcPr>
                <w:p w14:paraId="4C703781">
                  <w:pPr>
                    <w:widowControl/>
                    <w:jc w:val="center"/>
                    <w:rPr>
                      <w:strike w:val="0"/>
                      <w:dstrike w:val="0"/>
                      <w:color w:val="auto"/>
                      <w:szCs w:val="21"/>
                      <w:highlight w:val="none"/>
                    </w:rPr>
                  </w:pPr>
                  <w:r>
                    <w:rPr>
                      <w:strike w:val="0"/>
                      <w:dstrike w:val="0"/>
                      <w:color w:val="auto"/>
                      <w:szCs w:val="21"/>
                      <w:highlight w:val="none"/>
                    </w:rPr>
                    <w:t>/</w:t>
                  </w:r>
                </w:p>
              </w:tc>
            </w:tr>
            <w:tr w14:paraId="13F4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943" w:type="dxa"/>
                  <w:vMerge w:val="continue"/>
                  <w:vAlign w:val="center"/>
                </w:tcPr>
                <w:p w14:paraId="4B3F050C">
                  <w:pPr>
                    <w:widowControl/>
                    <w:jc w:val="center"/>
                    <w:rPr>
                      <w:strike w:val="0"/>
                      <w:dstrike w:val="0"/>
                      <w:color w:val="auto"/>
                      <w:highlight w:val="none"/>
                    </w:rPr>
                  </w:pPr>
                </w:p>
              </w:tc>
              <w:tc>
                <w:tcPr>
                  <w:tcW w:w="2217" w:type="dxa"/>
                  <w:gridSpan w:val="2"/>
                  <w:vMerge w:val="continue"/>
                  <w:vAlign w:val="center"/>
                </w:tcPr>
                <w:p w14:paraId="075DF0F1">
                  <w:pPr>
                    <w:widowControl/>
                    <w:jc w:val="center"/>
                    <w:rPr>
                      <w:strike w:val="0"/>
                      <w:dstrike w:val="0"/>
                      <w:color w:val="auto"/>
                      <w:highlight w:val="none"/>
                    </w:rPr>
                  </w:pPr>
                </w:p>
              </w:tc>
              <w:tc>
                <w:tcPr>
                  <w:tcW w:w="1370" w:type="dxa"/>
                  <w:vAlign w:val="center"/>
                </w:tcPr>
                <w:p w14:paraId="68729F36">
                  <w:pPr>
                    <w:widowControl/>
                    <w:jc w:val="center"/>
                    <w:rPr>
                      <w:strike w:val="0"/>
                      <w:dstrike w:val="0"/>
                      <w:color w:val="auto"/>
                      <w:szCs w:val="21"/>
                      <w:highlight w:val="none"/>
                    </w:rPr>
                  </w:pPr>
                  <w:r>
                    <w:rPr>
                      <w:strike w:val="0"/>
                      <w:dstrike w:val="0"/>
                      <w:color w:val="auto"/>
                      <w:szCs w:val="21"/>
                      <w:highlight w:val="none"/>
                    </w:rPr>
                    <w:t>6枪加油机</w:t>
                  </w:r>
                </w:p>
              </w:tc>
              <w:tc>
                <w:tcPr>
                  <w:tcW w:w="807" w:type="dxa"/>
                  <w:shd w:val="clear" w:color="auto" w:fill="auto"/>
                  <w:vAlign w:val="center"/>
                </w:tcPr>
                <w:p w14:paraId="430B33BB">
                  <w:pPr>
                    <w:widowControl/>
                    <w:jc w:val="center"/>
                    <w:rPr>
                      <w:strike w:val="0"/>
                      <w:dstrike w:val="0"/>
                      <w:color w:val="auto"/>
                      <w:szCs w:val="21"/>
                      <w:highlight w:val="none"/>
                    </w:rPr>
                  </w:pPr>
                  <w:r>
                    <w:rPr>
                      <w:strike w:val="0"/>
                      <w:dstrike w:val="0"/>
                      <w:color w:val="auto"/>
                      <w:szCs w:val="21"/>
                      <w:highlight w:val="none"/>
                    </w:rPr>
                    <w:t>台</w:t>
                  </w:r>
                </w:p>
              </w:tc>
              <w:tc>
                <w:tcPr>
                  <w:tcW w:w="663" w:type="dxa"/>
                  <w:shd w:val="clear" w:color="auto" w:fill="auto"/>
                  <w:vAlign w:val="center"/>
                </w:tcPr>
                <w:p w14:paraId="16B37CAE">
                  <w:pPr>
                    <w:widowControl/>
                    <w:jc w:val="center"/>
                    <w:rPr>
                      <w:strike w:val="0"/>
                      <w:dstrike w:val="0"/>
                      <w:color w:val="auto"/>
                      <w:szCs w:val="21"/>
                      <w:highlight w:val="none"/>
                    </w:rPr>
                  </w:pPr>
                  <w:r>
                    <w:rPr>
                      <w:rFonts w:hint="eastAsia"/>
                      <w:strike w:val="0"/>
                      <w:dstrike w:val="0"/>
                      <w:color w:val="auto"/>
                      <w:szCs w:val="21"/>
                      <w:highlight w:val="none"/>
                    </w:rPr>
                    <w:t>2</w:t>
                  </w:r>
                </w:p>
              </w:tc>
              <w:tc>
                <w:tcPr>
                  <w:tcW w:w="1655" w:type="dxa"/>
                  <w:shd w:val="clear" w:color="auto" w:fill="auto"/>
                  <w:vAlign w:val="center"/>
                </w:tcPr>
                <w:p w14:paraId="0632EB39">
                  <w:pPr>
                    <w:widowControl/>
                    <w:jc w:val="center"/>
                    <w:rPr>
                      <w:strike w:val="0"/>
                      <w:dstrike w:val="0"/>
                      <w:color w:val="auto"/>
                      <w:szCs w:val="21"/>
                      <w:highlight w:val="none"/>
                    </w:rPr>
                  </w:pPr>
                  <w:r>
                    <w:rPr>
                      <w:strike w:val="0"/>
                      <w:dstrike w:val="0"/>
                      <w:color w:val="auto"/>
                      <w:szCs w:val="21"/>
                      <w:highlight w:val="none"/>
                    </w:rPr>
                    <w:t>/</w:t>
                  </w:r>
                </w:p>
              </w:tc>
            </w:tr>
            <w:tr w14:paraId="4BD3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74EF32BF">
                  <w:pPr>
                    <w:widowControl/>
                    <w:jc w:val="center"/>
                    <w:rPr>
                      <w:strike w:val="0"/>
                      <w:dstrike w:val="0"/>
                      <w:color w:val="auto"/>
                      <w:szCs w:val="21"/>
                      <w:highlight w:val="none"/>
                    </w:rPr>
                  </w:pPr>
                  <w:bookmarkStart w:id="29" w:name="OLE_LINK28" w:colFirst="1" w:colLast="5"/>
                  <w:bookmarkStart w:id="30" w:name="OLE_LINK32" w:colFirst="3" w:colLast="3"/>
                  <w:bookmarkStart w:id="31" w:name="OLE_LINK27" w:colFirst="1" w:colLast="1"/>
                  <w:bookmarkStart w:id="32" w:name="OLE_LINK45" w:colFirst="3" w:colLast="4"/>
                </w:p>
              </w:tc>
              <w:tc>
                <w:tcPr>
                  <w:tcW w:w="2217" w:type="dxa"/>
                  <w:gridSpan w:val="2"/>
                  <w:vAlign w:val="center"/>
                </w:tcPr>
                <w:p w14:paraId="16F9752E">
                  <w:pPr>
                    <w:widowControl/>
                    <w:jc w:val="center"/>
                    <w:rPr>
                      <w:strike w:val="0"/>
                      <w:dstrike w:val="0"/>
                      <w:color w:val="auto"/>
                      <w:szCs w:val="21"/>
                      <w:highlight w:val="none"/>
                    </w:rPr>
                  </w:pPr>
                  <w:r>
                    <w:rPr>
                      <w:strike w:val="0"/>
                      <w:dstrike w:val="0"/>
                      <w:color w:val="auto"/>
                      <w:szCs w:val="21"/>
                      <w:highlight w:val="none"/>
                    </w:rPr>
                    <w:t>油气回收系统</w:t>
                  </w:r>
                </w:p>
              </w:tc>
              <w:tc>
                <w:tcPr>
                  <w:tcW w:w="1370" w:type="dxa"/>
                  <w:vAlign w:val="center"/>
                </w:tcPr>
                <w:p w14:paraId="7007BB97">
                  <w:pPr>
                    <w:widowControl/>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45311B72">
                  <w:pPr>
                    <w:widowControl/>
                    <w:jc w:val="center"/>
                    <w:rPr>
                      <w:strike w:val="0"/>
                      <w:dstrike w:val="0"/>
                      <w:color w:val="auto"/>
                      <w:szCs w:val="21"/>
                      <w:highlight w:val="none"/>
                    </w:rPr>
                  </w:pPr>
                  <w:r>
                    <w:rPr>
                      <w:strike w:val="0"/>
                      <w:dstrike w:val="0"/>
                      <w:color w:val="auto"/>
                      <w:szCs w:val="21"/>
                      <w:highlight w:val="none"/>
                    </w:rPr>
                    <w:t>套</w:t>
                  </w:r>
                </w:p>
              </w:tc>
              <w:tc>
                <w:tcPr>
                  <w:tcW w:w="663" w:type="dxa"/>
                  <w:vAlign w:val="center"/>
                </w:tcPr>
                <w:p w14:paraId="4FB1ACF9">
                  <w:pPr>
                    <w:widowControl/>
                    <w:jc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4596A422">
                  <w:pPr>
                    <w:widowControl/>
                    <w:jc w:val="center"/>
                    <w:rPr>
                      <w:strike w:val="0"/>
                      <w:dstrike w:val="0"/>
                      <w:color w:val="auto"/>
                      <w:szCs w:val="21"/>
                      <w:highlight w:val="none"/>
                    </w:rPr>
                  </w:pPr>
                  <w:r>
                    <w:rPr>
                      <w:strike w:val="0"/>
                      <w:dstrike w:val="0"/>
                      <w:color w:val="auto"/>
                      <w:szCs w:val="21"/>
                      <w:highlight w:val="none"/>
                    </w:rPr>
                    <w:t>卸油及加油</w:t>
                  </w:r>
                </w:p>
              </w:tc>
            </w:tr>
            <w:tr w14:paraId="6B87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6DD40DFB">
                  <w:pPr>
                    <w:widowControl/>
                    <w:jc w:val="center"/>
                    <w:rPr>
                      <w:strike w:val="0"/>
                      <w:dstrike w:val="0"/>
                      <w:color w:val="auto"/>
                      <w:szCs w:val="21"/>
                      <w:highlight w:val="none"/>
                    </w:rPr>
                  </w:pPr>
                </w:p>
              </w:tc>
              <w:tc>
                <w:tcPr>
                  <w:tcW w:w="2217" w:type="dxa"/>
                  <w:gridSpan w:val="2"/>
                  <w:vAlign w:val="center"/>
                </w:tcPr>
                <w:p w14:paraId="3F88AF7C">
                  <w:pPr>
                    <w:widowControl/>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通气立管</w:t>
                  </w:r>
                </w:p>
              </w:tc>
              <w:tc>
                <w:tcPr>
                  <w:tcW w:w="1370" w:type="dxa"/>
                  <w:shd w:val="clear" w:color="auto" w:fill="auto"/>
                  <w:vAlign w:val="center"/>
                </w:tcPr>
                <w:p w14:paraId="536DB88B">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w:t>
                  </w:r>
                </w:p>
              </w:tc>
              <w:tc>
                <w:tcPr>
                  <w:tcW w:w="807" w:type="dxa"/>
                  <w:shd w:val="clear" w:color="auto" w:fill="auto"/>
                  <w:vAlign w:val="center"/>
                </w:tcPr>
                <w:p w14:paraId="1FF1003D">
                  <w:pPr>
                    <w:widowControl/>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根</w:t>
                  </w:r>
                </w:p>
              </w:tc>
              <w:tc>
                <w:tcPr>
                  <w:tcW w:w="663" w:type="dxa"/>
                  <w:vAlign w:val="center"/>
                </w:tcPr>
                <w:p w14:paraId="3B25C909">
                  <w:pPr>
                    <w:widowControl/>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4</w:t>
                  </w:r>
                </w:p>
              </w:tc>
              <w:tc>
                <w:tcPr>
                  <w:tcW w:w="1655" w:type="dxa"/>
                  <w:vAlign w:val="center"/>
                </w:tcPr>
                <w:p w14:paraId="77718321">
                  <w:pPr>
                    <w:widowControl/>
                    <w:jc w:val="center"/>
                    <w:rPr>
                      <w:strike w:val="0"/>
                      <w:dstrike w:val="0"/>
                      <w:color w:val="auto"/>
                      <w:szCs w:val="21"/>
                      <w:highlight w:val="none"/>
                    </w:rPr>
                  </w:pPr>
                </w:p>
              </w:tc>
            </w:tr>
            <w:bookmarkEnd w:id="29"/>
            <w:bookmarkEnd w:id="30"/>
            <w:bookmarkEnd w:id="31"/>
            <w:bookmarkEnd w:id="32"/>
            <w:tr w14:paraId="20CE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restart"/>
                  <w:vAlign w:val="center"/>
                </w:tcPr>
                <w:p w14:paraId="0A133B53">
                  <w:pPr>
                    <w:widowControl/>
                    <w:jc w:val="center"/>
                    <w:textAlignment w:val="center"/>
                    <w:rPr>
                      <w:strike w:val="0"/>
                      <w:dstrike w:val="0"/>
                      <w:color w:val="auto"/>
                      <w:kern w:val="0"/>
                      <w:szCs w:val="21"/>
                      <w:highlight w:val="none"/>
                      <w:lang w:bidi="ar"/>
                    </w:rPr>
                  </w:pPr>
                  <w:bookmarkStart w:id="33" w:name="OLE_LINK33" w:colFirst="1" w:colLast="4"/>
                  <w:r>
                    <w:rPr>
                      <w:strike w:val="0"/>
                      <w:dstrike w:val="0"/>
                      <w:color w:val="auto"/>
                      <w:kern w:val="0"/>
                      <w:szCs w:val="21"/>
                      <w:highlight w:val="none"/>
                      <w:lang w:bidi="ar"/>
                    </w:rPr>
                    <w:t>加气设备</w:t>
                  </w:r>
                </w:p>
              </w:tc>
              <w:tc>
                <w:tcPr>
                  <w:tcW w:w="2217" w:type="dxa"/>
                  <w:gridSpan w:val="2"/>
                  <w:vAlign w:val="center"/>
                </w:tcPr>
                <w:p w14:paraId="06012F35">
                  <w:pPr>
                    <w:widowControl/>
                    <w:jc w:val="center"/>
                    <w:textAlignment w:val="center"/>
                    <w:rPr>
                      <w:strike w:val="0"/>
                      <w:dstrike w:val="0"/>
                      <w:color w:val="auto"/>
                      <w:kern w:val="0"/>
                      <w:szCs w:val="21"/>
                      <w:highlight w:val="none"/>
                      <w:lang w:bidi="ar"/>
                    </w:rPr>
                  </w:pPr>
                  <w:bookmarkStart w:id="34" w:name="OLE_LINK43"/>
                  <w:r>
                    <w:rPr>
                      <w:strike w:val="0"/>
                      <w:dstrike w:val="0"/>
                      <w:color w:val="auto"/>
                      <w:szCs w:val="21"/>
                      <w:highlight w:val="none"/>
                    </w:rPr>
                    <w:t>LNG</w:t>
                  </w:r>
                  <w:bookmarkEnd w:id="34"/>
                  <w:r>
                    <w:rPr>
                      <w:strike w:val="0"/>
                      <w:dstrike w:val="0"/>
                      <w:color w:val="auto"/>
                      <w:szCs w:val="21"/>
                      <w:highlight w:val="none"/>
                    </w:rPr>
                    <w:t>卧式撬装储罐</w:t>
                  </w:r>
                </w:p>
              </w:tc>
              <w:tc>
                <w:tcPr>
                  <w:tcW w:w="1370" w:type="dxa"/>
                  <w:vAlign w:val="center"/>
                </w:tcPr>
                <w:p w14:paraId="6F4F3EAE">
                  <w:pPr>
                    <w:widowControl/>
                    <w:jc w:val="center"/>
                    <w:textAlignment w:val="center"/>
                    <w:rPr>
                      <w:strike w:val="0"/>
                      <w:dstrike w:val="0"/>
                      <w:color w:val="auto"/>
                      <w:szCs w:val="21"/>
                      <w:highlight w:val="none"/>
                    </w:rPr>
                  </w:pPr>
                  <w:r>
                    <w:rPr>
                      <w:strike w:val="0"/>
                      <w:dstrike w:val="0"/>
                      <w:color w:val="auto"/>
                      <w:szCs w:val="21"/>
                      <w:highlight w:val="none"/>
                    </w:rPr>
                    <w:t>不锈钢，V=60m</w:t>
                  </w:r>
                  <w:r>
                    <w:rPr>
                      <w:strike w:val="0"/>
                      <w:dstrike w:val="0"/>
                      <w:color w:val="auto"/>
                      <w:szCs w:val="21"/>
                      <w:highlight w:val="none"/>
                      <w:vertAlign w:val="superscript"/>
                    </w:rPr>
                    <w:t>3</w:t>
                  </w:r>
                </w:p>
              </w:tc>
              <w:tc>
                <w:tcPr>
                  <w:tcW w:w="807" w:type="dxa"/>
                  <w:vAlign w:val="center"/>
                </w:tcPr>
                <w:p w14:paraId="5B005AAB">
                  <w:pPr>
                    <w:widowControl/>
                    <w:jc w:val="center"/>
                    <w:rPr>
                      <w:strike w:val="0"/>
                      <w:dstrike w:val="0"/>
                      <w:color w:val="auto"/>
                      <w:kern w:val="0"/>
                      <w:szCs w:val="21"/>
                      <w:highlight w:val="none"/>
                    </w:rPr>
                  </w:pPr>
                  <w:r>
                    <w:rPr>
                      <w:strike w:val="0"/>
                      <w:dstrike w:val="0"/>
                      <w:color w:val="auto"/>
                      <w:szCs w:val="21"/>
                      <w:highlight w:val="none"/>
                    </w:rPr>
                    <w:t>台</w:t>
                  </w:r>
                </w:p>
              </w:tc>
              <w:tc>
                <w:tcPr>
                  <w:tcW w:w="663" w:type="dxa"/>
                  <w:vAlign w:val="center"/>
                </w:tcPr>
                <w:p w14:paraId="0FABC32F">
                  <w:pPr>
                    <w:widowControl/>
                    <w:jc w:val="center"/>
                    <w:rPr>
                      <w:strike w:val="0"/>
                      <w:dstrike w:val="0"/>
                      <w:color w:val="auto"/>
                      <w:kern w:val="0"/>
                      <w:szCs w:val="21"/>
                      <w:highlight w:val="none"/>
                    </w:rPr>
                  </w:pPr>
                  <w:r>
                    <w:rPr>
                      <w:strike w:val="0"/>
                      <w:dstrike w:val="0"/>
                      <w:color w:val="auto"/>
                      <w:szCs w:val="21"/>
                      <w:highlight w:val="none"/>
                    </w:rPr>
                    <w:t>1</w:t>
                  </w:r>
                </w:p>
              </w:tc>
              <w:tc>
                <w:tcPr>
                  <w:tcW w:w="1655" w:type="dxa"/>
                  <w:vAlign w:val="center"/>
                </w:tcPr>
                <w:p w14:paraId="5AAA139C">
                  <w:pPr>
                    <w:jc w:val="left"/>
                    <w:rPr>
                      <w:rFonts w:hint="eastAsia" w:eastAsia="宋体"/>
                      <w:strike w:val="0"/>
                      <w:dstrike w:val="0"/>
                      <w:color w:val="auto"/>
                      <w:kern w:val="0"/>
                      <w:szCs w:val="21"/>
                      <w:highlight w:val="none"/>
                      <w:lang w:eastAsia="zh-CN"/>
                    </w:rPr>
                  </w:pPr>
                  <w:r>
                    <w:rPr>
                      <w:strike w:val="0"/>
                      <w:dstrike w:val="0"/>
                      <w:color w:val="auto"/>
                      <w:szCs w:val="21"/>
                      <w:highlight w:val="none"/>
                    </w:rPr>
                    <w:t>内置潜液泵2台，</w:t>
                  </w:r>
                  <w:r>
                    <w:rPr>
                      <w:rFonts w:hint="eastAsia"/>
                      <w:strike w:val="0"/>
                      <w:dstrike w:val="0"/>
                      <w:color w:val="auto"/>
                      <w:szCs w:val="21"/>
                      <w:highlight w:val="none"/>
                    </w:rPr>
                    <w:t>BOG回收系统1套，</w:t>
                  </w:r>
                  <w:r>
                    <w:rPr>
                      <w:strike w:val="0"/>
                      <w:dstrike w:val="0"/>
                      <w:color w:val="auto"/>
                      <w:szCs w:val="21"/>
                      <w:highlight w:val="none"/>
                    </w:rPr>
                    <w:t>EAG 加热</w:t>
                  </w:r>
                  <w:r>
                    <w:rPr>
                      <w:strike w:val="0"/>
                      <w:dstrike w:val="0"/>
                      <w:color w:val="auto"/>
                      <w:sz w:val="21"/>
                      <w:szCs w:val="21"/>
                      <w:highlight w:val="none"/>
                    </w:rPr>
                    <w:t>器</w:t>
                  </w:r>
                  <w:r>
                    <w:rPr>
                      <w:rFonts w:hint="eastAsia"/>
                      <w:strike w:val="0"/>
                      <w:dstrike w:val="0"/>
                      <w:color w:val="auto"/>
                      <w:sz w:val="21"/>
                      <w:szCs w:val="21"/>
                      <w:highlight w:val="none"/>
                      <w:lang w:eastAsia="zh-CN"/>
                    </w:rPr>
                    <w:t>（</w:t>
                  </w:r>
                  <w:r>
                    <w:rPr>
                      <w:strike w:val="0"/>
                      <w:dstrike w:val="0"/>
                      <w:color w:val="auto"/>
                      <w:sz w:val="21"/>
                      <w:szCs w:val="21"/>
                      <w:highlight w:val="none"/>
                    </w:rPr>
                    <w:t>空温式</w:t>
                  </w:r>
                  <w:r>
                    <w:rPr>
                      <w:rFonts w:hint="eastAsia"/>
                      <w:strike w:val="0"/>
                      <w:dstrike w:val="0"/>
                      <w:color w:val="auto"/>
                      <w:sz w:val="21"/>
                      <w:szCs w:val="21"/>
                      <w:highlight w:val="none"/>
                      <w:lang w:val="en-US" w:eastAsia="zh-CN"/>
                    </w:rPr>
                    <w:t>气化器</w:t>
                  </w:r>
                  <w:r>
                    <w:rPr>
                      <w:rFonts w:hint="eastAsia"/>
                      <w:strike w:val="0"/>
                      <w:dstrike w:val="0"/>
                      <w:color w:val="auto"/>
                      <w:sz w:val="21"/>
                      <w:szCs w:val="21"/>
                      <w:highlight w:val="none"/>
                      <w:lang w:eastAsia="zh-CN"/>
                    </w:rPr>
                    <w:t>）</w:t>
                  </w:r>
                  <w:r>
                    <w:rPr>
                      <w:strike w:val="0"/>
                      <w:dstrike w:val="0"/>
                      <w:color w:val="auto"/>
                      <w:szCs w:val="21"/>
                      <w:highlight w:val="none"/>
                    </w:rPr>
                    <w:t>1</w:t>
                  </w:r>
                  <w:r>
                    <w:rPr>
                      <w:rFonts w:hint="eastAsia"/>
                      <w:strike w:val="0"/>
                      <w:dstrike w:val="0"/>
                      <w:color w:val="auto"/>
                      <w:szCs w:val="21"/>
                      <w:highlight w:val="none"/>
                    </w:rPr>
                    <w:t>套</w:t>
                  </w:r>
                  <w:r>
                    <w:rPr>
                      <w:strike w:val="0"/>
                      <w:dstrike w:val="0"/>
                      <w:color w:val="auto"/>
                      <w:szCs w:val="21"/>
                      <w:highlight w:val="none"/>
                    </w:rPr>
                    <w:t>，</w:t>
                  </w:r>
                  <w:r>
                    <w:rPr>
                      <w:rFonts w:hint="eastAsia"/>
                      <w:strike w:val="0"/>
                      <w:dstrike w:val="0"/>
                      <w:color w:val="auto"/>
                      <w:szCs w:val="21"/>
                      <w:highlight w:val="none"/>
                      <w:lang w:eastAsia="zh-CN"/>
                    </w:rPr>
                    <w:t>卸车/储罐增压器1台</w:t>
                  </w:r>
                </w:p>
              </w:tc>
            </w:tr>
            <w:bookmarkEnd w:id="33"/>
            <w:tr w14:paraId="3BE4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45436273">
                  <w:pPr>
                    <w:widowControl/>
                    <w:jc w:val="center"/>
                    <w:textAlignment w:val="center"/>
                    <w:rPr>
                      <w:strike w:val="0"/>
                      <w:dstrike w:val="0"/>
                      <w:color w:val="auto"/>
                      <w:kern w:val="0"/>
                      <w:szCs w:val="21"/>
                      <w:highlight w:val="none"/>
                      <w:lang w:bidi="ar"/>
                    </w:rPr>
                  </w:pPr>
                </w:p>
              </w:tc>
              <w:tc>
                <w:tcPr>
                  <w:tcW w:w="2217" w:type="dxa"/>
                  <w:gridSpan w:val="2"/>
                  <w:vAlign w:val="center"/>
                </w:tcPr>
                <w:p w14:paraId="10C2D8E9">
                  <w:pPr>
                    <w:widowControl/>
                    <w:jc w:val="center"/>
                    <w:textAlignment w:val="center"/>
                    <w:rPr>
                      <w:strike w:val="0"/>
                      <w:dstrike w:val="0"/>
                      <w:color w:val="auto"/>
                      <w:szCs w:val="21"/>
                      <w:highlight w:val="none"/>
                    </w:rPr>
                  </w:pPr>
                  <w:r>
                    <w:rPr>
                      <w:strike w:val="0"/>
                      <w:dstrike w:val="0"/>
                      <w:color w:val="auto"/>
                      <w:szCs w:val="21"/>
                      <w:highlight w:val="none"/>
                    </w:rPr>
                    <w:t>LNG加气机</w:t>
                  </w:r>
                </w:p>
              </w:tc>
              <w:tc>
                <w:tcPr>
                  <w:tcW w:w="1370" w:type="dxa"/>
                  <w:vAlign w:val="center"/>
                </w:tcPr>
                <w:p w14:paraId="3B1CA411">
                  <w:pPr>
                    <w:widowControl/>
                    <w:jc w:val="center"/>
                    <w:textAlignment w:val="center"/>
                    <w:rPr>
                      <w:strike w:val="0"/>
                      <w:dstrike w:val="0"/>
                      <w:color w:val="auto"/>
                      <w:szCs w:val="21"/>
                      <w:highlight w:val="none"/>
                    </w:rPr>
                  </w:pPr>
                  <w:r>
                    <w:rPr>
                      <w:strike w:val="0"/>
                      <w:dstrike w:val="0"/>
                      <w:color w:val="auto"/>
                      <w:szCs w:val="21"/>
                      <w:highlight w:val="none"/>
                    </w:rPr>
                    <w:t>单枪加气机，200W，220V</w:t>
                  </w:r>
                </w:p>
              </w:tc>
              <w:tc>
                <w:tcPr>
                  <w:tcW w:w="807" w:type="dxa"/>
                  <w:vAlign w:val="center"/>
                </w:tcPr>
                <w:p w14:paraId="5F10D7E2">
                  <w:pPr>
                    <w:widowControl/>
                    <w:jc w:val="center"/>
                    <w:rPr>
                      <w:strike w:val="0"/>
                      <w:dstrike w:val="0"/>
                      <w:color w:val="auto"/>
                      <w:szCs w:val="21"/>
                      <w:highlight w:val="none"/>
                    </w:rPr>
                  </w:pPr>
                  <w:r>
                    <w:rPr>
                      <w:strike w:val="0"/>
                      <w:dstrike w:val="0"/>
                      <w:color w:val="auto"/>
                      <w:szCs w:val="21"/>
                      <w:highlight w:val="none"/>
                    </w:rPr>
                    <w:t>台</w:t>
                  </w:r>
                </w:p>
              </w:tc>
              <w:tc>
                <w:tcPr>
                  <w:tcW w:w="663" w:type="dxa"/>
                  <w:vAlign w:val="center"/>
                </w:tcPr>
                <w:p w14:paraId="3B7AC39C">
                  <w:pPr>
                    <w:widowControl/>
                    <w:jc w:val="center"/>
                    <w:rPr>
                      <w:strike w:val="0"/>
                      <w:dstrike w:val="0"/>
                      <w:color w:val="auto"/>
                      <w:szCs w:val="21"/>
                      <w:highlight w:val="none"/>
                    </w:rPr>
                  </w:pPr>
                  <w:r>
                    <w:rPr>
                      <w:strike w:val="0"/>
                      <w:dstrike w:val="0"/>
                      <w:color w:val="auto"/>
                      <w:szCs w:val="21"/>
                      <w:highlight w:val="none"/>
                    </w:rPr>
                    <w:t>2</w:t>
                  </w:r>
                </w:p>
              </w:tc>
              <w:tc>
                <w:tcPr>
                  <w:tcW w:w="1655" w:type="dxa"/>
                  <w:vAlign w:val="center"/>
                </w:tcPr>
                <w:p w14:paraId="5ACDB6DA">
                  <w:pPr>
                    <w:adjustRightInd w:val="0"/>
                    <w:snapToGrid w:val="0"/>
                    <w:jc w:val="center"/>
                    <w:rPr>
                      <w:strike w:val="0"/>
                      <w:dstrike w:val="0"/>
                      <w:color w:val="auto"/>
                      <w:kern w:val="0"/>
                      <w:szCs w:val="21"/>
                      <w:highlight w:val="none"/>
                    </w:rPr>
                  </w:pPr>
                  <w:r>
                    <w:rPr>
                      <w:strike w:val="0"/>
                      <w:dstrike w:val="0"/>
                      <w:color w:val="auto"/>
                      <w:kern w:val="0"/>
                      <w:szCs w:val="21"/>
                      <w:highlight w:val="none"/>
                    </w:rPr>
                    <w:t>/</w:t>
                  </w:r>
                </w:p>
              </w:tc>
            </w:tr>
            <w:tr w14:paraId="08B8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5A7C4A3A">
                  <w:pPr>
                    <w:widowControl/>
                    <w:jc w:val="center"/>
                    <w:textAlignment w:val="center"/>
                    <w:rPr>
                      <w:strike w:val="0"/>
                      <w:dstrike w:val="0"/>
                      <w:color w:val="auto"/>
                      <w:kern w:val="0"/>
                      <w:szCs w:val="21"/>
                      <w:highlight w:val="none"/>
                      <w:lang w:bidi="ar"/>
                    </w:rPr>
                  </w:pPr>
                  <w:bookmarkStart w:id="35" w:name="OLE_LINK46" w:colFirst="3" w:colLast="4"/>
                  <w:bookmarkStart w:id="36" w:name="OLE_LINK48" w:colFirst="2" w:colLast="2"/>
                </w:p>
              </w:tc>
              <w:tc>
                <w:tcPr>
                  <w:tcW w:w="2217" w:type="dxa"/>
                  <w:gridSpan w:val="2"/>
                  <w:vAlign w:val="center"/>
                </w:tcPr>
                <w:p w14:paraId="0DFE9580">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放散管</w:t>
                  </w:r>
                </w:p>
              </w:tc>
              <w:tc>
                <w:tcPr>
                  <w:tcW w:w="1370" w:type="dxa"/>
                  <w:vAlign w:val="center"/>
                </w:tcPr>
                <w:p w14:paraId="19C9EF29">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626D3ED9">
                  <w:pPr>
                    <w:widowControl/>
                    <w:jc w:val="center"/>
                    <w:rPr>
                      <w:rFonts w:hint="eastAsia" w:eastAsia="宋体"/>
                      <w:strike w:val="0"/>
                      <w:dstrike w:val="0"/>
                      <w:color w:val="auto"/>
                      <w:szCs w:val="21"/>
                      <w:highlight w:val="none"/>
                      <w:lang w:eastAsia="zh-CN"/>
                    </w:rPr>
                  </w:pPr>
                  <w:r>
                    <w:rPr>
                      <w:rFonts w:hint="eastAsia"/>
                      <w:strike w:val="0"/>
                      <w:dstrike w:val="0"/>
                      <w:color w:val="auto"/>
                      <w:szCs w:val="21"/>
                      <w:highlight w:val="none"/>
                      <w:lang w:val="en-US" w:eastAsia="zh-CN"/>
                    </w:rPr>
                    <w:t>根</w:t>
                  </w:r>
                </w:p>
              </w:tc>
              <w:tc>
                <w:tcPr>
                  <w:tcW w:w="663" w:type="dxa"/>
                  <w:vAlign w:val="center"/>
                </w:tcPr>
                <w:p w14:paraId="465BE249">
                  <w:pPr>
                    <w:widowControl/>
                    <w:jc w:val="center"/>
                    <w:rPr>
                      <w:strike w:val="0"/>
                      <w:dstrike w:val="0"/>
                      <w:color w:val="auto"/>
                      <w:kern w:val="0"/>
                      <w:szCs w:val="21"/>
                      <w:highlight w:val="none"/>
                    </w:rPr>
                  </w:pPr>
                  <w:r>
                    <w:rPr>
                      <w:rFonts w:hint="eastAsia"/>
                      <w:strike w:val="0"/>
                      <w:dstrike w:val="0"/>
                      <w:color w:val="auto"/>
                      <w:szCs w:val="21"/>
                      <w:highlight w:val="none"/>
                    </w:rPr>
                    <w:t>1</w:t>
                  </w:r>
                </w:p>
              </w:tc>
              <w:tc>
                <w:tcPr>
                  <w:tcW w:w="1655" w:type="dxa"/>
                  <w:vAlign w:val="center"/>
                </w:tcPr>
                <w:p w14:paraId="675502D5">
                  <w:pPr>
                    <w:adjustRightInd w:val="0"/>
                    <w:snapToGrid w:val="0"/>
                    <w:jc w:val="center"/>
                    <w:rPr>
                      <w:strike w:val="0"/>
                      <w:dstrike w:val="0"/>
                      <w:color w:val="auto"/>
                      <w:kern w:val="0"/>
                      <w:szCs w:val="21"/>
                      <w:highlight w:val="none"/>
                    </w:rPr>
                  </w:pPr>
                  <w:r>
                    <w:rPr>
                      <w:strike w:val="0"/>
                      <w:dstrike w:val="0"/>
                      <w:color w:val="auto"/>
                      <w:kern w:val="0"/>
                      <w:szCs w:val="21"/>
                      <w:highlight w:val="none"/>
                    </w:rPr>
                    <w:t>/</w:t>
                  </w:r>
                </w:p>
              </w:tc>
            </w:tr>
            <w:tr w14:paraId="08FB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943" w:type="dxa"/>
                  <w:vMerge w:val="continue"/>
                  <w:vAlign w:val="center"/>
                </w:tcPr>
                <w:p w14:paraId="227B34CC">
                  <w:pPr>
                    <w:widowControl/>
                    <w:jc w:val="center"/>
                    <w:textAlignment w:val="center"/>
                    <w:rPr>
                      <w:strike w:val="0"/>
                      <w:dstrike w:val="0"/>
                      <w:color w:val="auto"/>
                      <w:kern w:val="0"/>
                      <w:szCs w:val="21"/>
                      <w:highlight w:val="none"/>
                      <w:lang w:bidi="ar"/>
                    </w:rPr>
                  </w:pPr>
                </w:p>
              </w:tc>
              <w:tc>
                <w:tcPr>
                  <w:tcW w:w="867" w:type="dxa"/>
                  <w:vMerge w:val="restart"/>
                  <w:vAlign w:val="center"/>
                </w:tcPr>
                <w:p w14:paraId="55663A73">
                  <w:pPr>
                    <w:jc w:val="center"/>
                    <w:rPr>
                      <w:strike w:val="0"/>
                      <w:dstrike w:val="0"/>
                      <w:color w:val="auto"/>
                      <w:szCs w:val="21"/>
                      <w:highlight w:val="none"/>
                    </w:rPr>
                  </w:pPr>
                  <w:r>
                    <w:rPr>
                      <w:strike w:val="0"/>
                      <w:dstrike w:val="0"/>
                      <w:color w:val="auto"/>
                      <w:szCs w:val="21"/>
                      <w:highlight w:val="none"/>
                    </w:rPr>
                    <w:t>仪表风系统</w:t>
                  </w:r>
                </w:p>
              </w:tc>
              <w:tc>
                <w:tcPr>
                  <w:tcW w:w="1350" w:type="dxa"/>
                  <w:vAlign w:val="center"/>
                </w:tcPr>
                <w:p w14:paraId="36F3341A">
                  <w:pPr>
                    <w:jc w:val="center"/>
                    <w:rPr>
                      <w:strike w:val="0"/>
                      <w:dstrike w:val="0"/>
                      <w:color w:val="auto"/>
                      <w:szCs w:val="21"/>
                      <w:highlight w:val="none"/>
                    </w:rPr>
                  </w:pPr>
                  <w:r>
                    <w:rPr>
                      <w:strike w:val="0"/>
                      <w:dstrike w:val="0"/>
                      <w:color w:val="auto"/>
                      <w:szCs w:val="21"/>
                      <w:highlight w:val="none"/>
                    </w:rPr>
                    <w:t>静音空压机</w:t>
                  </w:r>
                </w:p>
              </w:tc>
              <w:tc>
                <w:tcPr>
                  <w:tcW w:w="1370" w:type="dxa"/>
                  <w:vAlign w:val="center"/>
                </w:tcPr>
                <w:p w14:paraId="63DFAA85">
                  <w:pPr>
                    <w:jc w:val="center"/>
                    <w:rPr>
                      <w:strike w:val="0"/>
                      <w:dstrike w:val="0"/>
                      <w:color w:val="auto"/>
                      <w:szCs w:val="21"/>
                      <w:highlight w:val="none"/>
                    </w:rPr>
                  </w:pPr>
                  <w:r>
                    <w:rPr>
                      <w:strike w:val="0"/>
                      <w:dstrike w:val="0"/>
                      <w:color w:val="auto"/>
                      <w:szCs w:val="21"/>
                      <w:highlight w:val="none"/>
                    </w:rPr>
                    <w:t>3kW，220V</w:t>
                  </w:r>
                </w:p>
              </w:tc>
              <w:tc>
                <w:tcPr>
                  <w:tcW w:w="807" w:type="dxa"/>
                  <w:vAlign w:val="center"/>
                </w:tcPr>
                <w:p w14:paraId="4293D587">
                  <w:pPr>
                    <w:jc w:val="center"/>
                    <w:rPr>
                      <w:strike w:val="0"/>
                      <w:dstrike w:val="0"/>
                      <w:color w:val="auto"/>
                      <w:szCs w:val="21"/>
                      <w:highlight w:val="none"/>
                    </w:rPr>
                  </w:pPr>
                  <w:r>
                    <w:rPr>
                      <w:strike w:val="0"/>
                      <w:dstrike w:val="0"/>
                      <w:color w:val="auto"/>
                      <w:szCs w:val="21"/>
                      <w:highlight w:val="none"/>
                    </w:rPr>
                    <w:t>台</w:t>
                  </w:r>
                </w:p>
              </w:tc>
              <w:tc>
                <w:tcPr>
                  <w:tcW w:w="663" w:type="dxa"/>
                  <w:vAlign w:val="center"/>
                </w:tcPr>
                <w:p w14:paraId="56D76140">
                  <w:pPr>
                    <w:jc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6526CD4E">
                  <w:pPr>
                    <w:jc w:val="center"/>
                    <w:rPr>
                      <w:strike w:val="0"/>
                      <w:dstrike w:val="0"/>
                      <w:color w:val="auto"/>
                      <w:szCs w:val="21"/>
                      <w:highlight w:val="none"/>
                    </w:rPr>
                  </w:pPr>
                  <w:r>
                    <w:rPr>
                      <w:strike w:val="0"/>
                      <w:dstrike w:val="0"/>
                      <w:color w:val="auto"/>
                      <w:szCs w:val="21"/>
                      <w:highlight w:val="none"/>
                    </w:rPr>
                    <w:t>/</w:t>
                  </w:r>
                </w:p>
              </w:tc>
            </w:tr>
            <w:tr w14:paraId="1D7D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943" w:type="dxa"/>
                  <w:vMerge w:val="continue"/>
                  <w:vAlign w:val="center"/>
                </w:tcPr>
                <w:p w14:paraId="5F9A6B4D">
                  <w:pPr>
                    <w:adjustRightInd w:val="0"/>
                    <w:snapToGrid w:val="0"/>
                    <w:jc w:val="center"/>
                    <w:rPr>
                      <w:strike w:val="0"/>
                      <w:dstrike w:val="0"/>
                      <w:color w:val="auto"/>
                      <w:highlight w:val="none"/>
                    </w:rPr>
                  </w:pPr>
                </w:p>
              </w:tc>
              <w:tc>
                <w:tcPr>
                  <w:tcW w:w="867" w:type="dxa"/>
                  <w:vMerge w:val="continue"/>
                  <w:vAlign w:val="center"/>
                </w:tcPr>
                <w:p w14:paraId="1A2743E3">
                  <w:pPr>
                    <w:adjustRightInd w:val="0"/>
                    <w:snapToGrid w:val="0"/>
                    <w:jc w:val="center"/>
                    <w:rPr>
                      <w:strike w:val="0"/>
                      <w:dstrike w:val="0"/>
                      <w:color w:val="auto"/>
                      <w:szCs w:val="21"/>
                      <w:highlight w:val="none"/>
                    </w:rPr>
                  </w:pPr>
                </w:p>
              </w:tc>
              <w:tc>
                <w:tcPr>
                  <w:tcW w:w="1350" w:type="dxa"/>
                  <w:vAlign w:val="center"/>
                </w:tcPr>
                <w:p w14:paraId="70672F79">
                  <w:pPr>
                    <w:jc w:val="center"/>
                    <w:rPr>
                      <w:strike w:val="0"/>
                      <w:dstrike w:val="0"/>
                      <w:color w:val="auto"/>
                      <w:szCs w:val="21"/>
                      <w:highlight w:val="none"/>
                    </w:rPr>
                  </w:pPr>
                  <w:r>
                    <w:rPr>
                      <w:strike w:val="0"/>
                      <w:dstrike w:val="0"/>
                      <w:color w:val="auto"/>
                      <w:szCs w:val="21"/>
                      <w:highlight w:val="none"/>
                    </w:rPr>
                    <w:t>风冷冷干机</w:t>
                  </w:r>
                </w:p>
              </w:tc>
              <w:tc>
                <w:tcPr>
                  <w:tcW w:w="1370" w:type="dxa"/>
                  <w:vAlign w:val="center"/>
                </w:tcPr>
                <w:p w14:paraId="07E20A96">
                  <w:pPr>
                    <w:jc w:val="center"/>
                    <w:rPr>
                      <w:strike w:val="0"/>
                      <w:dstrike w:val="0"/>
                      <w:color w:val="auto"/>
                      <w:szCs w:val="21"/>
                      <w:highlight w:val="none"/>
                    </w:rPr>
                  </w:pPr>
                  <w:r>
                    <w:rPr>
                      <w:strike w:val="0"/>
                      <w:dstrike w:val="0"/>
                      <w:color w:val="auto"/>
                      <w:szCs w:val="21"/>
                      <w:highlight w:val="none"/>
                    </w:rPr>
                    <w:t>280w，220V</w:t>
                  </w:r>
                </w:p>
              </w:tc>
              <w:tc>
                <w:tcPr>
                  <w:tcW w:w="807" w:type="dxa"/>
                  <w:vAlign w:val="center"/>
                </w:tcPr>
                <w:p w14:paraId="5977CCE5">
                  <w:pPr>
                    <w:jc w:val="center"/>
                    <w:rPr>
                      <w:strike w:val="0"/>
                      <w:dstrike w:val="0"/>
                      <w:color w:val="auto"/>
                      <w:szCs w:val="21"/>
                      <w:highlight w:val="none"/>
                    </w:rPr>
                  </w:pPr>
                  <w:r>
                    <w:rPr>
                      <w:strike w:val="0"/>
                      <w:dstrike w:val="0"/>
                      <w:color w:val="auto"/>
                      <w:szCs w:val="21"/>
                      <w:highlight w:val="none"/>
                    </w:rPr>
                    <w:t>台</w:t>
                  </w:r>
                </w:p>
              </w:tc>
              <w:tc>
                <w:tcPr>
                  <w:tcW w:w="663" w:type="dxa"/>
                  <w:vAlign w:val="center"/>
                </w:tcPr>
                <w:p w14:paraId="04E9A478">
                  <w:pPr>
                    <w:jc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1FA3E1C4">
                  <w:pPr>
                    <w:jc w:val="center"/>
                    <w:rPr>
                      <w:strike w:val="0"/>
                      <w:dstrike w:val="0"/>
                      <w:color w:val="auto"/>
                      <w:szCs w:val="21"/>
                      <w:highlight w:val="none"/>
                    </w:rPr>
                  </w:pPr>
                  <w:r>
                    <w:rPr>
                      <w:strike w:val="0"/>
                      <w:dstrike w:val="0"/>
                      <w:color w:val="auto"/>
                      <w:szCs w:val="21"/>
                      <w:highlight w:val="none"/>
                    </w:rPr>
                    <w:t>/</w:t>
                  </w:r>
                </w:p>
              </w:tc>
            </w:tr>
            <w:bookmarkEnd w:id="35"/>
            <w:tr w14:paraId="55E7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restart"/>
                  <w:vAlign w:val="center"/>
                </w:tcPr>
                <w:p w14:paraId="0DFE1CE1">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预防设施</w:t>
                  </w:r>
                </w:p>
              </w:tc>
              <w:tc>
                <w:tcPr>
                  <w:tcW w:w="2217" w:type="dxa"/>
                  <w:gridSpan w:val="2"/>
                  <w:vAlign w:val="center"/>
                </w:tcPr>
                <w:p w14:paraId="5C4150C6">
                  <w:pPr>
                    <w:widowControl/>
                    <w:jc w:val="center"/>
                    <w:textAlignment w:val="center"/>
                    <w:rPr>
                      <w:strike w:val="0"/>
                      <w:dstrike w:val="0"/>
                      <w:color w:val="auto"/>
                      <w:kern w:val="0"/>
                      <w:szCs w:val="21"/>
                      <w:highlight w:val="none"/>
                      <w:lang w:bidi="ar"/>
                    </w:rPr>
                  </w:pPr>
                  <w:r>
                    <w:rPr>
                      <w:strike w:val="0"/>
                      <w:dstrike w:val="0"/>
                      <w:color w:val="auto"/>
                      <w:szCs w:val="21"/>
                      <w:highlight w:val="none"/>
                    </w:rPr>
                    <w:t>静电接地报警仪</w:t>
                  </w:r>
                </w:p>
              </w:tc>
              <w:tc>
                <w:tcPr>
                  <w:tcW w:w="1370" w:type="dxa"/>
                  <w:vAlign w:val="center"/>
                </w:tcPr>
                <w:p w14:paraId="57196715">
                  <w:pPr>
                    <w:widowControl/>
                    <w:jc w:val="center"/>
                    <w:textAlignment w:val="center"/>
                    <w:rPr>
                      <w:strike w:val="0"/>
                      <w:dstrike w:val="0"/>
                      <w:color w:val="auto"/>
                      <w:szCs w:val="21"/>
                      <w:highlight w:val="none"/>
                    </w:rPr>
                  </w:pPr>
                  <w:r>
                    <w:rPr>
                      <w:strike w:val="0"/>
                      <w:dstrike w:val="0"/>
                      <w:color w:val="auto"/>
                      <w:szCs w:val="21"/>
                      <w:highlight w:val="none"/>
                    </w:rPr>
                    <w:t>/</w:t>
                  </w:r>
                </w:p>
              </w:tc>
              <w:tc>
                <w:tcPr>
                  <w:tcW w:w="807" w:type="dxa"/>
                  <w:vAlign w:val="center"/>
                </w:tcPr>
                <w:p w14:paraId="5C1B67BD">
                  <w:pPr>
                    <w:widowControl/>
                    <w:jc w:val="center"/>
                    <w:rPr>
                      <w:strike w:val="0"/>
                      <w:dstrike w:val="0"/>
                      <w:color w:val="auto"/>
                      <w:szCs w:val="21"/>
                      <w:highlight w:val="none"/>
                    </w:rPr>
                  </w:pPr>
                  <w:r>
                    <w:rPr>
                      <w:strike w:val="0"/>
                      <w:dstrike w:val="0"/>
                      <w:color w:val="auto"/>
                      <w:szCs w:val="21"/>
                      <w:highlight w:val="none"/>
                    </w:rPr>
                    <w:t>套</w:t>
                  </w:r>
                </w:p>
              </w:tc>
              <w:tc>
                <w:tcPr>
                  <w:tcW w:w="663" w:type="dxa"/>
                  <w:vAlign w:val="center"/>
                </w:tcPr>
                <w:p w14:paraId="50062DDA">
                  <w:pPr>
                    <w:widowControl/>
                    <w:jc w:val="center"/>
                    <w:textAlignment w:val="center"/>
                    <w:rPr>
                      <w:strike w:val="0"/>
                      <w:dstrike w:val="0"/>
                      <w:color w:val="auto"/>
                      <w:szCs w:val="21"/>
                      <w:highlight w:val="none"/>
                    </w:rPr>
                  </w:pPr>
                  <w:r>
                    <w:rPr>
                      <w:strike w:val="0"/>
                      <w:dstrike w:val="0"/>
                      <w:color w:val="auto"/>
                      <w:szCs w:val="21"/>
                      <w:highlight w:val="none"/>
                    </w:rPr>
                    <w:t>2</w:t>
                  </w:r>
                </w:p>
              </w:tc>
              <w:tc>
                <w:tcPr>
                  <w:tcW w:w="1655" w:type="dxa"/>
                  <w:vAlign w:val="center"/>
                </w:tcPr>
                <w:p w14:paraId="18DEB190">
                  <w:pPr>
                    <w:jc w:val="center"/>
                    <w:rPr>
                      <w:strike w:val="0"/>
                      <w:dstrike w:val="0"/>
                      <w:color w:val="auto"/>
                      <w:kern w:val="0"/>
                      <w:szCs w:val="21"/>
                      <w:highlight w:val="none"/>
                    </w:rPr>
                  </w:pPr>
                  <w:r>
                    <w:rPr>
                      <w:strike w:val="0"/>
                      <w:dstrike w:val="0"/>
                      <w:color w:val="auto"/>
                      <w:szCs w:val="21"/>
                      <w:highlight w:val="none"/>
                    </w:rPr>
                    <w:t>/</w:t>
                  </w:r>
                </w:p>
              </w:tc>
            </w:tr>
            <w:tr w14:paraId="414F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2031F41F">
                  <w:pPr>
                    <w:widowControl/>
                    <w:jc w:val="center"/>
                    <w:textAlignment w:val="center"/>
                    <w:rPr>
                      <w:strike w:val="0"/>
                      <w:dstrike w:val="0"/>
                      <w:color w:val="auto"/>
                      <w:kern w:val="0"/>
                      <w:szCs w:val="21"/>
                      <w:highlight w:val="none"/>
                      <w:lang w:bidi="ar"/>
                    </w:rPr>
                  </w:pPr>
                </w:p>
              </w:tc>
              <w:tc>
                <w:tcPr>
                  <w:tcW w:w="2217" w:type="dxa"/>
                  <w:gridSpan w:val="2"/>
                  <w:vAlign w:val="center"/>
                </w:tcPr>
                <w:p w14:paraId="1769B1C2">
                  <w:pPr>
                    <w:jc w:val="center"/>
                    <w:rPr>
                      <w:strike w:val="0"/>
                      <w:dstrike w:val="0"/>
                      <w:color w:val="auto"/>
                      <w:szCs w:val="21"/>
                      <w:highlight w:val="none"/>
                    </w:rPr>
                  </w:pPr>
                  <w:r>
                    <w:rPr>
                      <w:strike w:val="0"/>
                      <w:dstrike w:val="0"/>
                      <w:color w:val="auto"/>
                      <w:szCs w:val="21"/>
                      <w:highlight w:val="none"/>
                    </w:rPr>
                    <w:t>人体静电消除器</w:t>
                  </w:r>
                </w:p>
              </w:tc>
              <w:tc>
                <w:tcPr>
                  <w:tcW w:w="1370" w:type="dxa"/>
                  <w:vAlign w:val="center"/>
                </w:tcPr>
                <w:p w14:paraId="3B1013A2">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4B3AC87B">
                  <w:pPr>
                    <w:widowControl/>
                    <w:jc w:val="center"/>
                    <w:rPr>
                      <w:strike w:val="0"/>
                      <w:dstrike w:val="0"/>
                      <w:color w:val="auto"/>
                      <w:szCs w:val="21"/>
                      <w:highlight w:val="none"/>
                    </w:rPr>
                  </w:pPr>
                  <w:r>
                    <w:rPr>
                      <w:strike w:val="0"/>
                      <w:dstrike w:val="0"/>
                      <w:color w:val="auto"/>
                      <w:szCs w:val="21"/>
                      <w:highlight w:val="none"/>
                    </w:rPr>
                    <w:t>套</w:t>
                  </w:r>
                </w:p>
              </w:tc>
              <w:tc>
                <w:tcPr>
                  <w:tcW w:w="663" w:type="dxa"/>
                  <w:vAlign w:val="center"/>
                </w:tcPr>
                <w:p w14:paraId="555EBC1C">
                  <w:pPr>
                    <w:widowControl/>
                    <w:jc w:val="center"/>
                    <w:textAlignment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363FAB39">
                  <w:pPr>
                    <w:jc w:val="center"/>
                    <w:rPr>
                      <w:strike w:val="0"/>
                      <w:dstrike w:val="0"/>
                      <w:color w:val="auto"/>
                      <w:kern w:val="0"/>
                      <w:szCs w:val="21"/>
                      <w:highlight w:val="none"/>
                    </w:rPr>
                  </w:pPr>
                  <w:r>
                    <w:rPr>
                      <w:strike w:val="0"/>
                      <w:dstrike w:val="0"/>
                      <w:color w:val="auto"/>
                      <w:szCs w:val="21"/>
                      <w:highlight w:val="none"/>
                    </w:rPr>
                    <w:t>/</w:t>
                  </w:r>
                </w:p>
              </w:tc>
            </w:tr>
            <w:tr w14:paraId="7C16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14DA8CDE">
                  <w:pPr>
                    <w:adjustRightInd w:val="0"/>
                    <w:snapToGrid w:val="0"/>
                    <w:jc w:val="center"/>
                    <w:rPr>
                      <w:strike w:val="0"/>
                      <w:dstrike w:val="0"/>
                      <w:color w:val="auto"/>
                      <w:szCs w:val="21"/>
                      <w:highlight w:val="none"/>
                    </w:rPr>
                  </w:pPr>
                </w:p>
              </w:tc>
              <w:tc>
                <w:tcPr>
                  <w:tcW w:w="2217" w:type="dxa"/>
                  <w:gridSpan w:val="2"/>
                  <w:vAlign w:val="center"/>
                </w:tcPr>
                <w:p w14:paraId="5AFB27EA">
                  <w:pPr>
                    <w:adjustRightInd w:val="0"/>
                    <w:snapToGrid w:val="0"/>
                    <w:jc w:val="center"/>
                    <w:rPr>
                      <w:strike w:val="0"/>
                      <w:dstrike w:val="0"/>
                      <w:color w:val="auto"/>
                      <w:szCs w:val="21"/>
                      <w:highlight w:val="none"/>
                    </w:rPr>
                  </w:pPr>
                  <w:r>
                    <w:rPr>
                      <w:strike w:val="0"/>
                      <w:dstrike w:val="0"/>
                      <w:color w:val="auto"/>
                      <w:szCs w:val="21"/>
                      <w:highlight w:val="none"/>
                    </w:rPr>
                    <w:t>高</w:t>
                  </w:r>
                  <w:bookmarkStart w:id="37" w:name="OLE_LINK34"/>
                  <w:r>
                    <w:rPr>
                      <w:strike w:val="0"/>
                      <w:dstrike w:val="0"/>
                      <w:color w:val="auto"/>
                      <w:szCs w:val="21"/>
                      <w:highlight w:val="none"/>
                    </w:rPr>
                    <w:t>液位报警联锁装置</w:t>
                  </w:r>
                  <w:bookmarkEnd w:id="37"/>
                </w:p>
              </w:tc>
              <w:tc>
                <w:tcPr>
                  <w:tcW w:w="1370" w:type="dxa"/>
                  <w:vAlign w:val="center"/>
                </w:tcPr>
                <w:p w14:paraId="50721680">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032E2FD2">
                  <w:pPr>
                    <w:widowControl/>
                    <w:jc w:val="center"/>
                    <w:rPr>
                      <w:strike w:val="0"/>
                      <w:dstrike w:val="0"/>
                      <w:color w:val="auto"/>
                      <w:szCs w:val="21"/>
                      <w:highlight w:val="none"/>
                    </w:rPr>
                  </w:pPr>
                  <w:r>
                    <w:rPr>
                      <w:strike w:val="0"/>
                      <w:dstrike w:val="0"/>
                      <w:color w:val="auto"/>
                      <w:szCs w:val="21"/>
                      <w:highlight w:val="none"/>
                    </w:rPr>
                    <w:t>套</w:t>
                  </w:r>
                </w:p>
              </w:tc>
              <w:tc>
                <w:tcPr>
                  <w:tcW w:w="663" w:type="dxa"/>
                  <w:vAlign w:val="center"/>
                </w:tcPr>
                <w:p w14:paraId="1CEE8BF5">
                  <w:pPr>
                    <w:widowControl/>
                    <w:jc w:val="center"/>
                    <w:textAlignment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6B027BCC">
                  <w:pPr>
                    <w:jc w:val="center"/>
                    <w:rPr>
                      <w:strike w:val="0"/>
                      <w:dstrike w:val="0"/>
                      <w:color w:val="auto"/>
                      <w:kern w:val="0"/>
                      <w:szCs w:val="21"/>
                      <w:highlight w:val="none"/>
                    </w:rPr>
                  </w:pPr>
                  <w:r>
                    <w:rPr>
                      <w:strike w:val="0"/>
                      <w:dstrike w:val="0"/>
                      <w:color w:val="auto"/>
                      <w:szCs w:val="21"/>
                      <w:highlight w:val="none"/>
                    </w:rPr>
                    <w:t>/</w:t>
                  </w:r>
                </w:p>
              </w:tc>
            </w:tr>
            <w:tr w14:paraId="0042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4948328A">
                  <w:pPr>
                    <w:adjustRightInd w:val="0"/>
                    <w:snapToGrid w:val="0"/>
                    <w:jc w:val="center"/>
                    <w:rPr>
                      <w:strike w:val="0"/>
                      <w:dstrike w:val="0"/>
                      <w:color w:val="auto"/>
                      <w:szCs w:val="21"/>
                      <w:highlight w:val="none"/>
                    </w:rPr>
                  </w:pPr>
                  <w:bookmarkStart w:id="38" w:name="OLE_LINK35" w:colFirst="3" w:colLast="4"/>
                  <w:bookmarkStart w:id="39" w:name="OLE_LINK47" w:colFirst="2" w:colLast="4"/>
                  <w:bookmarkStart w:id="40" w:name="OLE_LINK36" w:colFirst="3" w:colLast="3"/>
                </w:p>
              </w:tc>
              <w:tc>
                <w:tcPr>
                  <w:tcW w:w="2217" w:type="dxa"/>
                  <w:gridSpan w:val="2"/>
                  <w:vAlign w:val="center"/>
                </w:tcPr>
                <w:p w14:paraId="7BA4AADC">
                  <w:pPr>
                    <w:adjustRightInd w:val="0"/>
                    <w:snapToGrid w:val="0"/>
                    <w:jc w:val="center"/>
                    <w:rPr>
                      <w:strike w:val="0"/>
                      <w:dstrike w:val="0"/>
                      <w:color w:val="auto"/>
                      <w:szCs w:val="21"/>
                      <w:highlight w:val="none"/>
                    </w:rPr>
                  </w:pPr>
                  <w:r>
                    <w:rPr>
                      <w:strike w:val="0"/>
                      <w:dstrike w:val="0"/>
                      <w:color w:val="auto"/>
                      <w:szCs w:val="21"/>
                      <w:highlight w:val="none"/>
                    </w:rPr>
                    <w:t>低液位报警联锁装置</w:t>
                  </w:r>
                </w:p>
              </w:tc>
              <w:tc>
                <w:tcPr>
                  <w:tcW w:w="1370" w:type="dxa"/>
                  <w:vAlign w:val="center"/>
                </w:tcPr>
                <w:p w14:paraId="0546B542">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4DEAA6FF">
                  <w:pPr>
                    <w:widowControl/>
                    <w:jc w:val="center"/>
                    <w:rPr>
                      <w:strike w:val="0"/>
                      <w:dstrike w:val="0"/>
                      <w:color w:val="auto"/>
                      <w:szCs w:val="21"/>
                      <w:highlight w:val="none"/>
                    </w:rPr>
                  </w:pPr>
                  <w:r>
                    <w:rPr>
                      <w:strike w:val="0"/>
                      <w:dstrike w:val="0"/>
                      <w:color w:val="auto"/>
                      <w:szCs w:val="21"/>
                      <w:highlight w:val="none"/>
                    </w:rPr>
                    <w:t>套</w:t>
                  </w:r>
                </w:p>
              </w:tc>
              <w:tc>
                <w:tcPr>
                  <w:tcW w:w="663" w:type="dxa"/>
                  <w:vAlign w:val="center"/>
                </w:tcPr>
                <w:p w14:paraId="4DEA1066">
                  <w:pPr>
                    <w:widowControl/>
                    <w:jc w:val="center"/>
                    <w:textAlignment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03F36AC7">
                  <w:pPr>
                    <w:jc w:val="center"/>
                    <w:rPr>
                      <w:strike w:val="0"/>
                      <w:dstrike w:val="0"/>
                      <w:color w:val="auto"/>
                      <w:kern w:val="0"/>
                      <w:szCs w:val="21"/>
                      <w:highlight w:val="none"/>
                    </w:rPr>
                  </w:pPr>
                  <w:r>
                    <w:rPr>
                      <w:strike w:val="0"/>
                      <w:dstrike w:val="0"/>
                      <w:color w:val="auto"/>
                      <w:szCs w:val="21"/>
                      <w:highlight w:val="none"/>
                    </w:rPr>
                    <w:t>/</w:t>
                  </w:r>
                </w:p>
              </w:tc>
            </w:tr>
            <w:bookmarkEnd w:id="38"/>
            <w:bookmarkEnd w:id="39"/>
            <w:tr w14:paraId="2792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46DBD41B">
                  <w:pPr>
                    <w:adjustRightInd w:val="0"/>
                    <w:snapToGrid w:val="0"/>
                    <w:jc w:val="center"/>
                    <w:rPr>
                      <w:strike w:val="0"/>
                      <w:dstrike w:val="0"/>
                      <w:color w:val="auto"/>
                      <w:szCs w:val="21"/>
                      <w:highlight w:val="none"/>
                    </w:rPr>
                  </w:pPr>
                </w:p>
              </w:tc>
              <w:tc>
                <w:tcPr>
                  <w:tcW w:w="2217" w:type="dxa"/>
                  <w:gridSpan w:val="2"/>
                  <w:vAlign w:val="center"/>
                </w:tcPr>
                <w:p w14:paraId="6A516CEC">
                  <w:pPr>
                    <w:adjustRightInd w:val="0"/>
                    <w:snapToGrid w:val="0"/>
                    <w:jc w:val="center"/>
                    <w:rPr>
                      <w:strike w:val="0"/>
                      <w:dstrike w:val="0"/>
                      <w:color w:val="auto"/>
                      <w:szCs w:val="21"/>
                      <w:highlight w:val="none"/>
                    </w:rPr>
                  </w:pPr>
                  <w:r>
                    <w:rPr>
                      <w:strike w:val="0"/>
                      <w:dstrike w:val="0"/>
                      <w:color w:val="auto"/>
                      <w:szCs w:val="21"/>
                      <w:highlight w:val="none"/>
                    </w:rPr>
                    <w:t>压力上限报警装置</w:t>
                  </w:r>
                </w:p>
              </w:tc>
              <w:tc>
                <w:tcPr>
                  <w:tcW w:w="1370" w:type="dxa"/>
                  <w:vAlign w:val="center"/>
                </w:tcPr>
                <w:p w14:paraId="5800AF0F">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6AFC244D">
                  <w:pPr>
                    <w:widowControl/>
                    <w:jc w:val="center"/>
                    <w:rPr>
                      <w:strike w:val="0"/>
                      <w:dstrike w:val="0"/>
                      <w:color w:val="auto"/>
                      <w:szCs w:val="21"/>
                      <w:highlight w:val="none"/>
                    </w:rPr>
                  </w:pPr>
                  <w:r>
                    <w:rPr>
                      <w:strike w:val="0"/>
                      <w:dstrike w:val="0"/>
                      <w:color w:val="auto"/>
                      <w:szCs w:val="21"/>
                      <w:highlight w:val="none"/>
                    </w:rPr>
                    <w:t>套</w:t>
                  </w:r>
                </w:p>
              </w:tc>
              <w:tc>
                <w:tcPr>
                  <w:tcW w:w="663" w:type="dxa"/>
                  <w:vAlign w:val="center"/>
                </w:tcPr>
                <w:p w14:paraId="3E8D8155">
                  <w:pPr>
                    <w:widowControl/>
                    <w:jc w:val="center"/>
                    <w:textAlignment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696A389C">
                  <w:pPr>
                    <w:jc w:val="center"/>
                    <w:rPr>
                      <w:strike w:val="0"/>
                      <w:dstrike w:val="0"/>
                      <w:color w:val="auto"/>
                      <w:szCs w:val="21"/>
                      <w:highlight w:val="none"/>
                    </w:rPr>
                  </w:pPr>
                  <w:r>
                    <w:rPr>
                      <w:strike w:val="0"/>
                      <w:dstrike w:val="0"/>
                      <w:color w:val="auto"/>
                      <w:szCs w:val="21"/>
                      <w:highlight w:val="none"/>
                    </w:rPr>
                    <w:t>/</w:t>
                  </w:r>
                </w:p>
              </w:tc>
            </w:tr>
            <w:tr w14:paraId="6B62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6CF6250C">
                  <w:pPr>
                    <w:adjustRightInd w:val="0"/>
                    <w:snapToGrid w:val="0"/>
                    <w:jc w:val="center"/>
                    <w:rPr>
                      <w:strike w:val="0"/>
                      <w:dstrike w:val="0"/>
                      <w:color w:val="auto"/>
                      <w:szCs w:val="21"/>
                      <w:highlight w:val="none"/>
                    </w:rPr>
                  </w:pPr>
                  <w:bookmarkStart w:id="41" w:name="OLE_LINK39" w:colFirst="4" w:colLast="4"/>
                  <w:bookmarkStart w:id="42" w:name="OLE_LINK37" w:colFirst="3" w:colLast="3"/>
                </w:p>
              </w:tc>
              <w:tc>
                <w:tcPr>
                  <w:tcW w:w="2217" w:type="dxa"/>
                  <w:gridSpan w:val="2"/>
                  <w:vAlign w:val="center"/>
                </w:tcPr>
                <w:p w14:paraId="6E7F4383">
                  <w:pPr>
                    <w:adjustRightInd w:val="0"/>
                    <w:snapToGrid w:val="0"/>
                    <w:jc w:val="center"/>
                    <w:rPr>
                      <w:strike w:val="0"/>
                      <w:dstrike w:val="0"/>
                      <w:color w:val="auto"/>
                      <w:szCs w:val="21"/>
                      <w:highlight w:val="none"/>
                    </w:rPr>
                  </w:pPr>
                  <w:r>
                    <w:rPr>
                      <w:strike w:val="0"/>
                      <w:dstrike w:val="0"/>
                      <w:color w:val="auto"/>
                      <w:szCs w:val="21"/>
                      <w:highlight w:val="none"/>
                    </w:rPr>
                    <w:t>液位计</w:t>
                  </w:r>
                </w:p>
              </w:tc>
              <w:tc>
                <w:tcPr>
                  <w:tcW w:w="1370" w:type="dxa"/>
                  <w:vAlign w:val="center"/>
                </w:tcPr>
                <w:p w14:paraId="305DE1D6">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68BC035D">
                  <w:pPr>
                    <w:widowControl/>
                    <w:jc w:val="center"/>
                    <w:rPr>
                      <w:strike w:val="0"/>
                      <w:dstrike w:val="0"/>
                      <w:color w:val="auto"/>
                      <w:szCs w:val="21"/>
                      <w:highlight w:val="none"/>
                    </w:rPr>
                  </w:pPr>
                  <w:r>
                    <w:rPr>
                      <w:strike w:val="0"/>
                      <w:dstrike w:val="0"/>
                      <w:color w:val="auto"/>
                      <w:szCs w:val="21"/>
                      <w:highlight w:val="none"/>
                    </w:rPr>
                    <w:t>套</w:t>
                  </w:r>
                </w:p>
              </w:tc>
              <w:tc>
                <w:tcPr>
                  <w:tcW w:w="663" w:type="dxa"/>
                  <w:vAlign w:val="center"/>
                </w:tcPr>
                <w:p w14:paraId="22C4EFBE">
                  <w:pPr>
                    <w:widowControl/>
                    <w:jc w:val="center"/>
                    <w:textAlignment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0AA4092D">
                  <w:pPr>
                    <w:jc w:val="center"/>
                    <w:rPr>
                      <w:strike w:val="0"/>
                      <w:dstrike w:val="0"/>
                      <w:color w:val="auto"/>
                      <w:szCs w:val="21"/>
                      <w:highlight w:val="none"/>
                    </w:rPr>
                  </w:pPr>
                  <w:r>
                    <w:rPr>
                      <w:strike w:val="0"/>
                      <w:dstrike w:val="0"/>
                      <w:color w:val="auto"/>
                      <w:szCs w:val="21"/>
                      <w:highlight w:val="none"/>
                    </w:rPr>
                    <w:t>/</w:t>
                  </w:r>
                </w:p>
              </w:tc>
            </w:tr>
            <w:bookmarkEnd w:id="40"/>
            <w:tr w14:paraId="370E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6FB1A991">
                  <w:pPr>
                    <w:adjustRightInd w:val="0"/>
                    <w:snapToGrid w:val="0"/>
                    <w:jc w:val="center"/>
                    <w:rPr>
                      <w:strike w:val="0"/>
                      <w:dstrike w:val="0"/>
                      <w:color w:val="auto"/>
                      <w:szCs w:val="21"/>
                      <w:highlight w:val="none"/>
                    </w:rPr>
                  </w:pPr>
                </w:p>
              </w:tc>
              <w:tc>
                <w:tcPr>
                  <w:tcW w:w="2217" w:type="dxa"/>
                  <w:gridSpan w:val="2"/>
                  <w:vAlign w:val="center"/>
                </w:tcPr>
                <w:p w14:paraId="5E638C21">
                  <w:pPr>
                    <w:adjustRightInd w:val="0"/>
                    <w:snapToGrid w:val="0"/>
                    <w:jc w:val="center"/>
                    <w:rPr>
                      <w:strike w:val="0"/>
                      <w:dstrike w:val="0"/>
                      <w:color w:val="auto"/>
                      <w:szCs w:val="21"/>
                      <w:highlight w:val="none"/>
                    </w:rPr>
                  </w:pPr>
                  <w:r>
                    <w:rPr>
                      <w:strike w:val="0"/>
                      <w:dstrike w:val="0"/>
                      <w:color w:val="auto"/>
                      <w:szCs w:val="21"/>
                      <w:highlight w:val="none"/>
                    </w:rPr>
                    <w:t>视频监控探头（防爆）</w:t>
                  </w:r>
                </w:p>
              </w:tc>
              <w:tc>
                <w:tcPr>
                  <w:tcW w:w="1370" w:type="dxa"/>
                  <w:vAlign w:val="center"/>
                </w:tcPr>
                <w:p w14:paraId="272A3226">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1DB0B9A3">
                  <w:pPr>
                    <w:adjustRightInd w:val="0"/>
                    <w:snapToGrid w:val="0"/>
                    <w:jc w:val="center"/>
                    <w:rPr>
                      <w:strike w:val="0"/>
                      <w:dstrike w:val="0"/>
                      <w:color w:val="auto"/>
                      <w:szCs w:val="21"/>
                      <w:highlight w:val="none"/>
                    </w:rPr>
                  </w:pPr>
                  <w:r>
                    <w:rPr>
                      <w:strike w:val="0"/>
                      <w:dstrike w:val="0"/>
                      <w:color w:val="auto"/>
                      <w:szCs w:val="21"/>
                      <w:highlight w:val="none"/>
                    </w:rPr>
                    <w:t>个</w:t>
                  </w:r>
                </w:p>
              </w:tc>
              <w:tc>
                <w:tcPr>
                  <w:tcW w:w="663" w:type="dxa"/>
                  <w:vAlign w:val="center"/>
                </w:tcPr>
                <w:p w14:paraId="54F40BEC">
                  <w:pPr>
                    <w:adjustRightInd w:val="0"/>
                    <w:snapToGrid w:val="0"/>
                    <w:jc w:val="center"/>
                    <w:rPr>
                      <w:strike w:val="0"/>
                      <w:dstrike w:val="0"/>
                      <w:color w:val="auto"/>
                      <w:szCs w:val="21"/>
                      <w:highlight w:val="none"/>
                    </w:rPr>
                  </w:pPr>
                  <w:bookmarkStart w:id="43" w:name="OLE_LINK38"/>
                  <w:r>
                    <w:rPr>
                      <w:strike w:val="0"/>
                      <w:dstrike w:val="0"/>
                      <w:color w:val="auto"/>
                      <w:szCs w:val="21"/>
                      <w:highlight w:val="none"/>
                    </w:rPr>
                    <w:t>若干</w:t>
                  </w:r>
                  <w:bookmarkEnd w:id="43"/>
                </w:p>
              </w:tc>
              <w:tc>
                <w:tcPr>
                  <w:tcW w:w="1655" w:type="dxa"/>
                  <w:vAlign w:val="center"/>
                </w:tcPr>
                <w:p w14:paraId="74804D59">
                  <w:pPr>
                    <w:jc w:val="center"/>
                    <w:rPr>
                      <w:strike w:val="0"/>
                      <w:dstrike w:val="0"/>
                      <w:color w:val="auto"/>
                      <w:szCs w:val="21"/>
                      <w:highlight w:val="none"/>
                    </w:rPr>
                  </w:pPr>
                  <w:r>
                    <w:rPr>
                      <w:strike w:val="0"/>
                      <w:dstrike w:val="0"/>
                      <w:color w:val="auto"/>
                      <w:szCs w:val="21"/>
                      <w:highlight w:val="none"/>
                    </w:rPr>
                    <w:t>/</w:t>
                  </w:r>
                </w:p>
              </w:tc>
            </w:tr>
            <w:tr w14:paraId="0A99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4D878243">
                  <w:pPr>
                    <w:adjustRightInd w:val="0"/>
                    <w:snapToGrid w:val="0"/>
                    <w:jc w:val="center"/>
                    <w:rPr>
                      <w:strike w:val="0"/>
                      <w:dstrike w:val="0"/>
                      <w:color w:val="auto"/>
                      <w:szCs w:val="21"/>
                      <w:highlight w:val="none"/>
                    </w:rPr>
                  </w:pPr>
                  <w:bookmarkStart w:id="44" w:name="OLE_LINK49" w:colFirst="2" w:colLast="2"/>
                </w:p>
              </w:tc>
              <w:tc>
                <w:tcPr>
                  <w:tcW w:w="2217" w:type="dxa"/>
                  <w:gridSpan w:val="2"/>
                  <w:vAlign w:val="center"/>
                </w:tcPr>
                <w:p w14:paraId="55CFCA73">
                  <w:pPr>
                    <w:adjustRightInd w:val="0"/>
                    <w:snapToGrid w:val="0"/>
                    <w:jc w:val="center"/>
                    <w:rPr>
                      <w:strike w:val="0"/>
                      <w:dstrike w:val="0"/>
                      <w:color w:val="auto"/>
                      <w:szCs w:val="21"/>
                      <w:highlight w:val="none"/>
                    </w:rPr>
                  </w:pPr>
                  <w:r>
                    <w:rPr>
                      <w:strike w:val="0"/>
                      <w:dstrike w:val="0"/>
                      <w:color w:val="auto"/>
                      <w:szCs w:val="21"/>
                      <w:highlight w:val="none"/>
                    </w:rPr>
                    <w:t>可燃气体检测报警探头</w:t>
                  </w:r>
                </w:p>
              </w:tc>
              <w:tc>
                <w:tcPr>
                  <w:tcW w:w="1370" w:type="dxa"/>
                  <w:vAlign w:val="center"/>
                </w:tcPr>
                <w:p w14:paraId="6B3020CF">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79EAC750">
                  <w:pPr>
                    <w:adjustRightInd w:val="0"/>
                    <w:snapToGrid w:val="0"/>
                    <w:jc w:val="center"/>
                    <w:rPr>
                      <w:strike w:val="0"/>
                      <w:dstrike w:val="0"/>
                      <w:color w:val="auto"/>
                      <w:szCs w:val="21"/>
                      <w:highlight w:val="none"/>
                    </w:rPr>
                  </w:pPr>
                  <w:r>
                    <w:rPr>
                      <w:strike w:val="0"/>
                      <w:dstrike w:val="0"/>
                      <w:color w:val="auto"/>
                      <w:szCs w:val="21"/>
                      <w:highlight w:val="none"/>
                    </w:rPr>
                    <w:t>个</w:t>
                  </w:r>
                </w:p>
              </w:tc>
              <w:tc>
                <w:tcPr>
                  <w:tcW w:w="663" w:type="dxa"/>
                  <w:vAlign w:val="center"/>
                </w:tcPr>
                <w:p w14:paraId="050C9F09">
                  <w:pPr>
                    <w:adjustRightInd w:val="0"/>
                    <w:snapToGrid w:val="0"/>
                    <w:jc w:val="center"/>
                    <w:rPr>
                      <w:strike w:val="0"/>
                      <w:dstrike w:val="0"/>
                      <w:color w:val="auto"/>
                      <w:szCs w:val="21"/>
                      <w:highlight w:val="none"/>
                    </w:rPr>
                  </w:pPr>
                  <w:r>
                    <w:rPr>
                      <w:strike w:val="0"/>
                      <w:dstrike w:val="0"/>
                      <w:color w:val="auto"/>
                      <w:szCs w:val="21"/>
                      <w:highlight w:val="none"/>
                    </w:rPr>
                    <w:t>若干</w:t>
                  </w:r>
                </w:p>
              </w:tc>
              <w:tc>
                <w:tcPr>
                  <w:tcW w:w="1655" w:type="dxa"/>
                  <w:vAlign w:val="center"/>
                </w:tcPr>
                <w:p w14:paraId="11F73380">
                  <w:pPr>
                    <w:jc w:val="center"/>
                    <w:rPr>
                      <w:strike w:val="0"/>
                      <w:dstrike w:val="0"/>
                      <w:color w:val="auto"/>
                      <w:szCs w:val="21"/>
                      <w:highlight w:val="none"/>
                    </w:rPr>
                  </w:pPr>
                  <w:r>
                    <w:rPr>
                      <w:strike w:val="0"/>
                      <w:dstrike w:val="0"/>
                      <w:color w:val="auto"/>
                      <w:szCs w:val="21"/>
                      <w:highlight w:val="none"/>
                    </w:rPr>
                    <w:t>/</w:t>
                  </w:r>
                </w:p>
              </w:tc>
            </w:tr>
            <w:bookmarkEnd w:id="36"/>
            <w:bookmarkEnd w:id="41"/>
            <w:bookmarkEnd w:id="42"/>
            <w:tr w14:paraId="43FB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026F1682">
                  <w:pPr>
                    <w:adjustRightInd w:val="0"/>
                    <w:snapToGrid w:val="0"/>
                    <w:jc w:val="center"/>
                    <w:rPr>
                      <w:strike w:val="0"/>
                      <w:dstrike w:val="0"/>
                      <w:color w:val="auto"/>
                      <w:szCs w:val="21"/>
                      <w:highlight w:val="none"/>
                    </w:rPr>
                  </w:pPr>
                  <w:bookmarkStart w:id="45" w:name="OLE_LINK40" w:colFirst="3" w:colLast="3"/>
                </w:p>
              </w:tc>
              <w:tc>
                <w:tcPr>
                  <w:tcW w:w="2217" w:type="dxa"/>
                  <w:gridSpan w:val="2"/>
                  <w:vAlign w:val="center"/>
                </w:tcPr>
                <w:p w14:paraId="78824903">
                  <w:pPr>
                    <w:adjustRightInd w:val="0"/>
                    <w:snapToGrid w:val="0"/>
                    <w:jc w:val="center"/>
                    <w:rPr>
                      <w:strike w:val="0"/>
                      <w:dstrike w:val="0"/>
                      <w:color w:val="auto"/>
                      <w:szCs w:val="21"/>
                      <w:highlight w:val="none"/>
                    </w:rPr>
                  </w:pPr>
                  <w:r>
                    <w:rPr>
                      <w:strike w:val="0"/>
                      <w:dstrike w:val="0"/>
                      <w:color w:val="auto"/>
                      <w:szCs w:val="21"/>
                      <w:highlight w:val="none"/>
                    </w:rPr>
                    <w:t>便携式可燃气体检测报警仪</w:t>
                  </w:r>
                </w:p>
              </w:tc>
              <w:tc>
                <w:tcPr>
                  <w:tcW w:w="1370" w:type="dxa"/>
                  <w:vAlign w:val="center"/>
                </w:tcPr>
                <w:p w14:paraId="320EE5F9">
                  <w:pPr>
                    <w:jc w:val="center"/>
                    <w:rPr>
                      <w:strike w:val="0"/>
                      <w:dstrike w:val="0"/>
                      <w:color w:val="auto"/>
                      <w:szCs w:val="21"/>
                      <w:highlight w:val="none"/>
                    </w:rPr>
                  </w:pPr>
                  <w:r>
                    <w:rPr>
                      <w:strike w:val="0"/>
                      <w:dstrike w:val="0"/>
                      <w:color w:val="auto"/>
                      <w:szCs w:val="21"/>
                      <w:highlight w:val="none"/>
                    </w:rPr>
                    <w:t>/</w:t>
                  </w:r>
                </w:p>
              </w:tc>
              <w:tc>
                <w:tcPr>
                  <w:tcW w:w="807" w:type="dxa"/>
                  <w:vAlign w:val="center"/>
                </w:tcPr>
                <w:p w14:paraId="3CF804F5">
                  <w:pPr>
                    <w:adjustRightInd w:val="0"/>
                    <w:snapToGrid w:val="0"/>
                    <w:jc w:val="center"/>
                    <w:rPr>
                      <w:strike w:val="0"/>
                      <w:dstrike w:val="0"/>
                      <w:color w:val="auto"/>
                      <w:szCs w:val="21"/>
                      <w:highlight w:val="none"/>
                    </w:rPr>
                  </w:pPr>
                  <w:r>
                    <w:rPr>
                      <w:strike w:val="0"/>
                      <w:dstrike w:val="0"/>
                      <w:color w:val="auto"/>
                      <w:szCs w:val="21"/>
                      <w:highlight w:val="none"/>
                    </w:rPr>
                    <w:t>个</w:t>
                  </w:r>
                </w:p>
              </w:tc>
              <w:tc>
                <w:tcPr>
                  <w:tcW w:w="663" w:type="dxa"/>
                  <w:vAlign w:val="center"/>
                </w:tcPr>
                <w:p w14:paraId="0B76E1B5">
                  <w:pPr>
                    <w:adjustRightInd w:val="0"/>
                    <w:snapToGrid w:val="0"/>
                    <w:jc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065C09C9">
                  <w:pPr>
                    <w:jc w:val="center"/>
                    <w:rPr>
                      <w:strike w:val="0"/>
                      <w:dstrike w:val="0"/>
                      <w:color w:val="auto"/>
                      <w:szCs w:val="21"/>
                      <w:highlight w:val="none"/>
                    </w:rPr>
                  </w:pPr>
                  <w:r>
                    <w:rPr>
                      <w:strike w:val="0"/>
                      <w:dstrike w:val="0"/>
                      <w:color w:val="auto"/>
                      <w:szCs w:val="21"/>
                      <w:highlight w:val="none"/>
                    </w:rPr>
                    <w:t>/</w:t>
                  </w:r>
                </w:p>
              </w:tc>
            </w:tr>
            <w:bookmarkEnd w:id="44"/>
            <w:bookmarkEnd w:id="45"/>
            <w:tr w14:paraId="12C9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43" w:type="dxa"/>
                  <w:vMerge w:val="restart"/>
                  <w:vAlign w:val="center"/>
                </w:tcPr>
                <w:p w14:paraId="5E341CBA">
                  <w:pPr>
                    <w:adjustRightInd w:val="0"/>
                    <w:snapToGrid w:val="0"/>
                    <w:jc w:val="center"/>
                    <w:rPr>
                      <w:strike w:val="0"/>
                      <w:dstrike w:val="0"/>
                      <w:color w:val="auto"/>
                      <w:szCs w:val="21"/>
                      <w:highlight w:val="none"/>
                    </w:rPr>
                  </w:pPr>
                  <w:bookmarkStart w:id="46" w:name="OLE_LINK50" w:colFirst="3" w:colLast="3"/>
                  <w:r>
                    <w:rPr>
                      <w:strike w:val="0"/>
                      <w:dstrike w:val="0"/>
                      <w:color w:val="auto"/>
                      <w:szCs w:val="21"/>
                      <w:highlight w:val="none"/>
                    </w:rPr>
                    <w:t>环保设施</w:t>
                  </w:r>
                </w:p>
              </w:tc>
              <w:tc>
                <w:tcPr>
                  <w:tcW w:w="2217" w:type="dxa"/>
                  <w:gridSpan w:val="2"/>
                  <w:vAlign w:val="center"/>
                </w:tcPr>
                <w:p w14:paraId="4C344424">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隔油池</w:t>
                  </w:r>
                </w:p>
              </w:tc>
              <w:tc>
                <w:tcPr>
                  <w:tcW w:w="1370" w:type="dxa"/>
                  <w:vAlign w:val="center"/>
                </w:tcPr>
                <w:p w14:paraId="16764B1A">
                  <w:pPr>
                    <w:jc w:val="center"/>
                    <w:rPr>
                      <w:strike w:val="0"/>
                      <w:dstrike w:val="0"/>
                      <w:color w:val="auto"/>
                      <w:szCs w:val="21"/>
                      <w:highlight w:val="none"/>
                    </w:rPr>
                  </w:pPr>
                  <w:r>
                    <w:rPr>
                      <w:rFonts w:hint="eastAsia"/>
                      <w:strike w:val="0"/>
                      <w:dstrike w:val="0"/>
                      <w:color w:val="auto"/>
                      <w:szCs w:val="21"/>
                      <w:highlight w:val="none"/>
                      <w:lang w:val="en-US" w:eastAsia="zh-CN"/>
                    </w:rPr>
                    <w:t>6</w:t>
                  </w:r>
                  <w:r>
                    <w:rPr>
                      <w:strike w:val="0"/>
                      <w:dstrike w:val="0"/>
                      <w:color w:val="auto"/>
                      <w:szCs w:val="21"/>
                      <w:highlight w:val="none"/>
                    </w:rPr>
                    <w:t>m</w:t>
                  </w:r>
                  <w:r>
                    <w:rPr>
                      <w:strike w:val="0"/>
                      <w:dstrike w:val="0"/>
                      <w:color w:val="auto"/>
                      <w:szCs w:val="21"/>
                      <w:highlight w:val="none"/>
                      <w:vertAlign w:val="superscript"/>
                    </w:rPr>
                    <w:t>3</w:t>
                  </w:r>
                  <w:r>
                    <w:rPr>
                      <w:strike w:val="0"/>
                      <w:dstrike w:val="0"/>
                      <w:color w:val="auto"/>
                      <w:szCs w:val="21"/>
                      <w:highlight w:val="none"/>
                    </w:rPr>
                    <w:t>/d</w:t>
                  </w:r>
                </w:p>
              </w:tc>
              <w:tc>
                <w:tcPr>
                  <w:tcW w:w="807" w:type="dxa"/>
                  <w:vAlign w:val="center"/>
                </w:tcPr>
                <w:p w14:paraId="07412835">
                  <w:pPr>
                    <w:widowControl/>
                    <w:jc w:val="center"/>
                    <w:rPr>
                      <w:strike w:val="0"/>
                      <w:dstrike w:val="0"/>
                      <w:color w:val="auto"/>
                      <w:szCs w:val="21"/>
                      <w:highlight w:val="none"/>
                    </w:rPr>
                  </w:pPr>
                  <w:r>
                    <w:rPr>
                      <w:strike w:val="0"/>
                      <w:dstrike w:val="0"/>
                      <w:color w:val="auto"/>
                      <w:szCs w:val="21"/>
                      <w:highlight w:val="none"/>
                    </w:rPr>
                    <w:t>座</w:t>
                  </w:r>
                </w:p>
              </w:tc>
              <w:tc>
                <w:tcPr>
                  <w:tcW w:w="663" w:type="dxa"/>
                  <w:vAlign w:val="center"/>
                </w:tcPr>
                <w:p w14:paraId="1F2EE416">
                  <w:pPr>
                    <w:widowControl/>
                    <w:jc w:val="center"/>
                    <w:textAlignment w:val="center"/>
                    <w:rPr>
                      <w:strike w:val="0"/>
                      <w:dstrike w:val="0"/>
                      <w:color w:val="auto"/>
                      <w:szCs w:val="21"/>
                      <w:highlight w:val="none"/>
                    </w:rPr>
                  </w:pPr>
                  <w:r>
                    <w:rPr>
                      <w:strike w:val="0"/>
                      <w:dstrike w:val="0"/>
                      <w:color w:val="auto"/>
                      <w:szCs w:val="21"/>
                      <w:highlight w:val="none"/>
                    </w:rPr>
                    <w:t>1</w:t>
                  </w:r>
                </w:p>
              </w:tc>
              <w:tc>
                <w:tcPr>
                  <w:tcW w:w="1655" w:type="dxa"/>
                  <w:vAlign w:val="center"/>
                </w:tcPr>
                <w:p w14:paraId="2B4F3D3D">
                  <w:pPr>
                    <w:adjustRightInd w:val="0"/>
                    <w:snapToGrid w:val="0"/>
                    <w:jc w:val="center"/>
                    <w:rPr>
                      <w:strike w:val="0"/>
                      <w:dstrike w:val="0"/>
                      <w:color w:val="auto"/>
                      <w:kern w:val="0"/>
                      <w:szCs w:val="21"/>
                      <w:highlight w:val="none"/>
                    </w:rPr>
                  </w:pPr>
                  <w:r>
                    <w:rPr>
                      <w:strike w:val="0"/>
                      <w:dstrike w:val="0"/>
                      <w:color w:val="auto"/>
                      <w:kern w:val="0"/>
                      <w:szCs w:val="21"/>
                      <w:highlight w:val="none"/>
                    </w:rPr>
                    <w:t>/</w:t>
                  </w:r>
                </w:p>
              </w:tc>
            </w:tr>
            <w:bookmarkEnd w:id="46"/>
            <w:tr w14:paraId="75B9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dxa"/>
                  <w:vMerge w:val="continue"/>
                  <w:vAlign w:val="center"/>
                </w:tcPr>
                <w:p w14:paraId="0B887B44">
                  <w:pPr>
                    <w:adjustRightInd w:val="0"/>
                    <w:snapToGrid w:val="0"/>
                    <w:jc w:val="center"/>
                    <w:rPr>
                      <w:strike w:val="0"/>
                      <w:dstrike w:val="0"/>
                      <w:color w:val="auto"/>
                      <w:szCs w:val="21"/>
                      <w:highlight w:val="none"/>
                    </w:rPr>
                  </w:pPr>
                </w:p>
              </w:tc>
              <w:tc>
                <w:tcPr>
                  <w:tcW w:w="2217" w:type="dxa"/>
                  <w:gridSpan w:val="2"/>
                  <w:vAlign w:val="center"/>
                </w:tcPr>
                <w:p w14:paraId="11FDD120">
                  <w:pPr>
                    <w:adjustRightInd w:val="0"/>
                    <w:snapToGrid w:val="0"/>
                    <w:jc w:val="center"/>
                    <w:rPr>
                      <w:strike w:val="0"/>
                      <w:dstrike w:val="0"/>
                      <w:color w:val="auto"/>
                      <w:kern w:val="0"/>
                      <w:szCs w:val="21"/>
                      <w:highlight w:val="none"/>
                      <w:lang w:bidi="ar"/>
                    </w:rPr>
                  </w:pPr>
                  <w:r>
                    <w:rPr>
                      <w:strike w:val="0"/>
                      <w:dstrike w:val="0"/>
                      <w:color w:val="auto"/>
                      <w:kern w:val="0"/>
                      <w:szCs w:val="21"/>
                      <w:highlight w:val="none"/>
                      <w:lang w:bidi="ar"/>
                    </w:rPr>
                    <w:t>生化池</w:t>
                  </w:r>
                </w:p>
              </w:tc>
              <w:tc>
                <w:tcPr>
                  <w:tcW w:w="1370" w:type="dxa"/>
                  <w:vAlign w:val="center"/>
                </w:tcPr>
                <w:p w14:paraId="13427A52">
                  <w:pPr>
                    <w:jc w:val="center"/>
                    <w:rPr>
                      <w:strike w:val="0"/>
                      <w:dstrike w:val="0"/>
                      <w:color w:val="auto"/>
                      <w:szCs w:val="21"/>
                      <w:highlight w:val="none"/>
                    </w:rPr>
                  </w:pPr>
                  <w:r>
                    <w:rPr>
                      <w:rFonts w:hint="eastAsia"/>
                      <w:strike w:val="0"/>
                      <w:dstrike w:val="0"/>
                      <w:color w:val="auto"/>
                      <w:szCs w:val="21"/>
                      <w:highlight w:val="none"/>
                      <w:lang w:val="en-US" w:eastAsia="zh-CN"/>
                    </w:rPr>
                    <w:t>6</w:t>
                  </w:r>
                  <w:r>
                    <w:rPr>
                      <w:strike w:val="0"/>
                      <w:dstrike w:val="0"/>
                      <w:color w:val="auto"/>
                      <w:szCs w:val="21"/>
                      <w:highlight w:val="none"/>
                    </w:rPr>
                    <w:t>m</w:t>
                  </w:r>
                  <w:r>
                    <w:rPr>
                      <w:strike w:val="0"/>
                      <w:dstrike w:val="0"/>
                      <w:color w:val="auto"/>
                      <w:szCs w:val="21"/>
                      <w:highlight w:val="none"/>
                      <w:vertAlign w:val="superscript"/>
                    </w:rPr>
                    <w:t>3</w:t>
                  </w:r>
                  <w:r>
                    <w:rPr>
                      <w:strike w:val="0"/>
                      <w:dstrike w:val="0"/>
                      <w:color w:val="auto"/>
                      <w:szCs w:val="21"/>
                      <w:highlight w:val="none"/>
                    </w:rPr>
                    <w:t>/d</w:t>
                  </w:r>
                </w:p>
              </w:tc>
              <w:tc>
                <w:tcPr>
                  <w:tcW w:w="807" w:type="dxa"/>
                  <w:vAlign w:val="center"/>
                </w:tcPr>
                <w:p w14:paraId="77A5C59F">
                  <w:pPr>
                    <w:widowControl/>
                    <w:jc w:val="center"/>
                    <w:rPr>
                      <w:strike w:val="0"/>
                      <w:dstrike w:val="0"/>
                      <w:color w:val="auto"/>
                      <w:szCs w:val="21"/>
                      <w:highlight w:val="none"/>
                    </w:rPr>
                  </w:pPr>
                  <w:r>
                    <w:rPr>
                      <w:strike w:val="0"/>
                      <w:dstrike w:val="0"/>
                      <w:color w:val="auto"/>
                      <w:szCs w:val="21"/>
                      <w:highlight w:val="none"/>
                    </w:rPr>
                    <w:t>座</w:t>
                  </w:r>
                </w:p>
              </w:tc>
              <w:tc>
                <w:tcPr>
                  <w:tcW w:w="663" w:type="dxa"/>
                  <w:vAlign w:val="center"/>
                </w:tcPr>
                <w:p w14:paraId="7DC9C3BB">
                  <w:pPr>
                    <w:adjustRightInd w:val="0"/>
                    <w:snapToGrid w:val="0"/>
                    <w:jc w:val="center"/>
                    <w:rPr>
                      <w:strike w:val="0"/>
                      <w:dstrike w:val="0"/>
                      <w:color w:val="auto"/>
                      <w:kern w:val="0"/>
                      <w:szCs w:val="21"/>
                      <w:highlight w:val="none"/>
                      <w:lang w:bidi="ar"/>
                    </w:rPr>
                  </w:pPr>
                  <w:r>
                    <w:rPr>
                      <w:strike w:val="0"/>
                      <w:dstrike w:val="0"/>
                      <w:color w:val="auto"/>
                      <w:kern w:val="0"/>
                      <w:szCs w:val="21"/>
                      <w:highlight w:val="none"/>
                      <w:lang w:bidi="ar"/>
                    </w:rPr>
                    <w:t>1</w:t>
                  </w:r>
                </w:p>
              </w:tc>
              <w:tc>
                <w:tcPr>
                  <w:tcW w:w="1655" w:type="dxa"/>
                  <w:vAlign w:val="center"/>
                </w:tcPr>
                <w:p w14:paraId="4446F660">
                  <w:pPr>
                    <w:adjustRightInd w:val="0"/>
                    <w:snapToGrid w:val="0"/>
                    <w:jc w:val="center"/>
                    <w:rPr>
                      <w:strike w:val="0"/>
                      <w:dstrike w:val="0"/>
                      <w:color w:val="auto"/>
                      <w:kern w:val="0"/>
                      <w:szCs w:val="21"/>
                      <w:highlight w:val="none"/>
                      <w:lang w:bidi="ar"/>
                    </w:rPr>
                  </w:pPr>
                  <w:r>
                    <w:rPr>
                      <w:strike w:val="0"/>
                      <w:dstrike w:val="0"/>
                      <w:color w:val="auto"/>
                      <w:kern w:val="0"/>
                      <w:szCs w:val="21"/>
                      <w:highlight w:val="none"/>
                      <w:lang w:bidi="ar"/>
                    </w:rPr>
                    <w:t>/</w:t>
                  </w:r>
                </w:p>
              </w:tc>
            </w:tr>
          </w:tbl>
          <w:p w14:paraId="33AE8EBD">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通过核查《产业结构调整指导目录》（2024年本）可知，本项目所用设备均不属于国家禁止或明令淘汰的设备</w:t>
            </w:r>
            <w:bookmarkStart w:id="47" w:name="OLE_LINK66"/>
            <w:r>
              <w:rPr>
                <w:strike w:val="0"/>
                <w:dstrike w:val="0"/>
                <w:color w:val="auto"/>
                <w:sz w:val="24"/>
                <w:highlight w:val="none"/>
              </w:rPr>
              <w:t>。</w:t>
            </w:r>
          </w:p>
          <w:p w14:paraId="7258FCF1">
            <w:pPr>
              <w:spacing w:before="31" w:beforeLines="10" w:after="31" w:afterLines="10" w:line="360" w:lineRule="auto"/>
              <w:rPr>
                <w:b/>
                <w:bCs/>
                <w:strike w:val="0"/>
                <w:dstrike w:val="0"/>
                <w:color w:val="auto"/>
                <w:sz w:val="24"/>
                <w:highlight w:val="none"/>
              </w:rPr>
            </w:pPr>
            <w:r>
              <w:rPr>
                <w:b/>
                <w:bCs/>
                <w:strike w:val="0"/>
                <w:dstrike w:val="0"/>
                <w:color w:val="auto"/>
                <w:sz w:val="24"/>
                <w:highlight w:val="none"/>
              </w:rPr>
              <w:t>2</w:t>
            </w:r>
            <w:bookmarkStart w:id="48" w:name="OLE_LINK52"/>
            <w:r>
              <w:rPr>
                <w:b/>
                <w:bCs/>
                <w:strike w:val="0"/>
                <w:dstrike w:val="0"/>
                <w:color w:val="auto"/>
                <w:sz w:val="24"/>
                <w:highlight w:val="none"/>
              </w:rPr>
              <w:t xml:space="preserve">.1.6 </w:t>
            </w:r>
            <w:bookmarkEnd w:id="48"/>
            <w:r>
              <w:rPr>
                <w:b/>
                <w:strike w:val="0"/>
                <w:dstrike w:val="0"/>
                <w:color w:val="auto"/>
                <w:sz w:val="24"/>
                <w:highlight w:val="none"/>
              </w:rPr>
              <w:t>主要原辅</w:t>
            </w:r>
            <w:bookmarkEnd w:id="47"/>
            <w:r>
              <w:rPr>
                <w:b/>
                <w:strike w:val="0"/>
                <w:dstrike w:val="0"/>
                <w:color w:val="auto"/>
                <w:sz w:val="24"/>
                <w:highlight w:val="none"/>
              </w:rPr>
              <w:t>材料及能源的种类和用量</w:t>
            </w:r>
          </w:p>
          <w:p w14:paraId="2185ABBF">
            <w:pPr>
              <w:spacing w:line="360" w:lineRule="auto"/>
              <w:ind w:firstLine="480" w:firstLineChars="200"/>
              <w:jc w:val="left"/>
              <w:rPr>
                <w:bCs/>
                <w:strike w:val="0"/>
                <w:dstrike w:val="0"/>
                <w:color w:val="auto"/>
                <w:sz w:val="24"/>
                <w:highlight w:val="none"/>
              </w:rPr>
            </w:pPr>
            <w:r>
              <w:rPr>
                <w:strike w:val="0"/>
                <w:dstrike w:val="0"/>
                <w:color w:val="auto"/>
                <w:sz w:val="24"/>
                <w:szCs w:val="32"/>
                <w:highlight w:val="none"/>
              </w:rPr>
              <w:t>项目营运过程中无原辅材料消耗，其加油加气过程为汽油、柴油、L</w:t>
            </w:r>
            <w:r>
              <w:rPr>
                <w:rFonts w:eastAsia="TimesNewRomanPSMT"/>
                <w:strike w:val="0"/>
                <w:dstrike w:val="0"/>
                <w:color w:val="auto"/>
                <w:sz w:val="24"/>
                <w:szCs w:val="32"/>
                <w:highlight w:val="none"/>
              </w:rPr>
              <w:t xml:space="preserve">NG </w:t>
            </w:r>
            <w:r>
              <w:rPr>
                <w:strike w:val="0"/>
                <w:dstrike w:val="0"/>
                <w:color w:val="auto"/>
                <w:sz w:val="24"/>
                <w:szCs w:val="32"/>
                <w:highlight w:val="none"/>
              </w:rPr>
              <w:t>的周转服务。项目汽油、柴油、L</w:t>
            </w:r>
            <w:r>
              <w:rPr>
                <w:rFonts w:eastAsia="TimesNewRomanPSMT"/>
                <w:strike w:val="0"/>
                <w:dstrike w:val="0"/>
                <w:color w:val="auto"/>
                <w:sz w:val="24"/>
                <w:szCs w:val="32"/>
                <w:highlight w:val="none"/>
              </w:rPr>
              <w:t>NG</w:t>
            </w:r>
            <w:r>
              <w:rPr>
                <w:strike w:val="0"/>
                <w:dstrike w:val="0"/>
                <w:color w:val="auto"/>
                <w:sz w:val="24"/>
                <w:szCs w:val="32"/>
                <w:highlight w:val="none"/>
              </w:rPr>
              <w:t>年周转量如下表</w:t>
            </w:r>
            <w:r>
              <w:rPr>
                <w:bCs/>
                <w:strike w:val="0"/>
                <w:dstrike w:val="0"/>
                <w:color w:val="auto"/>
                <w:sz w:val="24"/>
                <w:highlight w:val="none"/>
              </w:rPr>
              <w:t>2.1-4，设备用油、能源消耗情况详见表2.1-5。</w:t>
            </w:r>
          </w:p>
          <w:p w14:paraId="42A2591E">
            <w:pPr>
              <w:pStyle w:val="50"/>
              <w:rPr>
                <w:strike w:val="0"/>
                <w:dstrike w:val="0"/>
                <w:color w:val="auto"/>
                <w:szCs w:val="24"/>
                <w:highlight w:val="none"/>
              </w:rPr>
            </w:pPr>
            <w:r>
              <w:rPr>
                <w:strike w:val="0"/>
                <w:dstrike w:val="0"/>
                <w:color w:val="auto"/>
                <w:szCs w:val="24"/>
                <w:highlight w:val="none"/>
              </w:rPr>
              <w:t xml:space="preserve">表2.1-4  </w:t>
            </w:r>
            <w:r>
              <w:rPr>
                <w:strike w:val="0"/>
                <w:dstrike w:val="0"/>
                <w:color w:val="auto"/>
                <w:highlight w:val="none"/>
              </w:rPr>
              <w:t>产品年周转量</w:t>
            </w:r>
            <w:r>
              <w:rPr>
                <w:strike w:val="0"/>
                <w:dstrike w:val="0"/>
                <w:color w:val="auto"/>
                <w:szCs w:val="24"/>
                <w:highlight w:val="none"/>
              </w:rPr>
              <w:t>及能源年消耗量统计表</w:t>
            </w:r>
          </w:p>
          <w:tbl>
            <w:tblPr>
              <w:tblStyle w:val="22"/>
              <w:tblW w:w="7716" w:type="dxa"/>
              <w:jc w:val="center"/>
              <w:tblLayout w:type="fixed"/>
              <w:tblCellMar>
                <w:top w:w="0" w:type="dxa"/>
                <w:left w:w="108" w:type="dxa"/>
                <w:bottom w:w="0" w:type="dxa"/>
                <w:right w:w="108" w:type="dxa"/>
              </w:tblCellMar>
            </w:tblPr>
            <w:tblGrid>
              <w:gridCol w:w="508"/>
              <w:gridCol w:w="1294"/>
              <w:gridCol w:w="921"/>
              <w:gridCol w:w="1038"/>
              <w:gridCol w:w="1243"/>
              <w:gridCol w:w="1140"/>
              <w:gridCol w:w="1572"/>
            </w:tblGrid>
            <w:tr w14:paraId="41AA8957">
              <w:tblPrEx>
                <w:tblCellMar>
                  <w:top w:w="0" w:type="dxa"/>
                  <w:left w:w="108" w:type="dxa"/>
                  <w:bottom w:w="0" w:type="dxa"/>
                  <w:right w:w="108" w:type="dxa"/>
                </w:tblCellMar>
              </w:tblPrEx>
              <w:trPr>
                <w:trHeight w:val="23" w:hRule="atLeast"/>
                <w:jc w:val="center"/>
              </w:trPr>
              <w:tc>
                <w:tcPr>
                  <w:tcW w:w="508" w:type="dxa"/>
                  <w:vMerge w:val="restart"/>
                  <w:tcBorders>
                    <w:top w:val="single" w:color="000000" w:sz="4" w:space="0"/>
                    <w:left w:val="single" w:color="000000" w:sz="4" w:space="0"/>
                    <w:right w:val="single" w:color="000000" w:sz="4" w:space="0"/>
                  </w:tcBorders>
                  <w:noWrap/>
                  <w:vAlign w:val="center"/>
                </w:tcPr>
                <w:p w14:paraId="70EBF6B3">
                  <w:pPr>
                    <w:widowControl/>
                    <w:jc w:val="center"/>
                    <w:textAlignment w:val="center"/>
                    <w:rPr>
                      <w:b/>
                      <w:bCs/>
                      <w:strike w:val="0"/>
                      <w:dstrike w:val="0"/>
                      <w:color w:val="auto"/>
                      <w:szCs w:val="21"/>
                      <w:highlight w:val="none"/>
                    </w:rPr>
                  </w:pPr>
                  <w:bookmarkStart w:id="49" w:name="OLE_LINK54" w:colFirst="2" w:colLast="3"/>
                  <w:r>
                    <w:rPr>
                      <w:b/>
                      <w:bCs/>
                      <w:strike w:val="0"/>
                      <w:dstrike w:val="0"/>
                      <w:color w:val="auto"/>
                      <w:kern w:val="0"/>
                      <w:szCs w:val="21"/>
                      <w:highlight w:val="none"/>
                      <w:lang w:bidi="ar"/>
                    </w:rPr>
                    <w:t>序号</w:t>
                  </w:r>
                </w:p>
              </w:tc>
              <w:tc>
                <w:tcPr>
                  <w:tcW w:w="1294" w:type="dxa"/>
                  <w:vMerge w:val="restart"/>
                  <w:tcBorders>
                    <w:top w:val="single" w:color="000000" w:sz="4" w:space="0"/>
                    <w:left w:val="single" w:color="000000" w:sz="4" w:space="0"/>
                    <w:right w:val="single" w:color="000000" w:sz="4" w:space="0"/>
                  </w:tcBorders>
                  <w:vAlign w:val="center"/>
                </w:tcPr>
                <w:p w14:paraId="439A4AE0">
                  <w:pPr>
                    <w:widowControl/>
                    <w:jc w:val="center"/>
                    <w:textAlignment w:val="center"/>
                    <w:rPr>
                      <w:b/>
                      <w:bCs/>
                      <w:strike w:val="0"/>
                      <w:dstrike w:val="0"/>
                      <w:color w:val="auto"/>
                      <w:szCs w:val="21"/>
                      <w:highlight w:val="none"/>
                    </w:rPr>
                  </w:pPr>
                  <w:r>
                    <w:rPr>
                      <w:b/>
                      <w:bCs/>
                      <w:strike w:val="0"/>
                      <w:dstrike w:val="0"/>
                      <w:color w:val="auto"/>
                      <w:szCs w:val="21"/>
                      <w:highlight w:val="none"/>
                    </w:rPr>
                    <w:t>名称</w:t>
                  </w:r>
                </w:p>
              </w:tc>
              <w:tc>
                <w:tcPr>
                  <w:tcW w:w="1959" w:type="dxa"/>
                  <w:gridSpan w:val="2"/>
                  <w:tcBorders>
                    <w:top w:val="single" w:color="000000" w:sz="4" w:space="0"/>
                    <w:left w:val="single" w:color="000000" w:sz="4" w:space="0"/>
                    <w:bottom w:val="single" w:color="000000" w:sz="4" w:space="0"/>
                    <w:right w:val="single" w:color="000000" w:sz="4" w:space="0"/>
                  </w:tcBorders>
                  <w:vAlign w:val="center"/>
                </w:tcPr>
                <w:p w14:paraId="10D36636">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周转量</w:t>
                  </w:r>
                </w:p>
              </w:tc>
              <w:tc>
                <w:tcPr>
                  <w:tcW w:w="1243" w:type="dxa"/>
                  <w:vMerge w:val="restart"/>
                  <w:tcBorders>
                    <w:top w:val="single" w:color="000000" w:sz="4" w:space="0"/>
                    <w:left w:val="single" w:color="000000" w:sz="4" w:space="0"/>
                    <w:right w:val="single" w:color="000000" w:sz="4" w:space="0"/>
                  </w:tcBorders>
                  <w:vAlign w:val="center"/>
                </w:tcPr>
                <w:p w14:paraId="56B8EF0B">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储存方式</w:t>
                  </w:r>
                </w:p>
              </w:tc>
              <w:tc>
                <w:tcPr>
                  <w:tcW w:w="1140" w:type="dxa"/>
                  <w:vMerge w:val="restart"/>
                  <w:tcBorders>
                    <w:top w:val="single" w:color="000000" w:sz="4" w:space="0"/>
                    <w:left w:val="single" w:color="000000" w:sz="4" w:space="0"/>
                    <w:right w:val="single" w:color="000000" w:sz="4" w:space="0"/>
                  </w:tcBorders>
                  <w:vAlign w:val="center"/>
                </w:tcPr>
                <w:p w14:paraId="63087AB5">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最大储存量</w:t>
                  </w:r>
                </w:p>
              </w:tc>
              <w:tc>
                <w:tcPr>
                  <w:tcW w:w="1572" w:type="dxa"/>
                  <w:vMerge w:val="restart"/>
                  <w:tcBorders>
                    <w:top w:val="single" w:color="000000" w:sz="4" w:space="0"/>
                    <w:left w:val="single" w:color="000000" w:sz="4" w:space="0"/>
                    <w:right w:val="single" w:color="000000" w:sz="4" w:space="0"/>
                  </w:tcBorders>
                  <w:vAlign w:val="center"/>
                </w:tcPr>
                <w:p w14:paraId="1199F4AF">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油罐类型</w:t>
                  </w:r>
                </w:p>
              </w:tc>
            </w:tr>
            <w:bookmarkEnd w:id="49"/>
            <w:tr w14:paraId="58986344">
              <w:tblPrEx>
                <w:tblCellMar>
                  <w:top w:w="0" w:type="dxa"/>
                  <w:left w:w="108" w:type="dxa"/>
                  <w:bottom w:w="0" w:type="dxa"/>
                  <w:right w:w="108" w:type="dxa"/>
                </w:tblCellMar>
              </w:tblPrEx>
              <w:trPr>
                <w:trHeight w:val="23" w:hRule="atLeast"/>
                <w:jc w:val="center"/>
              </w:trPr>
              <w:tc>
                <w:tcPr>
                  <w:tcW w:w="508" w:type="dxa"/>
                  <w:vMerge w:val="continue"/>
                  <w:tcBorders>
                    <w:left w:val="single" w:color="000000" w:sz="4" w:space="0"/>
                    <w:bottom w:val="single" w:color="000000" w:sz="4" w:space="0"/>
                    <w:right w:val="single" w:color="000000" w:sz="4" w:space="0"/>
                  </w:tcBorders>
                  <w:noWrap/>
                  <w:vAlign w:val="center"/>
                </w:tcPr>
                <w:p w14:paraId="3015E47E">
                  <w:pPr>
                    <w:widowControl/>
                    <w:jc w:val="center"/>
                    <w:textAlignment w:val="center"/>
                    <w:rPr>
                      <w:strike w:val="0"/>
                      <w:dstrike w:val="0"/>
                      <w:color w:val="auto"/>
                      <w:szCs w:val="21"/>
                      <w:highlight w:val="none"/>
                    </w:rPr>
                  </w:pPr>
                </w:p>
              </w:tc>
              <w:tc>
                <w:tcPr>
                  <w:tcW w:w="1294" w:type="dxa"/>
                  <w:vMerge w:val="continue"/>
                  <w:tcBorders>
                    <w:left w:val="single" w:color="000000" w:sz="4" w:space="0"/>
                    <w:bottom w:val="single" w:color="000000" w:sz="4" w:space="0"/>
                    <w:right w:val="single" w:color="000000" w:sz="4" w:space="0"/>
                  </w:tcBorders>
                  <w:vAlign w:val="center"/>
                </w:tcPr>
                <w:p w14:paraId="573798E0">
                  <w:pPr>
                    <w:widowControl/>
                    <w:jc w:val="center"/>
                    <w:textAlignment w:val="center"/>
                    <w:rPr>
                      <w:strike w:val="0"/>
                      <w:dstrike w:val="0"/>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647433A0">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日周转量（t）</w:t>
                  </w:r>
                </w:p>
              </w:tc>
              <w:tc>
                <w:tcPr>
                  <w:tcW w:w="1038" w:type="dxa"/>
                  <w:tcBorders>
                    <w:top w:val="single" w:color="000000" w:sz="4" w:space="0"/>
                    <w:left w:val="single" w:color="000000" w:sz="4" w:space="0"/>
                    <w:bottom w:val="single" w:color="000000" w:sz="4" w:space="0"/>
                    <w:right w:val="single" w:color="000000" w:sz="4" w:space="0"/>
                  </w:tcBorders>
                  <w:vAlign w:val="center"/>
                </w:tcPr>
                <w:p w14:paraId="5761B705">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年周转量（t）</w:t>
                  </w:r>
                </w:p>
              </w:tc>
              <w:tc>
                <w:tcPr>
                  <w:tcW w:w="1243" w:type="dxa"/>
                  <w:vMerge w:val="continue"/>
                  <w:tcBorders>
                    <w:left w:val="single" w:color="000000" w:sz="4" w:space="0"/>
                    <w:bottom w:val="single" w:color="000000" w:sz="4" w:space="0"/>
                    <w:right w:val="single" w:color="000000" w:sz="4" w:space="0"/>
                  </w:tcBorders>
                  <w:vAlign w:val="center"/>
                </w:tcPr>
                <w:p w14:paraId="7E964FE0">
                  <w:pPr>
                    <w:widowControl/>
                    <w:jc w:val="center"/>
                    <w:textAlignment w:val="center"/>
                    <w:rPr>
                      <w:strike w:val="0"/>
                      <w:dstrike w:val="0"/>
                      <w:color w:val="auto"/>
                      <w:szCs w:val="21"/>
                      <w:highlight w:val="none"/>
                    </w:rPr>
                  </w:pPr>
                </w:p>
              </w:tc>
              <w:tc>
                <w:tcPr>
                  <w:tcW w:w="1140" w:type="dxa"/>
                  <w:vMerge w:val="continue"/>
                  <w:tcBorders>
                    <w:left w:val="single" w:color="000000" w:sz="4" w:space="0"/>
                    <w:bottom w:val="single" w:color="000000" w:sz="4" w:space="0"/>
                    <w:right w:val="single" w:color="000000" w:sz="4" w:space="0"/>
                  </w:tcBorders>
                  <w:vAlign w:val="center"/>
                </w:tcPr>
                <w:p w14:paraId="63A1BF7A">
                  <w:pPr>
                    <w:widowControl/>
                    <w:jc w:val="center"/>
                    <w:textAlignment w:val="center"/>
                    <w:rPr>
                      <w:strike w:val="0"/>
                      <w:dstrike w:val="0"/>
                      <w:color w:val="auto"/>
                      <w:szCs w:val="21"/>
                      <w:highlight w:val="none"/>
                    </w:rPr>
                  </w:pPr>
                </w:p>
              </w:tc>
              <w:tc>
                <w:tcPr>
                  <w:tcW w:w="1572" w:type="dxa"/>
                  <w:vMerge w:val="continue"/>
                  <w:tcBorders>
                    <w:left w:val="single" w:color="000000" w:sz="4" w:space="0"/>
                    <w:bottom w:val="single" w:color="000000" w:sz="4" w:space="0"/>
                    <w:right w:val="single" w:color="000000" w:sz="4" w:space="0"/>
                  </w:tcBorders>
                  <w:vAlign w:val="center"/>
                </w:tcPr>
                <w:p w14:paraId="408F7B6A">
                  <w:pPr>
                    <w:widowControl/>
                    <w:jc w:val="center"/>
                    <w:textAlignment w:val="center"/>
                    <w:rPr>
                      <w:strike w:val="0"/>
                      <w:dstrike w:val="0"/>
                      <w:color w:val="auto"/>
                      <w:szCs w:val="21"/>
                      <w:highlight w:val="none"/>
                    </w:rPr>
                  </w:pPr>
                </w:p>
              </w:tc>
            </w:tr>
            <w:tr w14:paraId="64A3C1CE">
              <w:tblPrEx>
                <w:tblCellMar>
                  <w:top w:w="0" w:type="dxa"/>
                  <w:left w:w="108" w:type="dxa"/>
                  <w:bottom w:w="0" w:type="dxa"/>
                  <w:right w:w="108" w:type="dxa"/>
                </w:tblCellMar>
              </w:tblPrEx>
              <w:trPr>
                <w:trHeight w:val="23"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14:paraId="53EA716A">
                  <w:pPr>
                    <w:jc w:val="center"/>
                    <w:rPr>
                      <w:strike w:val="0"/>
                      <w:dstrike w:val="0"/>
                      <w:color w:val="auto"/>
                      <w:szCs w:val="21"/>
                      <w:highlight w:val="none"/>
                    </w:rPr>
                  </w:pPr>
                  <w:bookmarkStart w:id="50" w:name="OLE_LINK63" w:colFirst="5" w:colLast="5"/>
                  <w:bookmarkStart w:id="51" w:name="OLE_LINK60" w:colFirst="7" w:colLast="7"/>
                  <w:bookmarkStart w:id="52" w:name="OLE_LINK55" w:colFirst="4" w:colLast="7"/>
                  <w:r>
                    <w:rPr>
                      <w:strike w:val="0"/>
                      <w:dstrike w:val="0"/>
                      <w:color w:val="auto"/>
                      <w:szCs w:val="21"/>
                      <w:highlight w:val="none"/>
                    </w:rPr>
                    <w:t>1</w:t>
                  </w:r>
                </w:p>
              </w:tc>
              <w:tc>
                <w:tcPr>
                  <w:tcW w:w="1294" w:type="dxa"/>
                  <w:tcBorders>
                    <w:top w:val="single" w:color="000000" w:sz="4" w:space="0"/>
                    <w:left w:val="single" w:color="000000" w:sz="4" w:space="0"/>
                    <w:bottom w:val="single" w:color="000000" w:sz="4" w:space="0"/>
                    <w:right w:val="single" w:color="000000" w:sz="4" w:space="0"/>
                  </w:tcBorders>
                  <w:vAlign w:val="center"/>
                </w:tcPr>
                <w:p w14:paraId="46B57E97">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92#汽油</w:t>
                  </w:r>
                </w:p>
              </w:tc>
              <w:tc>
                <w:tcPr>
                  <w:tcW w:w="921" w:type="dxa"/>
                  <w:vMerge w:val="restart"/>
                  <w:tcBorders>
                    <w:top w:val="single" w:color="000000" w:sz="4" w:space="0"/>
                    <w:left w:val="single" w:color="000000" w:sz="4" w:space="0"/>
                    <w:right w:val="single" w:color="000000" w:sz="4" w:space="0"/>
                  </w:tcBorders>
                  <w:vAlign w:val="center"/>
                </w:tcPr>
                <w:p w14:paraId="28992644">
                  <w:pPr>
                    <w:jc w:val="center"/>
                    <w:rPr>
                      <w:strike w:val="0"/>
                      <w:dstrike w:val="0"/>
                      <w:color w:val="auto"/>
                      <w:szCs w:val="21"/>
                      <w:highlight w:val="none"/>
                    </w:rPr>
                  </w:pPr>
                  <w:r>
                    <w:rPr>
                      <w:strike w:val="0"/>
                      <w:dstrike w:val="0"/>
                      <w:color w:val="auto"/>
                      <w:szCs w:val="21"/>
                      <w:highlight w:val="none"/>
                    </w:rPr>
                    <w:t>5.48</w:t>
                  </w:r>
                </w:p>
              </w:tc>
              <w:tc>
                <w:tcPr>
                  <w:tcW w:w="1038" w:type="dxa"/>
                  <w:vMerge w:val="restart"/>
                  <w:tcBorders>
                    <w:top w:val="single" w:color="000000" w:sz="4" w:space="0"/>
                    <w:left w:val="single" w:color="000000" w:sz="4" w:space="0"/>
                    <w:right w:val="single" w:color="000000" w:sz="4" w:space="0"/>
                  </w:tcBorders>
                  <w:vAlign w:val="center"/>
                </w:tcPr>
                <w:p w14:paraId="2F6801B4">
                  <w:pPr>
                    <w:widowControl/>
                    <w:jc w:val="center"/>
                    <w:rPr>
                      <w:strike w:val="0"/>
                      <w:dstrike w:val="0"/>
                      <w:color w:val="auto"/>
                      <w:szCs w:val="21"/>
                      <w:highlight w:val="none"/>
                    </w:rPr>
                  </w:pPr>
                  <w:r>
                    <w:rPr>
                      <w:rFonts w:eastAsia="仿宋_GB2312"/>
                      <w:strike w:val="0"/>
                      <w:dstrike w:val="0"/>
                      <w:color w:val="auto"/>
                      <w:kern w:val="0"/>
                      <w:szCs w:val="21"/>
                      <w:highlight w:val="none"/>
                    </w:rPr>
                    <w:t>2000</w:t>
                  </w:r>
                </w:p>
              </w:tc>
              <w:tc>
                <w:tcPr>
                  <w:tcW w:w="1243" w:type="dxa"/>
                  <w:tcBorders>
                    <w:top w:val="single" w:color="000000" w:sz="4" w:space="0"/>
                    <w:left w:val="single" w:color="000000" w:sz="4" w:space="0"/>
                    <w:bottom w:val="single" w:color="000000" w:sz="4" w:space="0"/>
                    <w:right w:val="single" w:color="000000" w:sz="4" w:space="0"/>
                  </w:tcBorders>
                  <w:vAlign w:val="center"/>
                </w:tcPr>
                <w:p w14:paraId="2E234204">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30m</w:t>
                  </w:r>
                  <w:bookmarkStart w:id="53" w:name="OLE_LINK58"/>
                  <w:r>
                    <w:rPr>
                      <w:strike w:val="0"/>
                      <w:dstrike w:val="0"/>
                      <w:color w:val="auto"/>
                      <w:sz w:val="21"/>
                      <w:szCs w:val="21"/>
                      <w:highlight w:val="none"/>
                      <w:vertAlign w:val="superscript"/>
                    </w:rPr>
                    <w:t>3</w:t>
                  </w:r>
                  <w:bookmarkEnd w:id="53"/>
                  <w:r>
                    <w:rPr>
                      <w:strike w:val="0"/>
                      <w:dstrike w:val="0"/>
                      <w:color w:val="auto"/>
                      <w:spacing w:val="1"/>
                      <w:position w:val="7"/>
                      <w:sz w:val="21"/>
                      <w:szCs w:val="21"/>
                      <w:highlight w:val="none"/>
                    </w:rPr>
                    <w:t xml:space="preserve"> </w:t>
                  </w:r>
                  <w:r>
                    <w:rPr>
                      <w:strike w:val="0"/>
                      <w:dstrike w:val="0"/>
                      <w:color w:val="auto"/>
                      <w:sz w:val="21"/>
                      <w:szCs w:val="21"/>
                      <w:highlight w:val="none"/>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AD2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27m</w:t>
                  </w:r>
                  <w:r>
                    <w:rPr>
                      <w:strike w:val="0"/>
                      <w:dstrike w:val="0"/>
                      <w:color w:val="auto"/>
                      <w:sz w:val="21"/>
                      <w:szCs w:val="21"/>
                      <w:highlight w:val="none"/>
                      <w:vertAlign w:val="superscript"/>
                    </w:rPr>
                    <w:t>3</w:t>
                  </w:r>
                </w:p>
                <w:p w14:paraId="376ABC0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(19.44 t)</w:t>
                  </w:r>
                </w:p>
              </w:tc>
              <w:tc>
                <w:tcPr>
                  <w:tcW w:w="1572" w:type="dxa"/>
                  <w:tcBorders>
                    <w:top w:val="single" w:color="000000" w:sz="4" w:space="0"/>
                    <w:left w:val="single" w:color="000000" w:sz="4" w:space="0"/>
                    <w:bottom w:val="single" w:color="000000" w:sz="4" w:space="0"/>
                    <w:right w:val="single" w:color="000000" w:sz="4" w:space="0"/>
                  </w:tcBorders>
                  <w:vAlign w:val="center"/>
                </w:tcPr>
                <w:p w14:paraId="69765C37">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埋地卧式</w:t>
                  </w:r>
                  <w:bookmarkStart w:id="54" w:name="OLE_LINK62"/>
                  <w:r>
                    <w:rPr>
                      <w:strike w:val="0"/>
                      <w:dstrike w:val="0"/>
                      <w:color w:val="auto"/>
                      <w:sz w:val="21"/>
                      <w:szCs w:val="21"/>
                      <w:highlight w:val="none"/>
                    </w:rPr>
                    <w:t>SF</w:t>
                  </w:r>
                  <w:bookmarkEnd w:id="54"/>
                  <w:r>
                    <w:rPr>
                      <w:strike w:val="0"/>
                      <w:dstrike w:val="0"/>
                      <w:color w:val="auto"/>
                      <w:sz w:val="21"/>
                      <w:szCs w:val="21"/>
                      <w:highlight w:val="none"/>
                    </w:rPr>
                    <w:t>双层油罐</w:t>
                  </w:r>
                </w:p>
              </w:tc>
            </w:tr>
            <w:bookmarkEnd w:id="50"/>
            <w:bookmarkEnd w:id="51"/>
            <w:tr w14:paraId="51040B77">
              <w:tblPrEx>
                <w:tblCellMar>
                  <w:top w:w="0" w:type="dxa"/>
                  <w:left w:w="108" w:type="dxa"/>
                  <w:bottom w:w="0" w:type="dxa"/>
                  <w:right w:w="108" w:type="dxa"/>
                </w:tblCellMar>
              </w:tblPrEx>
              <w:trPr>
                <w:trHeight w:val="23"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14:paraId="3728FE09">
                  <w:pPr>
                    <w:jc w:val="center"/>
                    <w:rPr>
                      <w:strike w:val="0"/>
                      <w:dstrike w:val="0"/>
                      <w:color w:val="auto"/>
                      <w:szCs w:val="21"/>
                      <w:highlight w:val="none"/>
                    </w:rPr>
                  </w:pPr>
                  <w:bookmarkStart w:id="55" w:name="OLE_LINK61" w:colFirst="7" w:colLast="7"/>
                  <w:bookmarkStart w:id="56" w:name="OLE_LINK70" w:colFirst="1" w:colLast="1"/>
                  <w:r>
                    <w:rPr>
                      <w:strike w:val="0"/>
                      <w:dstrike w:val="0"/>
                      <w:color w:val="auto"/>
                      <w:szCs w:val="21"/>
                      <w:highlight w:val="none"/>
                    </w:rPr>
                    <w:t>2</w:t>
                  </w:r>
                </w:p>
              </w:tc>
              <w:tc>
                <w:tcPr>
                  <w:tcW w:w="1294" w:type="dxa"/>
                  <w:tcBorders>
                    <w:top w:val="single" w:color="000000" w:sz="4" w:space="0"/>
                    <w:left w:val="single" w:color="000000" w:sz="4" w:space="0"/>
                    <w:bottom w:val="single" w:color="000000" w:sz="4" w:space="0"/>
                    <w:right w:val="single" w:color="000000" w:sz="4" w:space="0"/>
                  </w:tcBorders>
                  <w:vAlign w:val="center"/>
                </w:tcPr>
                <w:p w14:paraId="144228C3">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95#汽油</w:t>
                  </w:r>
                </w:p>
              </w:tc>
              <w:tc>
                <w:tcPr>
                  <w:tcW w:w="921" w:type="dxa"/>
                  <w:vMerge w:val="continue"/>
                  <w:tcBorders>
                    <w:left w:val="single" w:color="000000" w:sz="4" w:space="0"/>
                    <w:bottom w:val="single" w:color="000000" w:sz="4" w:space="0"/>
                    <w:right w:val="single" w:color="000000" w:sz="4" w:space="0"/>
                  </w:tcBorders>
                  <w:vAlign w:val="center"/>
                </w:tcPr>
                <w:p w14:paraId="7683F012">
                  <w:pPr>
                    <w:widowControl/>
                    <w:jc w:val="center"/>
                    <w:textAlignment w:val="center"/>
                    <w:rPr>
                      <w:strike w:val="0"/>
                      <w:dstrike w:val="0"/>
                      <w:color w:val="auto"/>
                      <w:kern w:val="0"/>
                      <w:szCs w:val="21"/>
                      <w:highlight w:val="none"/>
                      <w:lang w:bidi="ar"/>
                    </w:rPr>
                  </w:pPr>
                </w:p>
              </w:tc>
              <w:tc>
                <w:tcPr>
                  <w:tcW w:w="1038" w:type="dxa"/>
                  <w:vMerge w:val="continue"/>
                  <w:tcBorders>
                    <w:left w:val="single" w:color="000000" w:sz="4" w:space="0"/>
                    <w:bottom w:val="single" w:color="000000" w:sz="4" w:space="0"/>
                    <w:right w:val="single" w:color="000000" w:sz="4" w:space="0"/>
                  </w:tcBorders>
                  <w:vAlign w:val="center"/>
                </w:tcPr>
                <w:p w14:paraId="3B5CB0EA">
                  <w:pPr>
                    <w:widowControl/>
                    <w:jc w:val="center"/>
                    <w:textAlignment w:val="center"/>
                    <w:rPr>
                      <w:strike w:val="0"/>
                      <w:dstrike w:val="0"/>
                      <w:color w:val="auto"/>
                      <w:szCs w:val="21"/>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566CF594">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30m</w:t>
                  </w:r>
                  <w:r>
                    <w:rPr>
                      <w:strike w:val="0"/>
                      <w:dstrike w:val="0"/>
                      <w:color w:val="auto"/>
                      <w:sz w:val="21"/>
                      <w:szCs w:val="21"/>
                      <w:highlight w:val="none"/>
                      <w:vertAlign w:val="superscript"/>
                    </w:rPr>
                    <w:t>3</w:t>
                  </w:r>
                  <w:r>
                    <w:rPr>
                      <w:strike w:val="0"/>
                      <w:dstrike w:val="0"/>
                      <w:color w:val="auto"/>
                      <w:spacing w:val="1"/>
                      <w:position w:val="7"/>
                      <w:sz w:val="21"/>
                      <w:szCs w:val="21"/>
                      <w:highlight w:val="none"/>
                    </w:rPr>
                    <w:t xml:space="preserve"> </w:t>
                  </w:r>
                  <w:r>
                    <w:rPr>
                      <w:strike w:val="0"/>
                      <w:dstrike w:val="0"/>
                      <w:color w:val="auto"/>
                      <w:sz w:val="21"/>
                      <w:szCs w:val="21"/>
                      <w:highlight w:val="none"/>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E6C5">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27m</w:t>
                  </w:r>
                  <w:r>
                    <w:rPr>
                      <w:strike w:val="0"/>
                      <w:dstrike w:val="0"/>
                      <w:color w:val="auto"/>
                      <w:sz w:val="21"/>
                      <w:szCs w:val="21"/>
                      <w:highlight w:val="none"/>
                      <w:vertAlign w:val="superscript"/>
                    </w:rPr>
                    <w:t>3</w:t>
                  </w:r>
                </w:p>
                <w:p w14:paraId="3128703D">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(19.58t)</w:t>
                  </w:r>
                </w:p>
              </w:tc>
              <w:tc>
                <w:tcPr>
                  <w:tcW w:w="1572" w:type="dxa"/>
                  <w:tcBorders>
                    <w:top w:val="single" w:color="000000" w:sz="4" w:space="0"/>
                    <w:left w:val="single" w:color="000000" w:sz="4" w:space="0"/>
                    <w:bottom w:val="single" w:color="000000" w:sz="4" w:space="0"/>
                    <w:right w:val="single" w:color="000000" w:sz="4" w:space="0"/>
                  </w:tcBorders>
                  <w:vAlign w:val="center"/>
                </w:tcPr>
                <w:p w14:paraId="7BB37739">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埋地卧式SF双层油罐</w:t>
                  </w:r>
                </w:p>
              </w:tc>
            </w:tr>
            <w:tr w14:paraId="41A80B3D">
              <w:tblPrEx>
                <w:tblCellMar>
                  <w:top w:w="0" w:type="dxa"/>
                  <w:left w:w="108" w:type="dxa"/>
                  <w:bottom w:w="0" w:type="dxa"/>
                  <w:right w:w="108" w:type="dxa"/>
                </w:tblCellMar>
              </w:tblPrEx>
              <w:trPr>
                <w:trHeight w:val="23"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14:paraId="12025A12">
                  <w:pPr>
                    <w:jc w:val="center"/>
                    <w:rPr>
                      <w:strike w:val="0"/>
                      <w:dstrike w:val="0"/>
                      <w:color w:val="auto"/>
                      <w:szCs w:val="21"/>
                      <w:highlight w:val="none"/>
                    </w:rPr>
                  </w:pPr>
                  <w:r>
                    <w:rPr>
                      <w:strike w:val="0"/>
                      <w:dstrike w:val="0"/>
                      <w:color w:val="auto"/>
                      <w:szCs w:val="21"/>
                      <w:highlight w:val="none"/>
                    </w:rPr>
                    <w:t>3</w:t>
                  </w:r>
                </w:p>
              </w:tc>
              <w:tc>
                <w:tcPr>
                  <w:tcW w:w="1294" w:type="dxa"/>
                  <w:tcBorders>
                    <w:top w:val="single" w:color="000000" w:sz="4" w:space="0"/>
                    <w:left w:val="single" w:color="000000" w:sz="4" w:space="0"/>
                    <w:bottom w:val="single" w:color="000000" w:sz="4" w:space="0"/>
                    <w:right w:val="single" w:color="000000" w:sz="4" w:space="0"/>
                  </w:tcBorders>
                  <w:vAlign w:val="center"/>
                </w:tcPr>
                <w:p w14:paraId="4383309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0#柴油</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882D">
                  <w:pPr>
                    <w:jc w:val="center"/>
                    <w:rPr>
                      <w:strike w:val="0"/>
                      <w:dstrike w:val="0"/>
                      <w:color w:val="auto"/>
                      <w:szCs w:val="21"/>
                      <w:highlight w:val="none"/>
                    </w:rPr>
                  </w:pPr>
                  <w:r>
                    <w:rPr>
                      <w:strike w:val="0"/>
                      <w:dstrike w:val="0"/>
                      <w:color w:val="auto"/>
                      <w:szCs w:val="21"/>
                      <w:highlight w:val="none"/>
                    </w:rPr>
                    <w:t>5.48</w:t>
                  </w:r>
                </w:p>
              </w:tc>
              <w:tc>
                <w:tcPr>
                  <w:tcW w:w="1038" w:type="dxa"/>
                  <w:tcBorders>
                    <w:top w:val="single" w:color="000000" w:sz="4" w:space="0"/>
                    <w:left w:val="single" w:color="000000" w:sz="4" w:space="0"/>
                    <w:bottom w:val="single" w:color="000000" w:sz="4" w:space="0"/>
                    <w:right w:val="single" w:color="000000" w:sz="4" w:space="0"/>
                  </w:tcBorders>
                  <w:vAlign w:val="center"/>
                </w:tcPr>
                <w:p w14:paraId="0ACA5318">
                  <w:pPr>
                    <w:widowControl/>
                    <w:jc w:val="center"/>
                    <w:rPr>
                      <w:strike w:val="0"/>
                      <w:dstrike w:val="0"/>
                      <w:color w:val="auto"/>
                      <w:szCs w:val="21"/>
                      <w:highlight w:val="none"/>
                    </w:rPr>
                  </w:pPr>
                  <w:r>
                    <w:rPr>
                      <w:rFonts w:eastAsia="仿宋_GB2312"/>
                      <w:strike w:val="0"/>
                      <w:dstrike w:val="0"/>
                      <w:color w:val="auto"/>
                      <w:kern w:val="0"/>
                      <w:szCs w:val="21"/>
                      <w:highlight w:val="none"/>
                    </w:rPr>
                    <w:t>2000</w:t>
                  </w:r>
                </w:p>
              </w:tc>
              <w:tc>
                <w:tcPr>
                  <w:tcW w:w="1243" w:type="dxa"/>
                  <w:tcBorders>
                    <w:top w:val="single" w:color="000000" w:sz="4" w:space="0"/>
                    <w:left w:val="single" w:color="000000" w:sz="4" w:space="0"/>
                    <w:bottom w:val="single" w:color="000000" w:sz="4" w:space="0"/>
                    <w:right w:val="single" w:color="000000" w:sz="4" w:space="0"/>
                  </w:tcBorders>
                  <w:vAlign w:val="center"/>
                </w:tcPr>
                <w:p w14:paraId="4FD146B7">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30</w:t>
                  </w:r>
                  <w:bookmarkStart w:id="57" w:name="OLE_LINK59"/>
                  <w:r>
                    <w:rPr>
                      <w:strike w:val="0"/>
                      <w:dstrike w:val="0"/>
                      <w:color w:val="auto"/>
                      <w:sz w:val="21"/>
                      <w:szCs w:val="21"/>
                      <w:highlight w:val="none"/>
                    </w:rPr>
                    <w:t>m</w:t>
                  </w:r>
                  <w:r>
                    <w:rPr>
                      <w:strike w:val="0"/>
                      <w:dstrike w:val="0"/>
                      <w:color w:val="auto"/>
                      <w:sz w:val="21"/>
                      <w:szCs w:val="21"/>
                      <w:highlight w:val="none"/>
                      <w:vertAlign w:val="superscript"/>
                    </w:rPr>
                    <w:t>3</w:t>
                  </w:r>
                  <w:bookmarkEnd w:id="57"/>
                  <w:r>
                    <w:rPr>
                      <w:strike w:val="0"/>
                      <w:dstrike w:val="0"/>
                      <w:color w:val="auto"/>
                      <w:spacing w:val="1"/>
                      <w:position w:val="7"/>
                      <w:sz w:val="21"/>
                      <w:szCs w:val="21"/>
                      <w:highlight w:val="none"/>
                    </w:rPr>
                    <w:t xml:space="preserve"> </w:t>
                  </w:r>
                  <w:r>
                    <w:rPr>
                      <w:strike w:val="0"/>
                      <w:dstrike w:val="0"/>
                      <w:color w:val="auto"/>
                      <w:sz w:val="21"/>
                      <w:szCs w:val="21"/>
                      <w:highlight w:val="none"/>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83C7">
                  <w:pPr>
                    <w:pStyle w:val="43"/>
                    <w:kinsoku w:val="0"/>
                    <w:overflowPunct w:val="0"/>
                    <w:autoSpaceDE/>
                    <w:autoSpaceDN/>
                    <w:adjustRightInd/>
                    <w:jc w:val="center"/>
                    <w:rPr>
                      <w:strike w:val="0"/>
                      <w:dstrike w:val="0"/>
                      <w:color w:val="auto"/>
                      <w:sz w:val="21"/>
                      <w:szCs w:val="21"/>
                      <w:highlight w:val="none"/>
                      <w:vertAlign w:val="superscript"/>
                    </w:rPr>
                  </w:pPr>
                  <w:r>
                    <w:rPr>
                      <w:strike w:val="0"/>
                      <w:dstrike w:val="0"/>
                      <w:color w:val="auto"/>
                      <w:sz w:val="21"/>
                      <w:szCs w:val="21"/>
                      <w:highlight w:val="none"/>
                    </w:rPr>
                    <w:t>54m</w:t>
                  </w:r>
                  <w:r>
                    <w:rPr>
                      <w:strike w:val="0"/>
                      <w:dstrike w:val="0"/>
                      <w:color w:val="auto"/>
                      <w:sz w:val="21"/>
                      <w:szCs w:val="21"/>
                      <w:highlight w:val="none"/>
                      <w:vertAlign w:val="superscript"/>
                    </w:rPr>
                    <w:t>3</w:t>
                  </w:r>
                </w:p>
                <w:p w14:paraId="29B6882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（45.09t)</w:t>
                  </w:r>
                </w:p>
              </w:tc>
              <w:tc>
                <w:tcPr>
                  <w:tcW w:w="1572" w:type="dxa"/>
                  <w:tcBorders>
                    <w:top w:val="single" w:color="000000" w:sz="4" w:space="0"/>
                    <w:left w:val="single" w:color="000000" w:sz="4" w:space="0"/>
                    <w:bottom w:val="single" w:color="000000" w:sz="4" w:space="0"/>
                    <w:right w:val="single" w:color="000000" w:sz="4" w:space="0"/>
                  </w:tcBorders>
                  <w:vAlign w:val="center"/>
                </w:tcPr>
                <w:p w14:paraId="1661B72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埋地卧式SF双层油罐</w:t>
                  </w:r>
                </w:p>
              </w:tc>
            </w:tr>
            <w:bookmarkEnd w:id="55"/>
            <w:bookmarkEnd w:id="56"/>
            <w:tr w14:paraId="6882A36F">
              <w:tblPrEx>
                <w:tblCellMar>
                  <w:top w:w="0" w:type="dxa"/>
                  <w:left w:w="108" w:type="dxa"/>
                  <w:bottom w:w="0" w:type="dxa"/>
                  <w:right w:w="108" w:type="dxa"/>
                </w:tblCellMar>
              </w:tblPrEx>
              <w:trPr>
                <w:trHeight w:val="23"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14:paraId="68663506">
                  <w:pPr>
                    <w:jc w:val="center"/>
                    <w:rPr>
                      <w:strike w:val="0"/>
                      <w:dstrike w:val="0"/>
                      <w:color w:val="auto"/>
                      <w:szCs w:val="21"/>
                      <w:highlight w:val="none"/>
                    </w:rPr>
                  </w:pPr>
                  <w:bookmarkStart w:id="58" w:name="OLE_LINK71" w:colFirst="1" w:colLast="1"/>
                  <w:r>
                    <w:rPr>
                      <w:strike w:val="0"/>
                      <w:dstrike w:val="0"/>
                      <w:color w:val="auto"/>
                      <w:szCs w:val="21"/>
                      <w:highlight w:val="none"/>
                    </w:rPr>
                    <w:t>4</w:t>
                  </w:r>
                </w:p>
              </w:tc>
              <w:tc>
                <w:tcPr>
                  <w:tcW w:w="1294" w:type="dxa"/>
                  <w:tcBorders>
                    <w:top w:val="single" w:color="000000" w:sz="4" w:space="0"/>
                    <w:left w:val="single" w:color="000000" w:sz="4" w:space="0"/>
                    <w:bottom w:val="single" w:color="000000" w:sz="4" w:space="0"/>
                    <w:right w:val="single" w:color="000000" w:sz="4" w:space="0"/>
                  </w:tcBorders>
                  <w:vAlign w:val="center"/>
                </w:tcPr>
                <w:p w14:paraId="07288E16">
                  <w:pPr>
                    <w:jc w:val="center"/>
                    <w:rPr>
                      <w:strike w:val="0"/>
                      <w:dstrike w:val="0"/>
                      <w:color w:val="auto"/>
                      <w:szCs w:val="21"/>
                      <w:highlight w:val="none"/>
                    </w:rPr>
                  </w:pPr>
                  <w:bookmarkStart w:id="59" w:name="OLE_LINK57"/>
                  <w:r>
                    <w:rPr>
                      <w:strike w:val="0"/>
                      <w:dstrike w:val="0"/>
                      <w:color w:val="auto"/>
                      <w:szCs w:val="21"/>
                      <w:highlight w:val="none"/>
                    </w:rPr>
                    <w:t>LNG</w:t>
                  </w:r>
                  <w:bookmarkEnd w:id="59"/>
                </w:p>
              </w:tc>
              <w:tc>
                <w:tcPr>
                  <w:tcW w:w="921" w:type="dxa"/>
                  <w:tcBorders>
                    <w:top w:val="single" w:color="000000" w:sz="4" w:space="0"/>
                    <w:left w:val="single" w:color="000000" w:sz="4" w:space="0"/>
                    <w:bottom w:val="single" w:color="000000" w:sz="4" w:space="0"/>
                    <w:right w:val="single" w:color="000000" w:sz="4" w:space="0"/>
                  </w:tcBorders>
                  <w:vAlign w:val="center"/>
                </w:tcPr>
                <w:p w14:paraId="1299D7C9">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16.45</w:t>
                  </w:r>
                </w:p>
              </w:tc>
              <w:tc>
                <w:tcPr>
                  <w:tcW w:w="1038" w:type="dxa"/>
                  <w:tcBorders>
                    <w:top w:val="single" w:color="000000" w:sz="4" w:space="0"/>
                    <w:left w:val="single" w:color="000000" w:sz="4" w:space="0"/>
                    <w:bottom w:val="single" w:color="000000" w:sz="4" w:space="0"/>
                    <w:right w:val="single" w:color="000000" w:sz="4" w:space="0"/>
                  </w:tcBorders>
                  <w:vAlign w:val="center"/>
                </w:tcPr>
                <w:p w14:paraId="22B58E35">
                  <w:pPr>
                    <w:widowControl/>
                    <w:jc w:val="center"/>
                    <w:rPr>
                      <w:rFonts w:eastAsia="仿宋_GB2312"/>
                      <w:strike w:val="0"/>
                      <w:dstrike w:val="0"/>
                      <w:color w:val="auto"/>
                      <w:kern w:val="0"/>
                      <w:szCs w:val="21"/>
                      <w:highlight w:val="none"/>
                    </w:rPr>
                  </w:pPr>
                  <w:r>
                    <w:rPr>
                      <w:rFonts w:eastAsia="仿宋_GB2312"/>
                      <w:strike w:val="0"/>
                      <w:dstrike w:val="0"/>
                      <w:color w:val="auto"/>
                      <w:kern w:val="0"/>
                      <w:szCs w:val="21"/>
                      <w:highlight w:val="none"/>
                    </w:rPr>
                    <w:t>6003</w:t>
                  </w:r>
                </w:p>
              </w:tc>
              <w:tc>
                <w:tcPr>
                  <w:tcW w:w="1243" w:type="dxa"/>
                  <w:tcBorders>
                    <w:top w:val="single" w:color="000000" w:sz="4" w:space="0"/>
                    <w:left w:val="single" w:color="000000" w:sz="4" w:space="0"/>
                    <w:bottom w:val="single" w:color="000000" w:sz="4" w:space="0"/>
                    <w:right w:val="single" w:color="000000" w:sz="4" w:space="0"/>
                  </w:tcBorders>
                  <w:vAlign w:val="center"/>
                </w:tcPr>
                <w:p w14:paraId="25ABC39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60m</w:t>
                  </w:r>
                  <w:r>
                    <w:rPr>
                      <w:strike w:val="0"/>
                      <w:dstrike w:val="0"/>
                      <w:color w:val="auto"/>
                      <w:sz w:val="21"/>
                      <w:szCs w:val="21"/>
                      <w:highlight w:val="none"/>
                      <w:vertAlign w:val="superscript"/>
                    </w:rPr>
                    <w:t>3</w:t>
                  </w:r>
                  <w:r>
                    <w:rPr>
                      <w:strike w:val="0"/>
                      <w:dstrike w:val="0"/>
                      <w:color w:val="auto"/>
                      <w:spacing w:val="1"/>
                      <w:position w:val="7"/>
                      <w:sz w:val="21"/>
                      <w:szCs w:val="21"/>
                      <w:highlight w:val="none"/>
                    </w:rPr>
                    <w:t xml:space="preserve"> </w:t>
                  </w:r>
                  <w:r>
                    <w:rPr>
                      <w:strike w:val="0"/>
                      <w:dstrike w:val="0"/>
                      <w:color w:val="auto"/>
                      <w:sz w:val="21"/>
                      <w:szCs w:val="21"/>
                      <w:highlight w:val="none"/>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9572">
                  <w:pPr>
                    <w:pStyle w:val="43"/>
                    <w:kinsoku w:val="0"/>
                    <w:overflowPunct w:val="0"/>
                    <w:autoSpaceDE/>
                    <w:autoSpaceDN/>
                    <w:adjustRightInd/>
                    <w:jc w:val="center"/>
                    <w:rPr>
                      <w:strike w:val="0"/>
                      <w:dstrike w:val="0"/>
                      <w:color w:val="auto"/>
                      <w:sz w:val="21"/>
                      <w:szCs w:val="21"/>
                      <w:highlight w:val="none"/>
                      <w:vertAlign w:val="superscript"/>
                    </w:rPr>
                  </w:pPr>
                  <w:r>
                    <w:rPr>
                      <w:strike w:val="0"/>
                      <w:dstrike w:val="0"/>
                      <w:color w:val="auto"/>
                      <w:sz w:val="21"/>
                      <w:szCs w:val="21"/>
                      <w:highlight w:val="none"/>
                    </w:rPr>
                    <w:t>54m</w:t>
                  </w:r>
                  <w:r>
                    <w:rPr>
                      <w:strike w:val="0"/>
                      <w:dstrike w:val="0"/>
                      <w:color w:val="auto"/>
                      <w:sz w:val="21"/>
                      <w:szCs w:val="21"/>
                      <w:highlight w:val="none"/>
                      <w:vertAlign w:val="superscript"/>
                    </w:rPr>
                    <w:t>3</w:t>
                  </w:r>
                </w:p>
                <w:p w14:paraId="4CAE8162">
                  <w:pPr>
                    <w:pStyle w:val="43"/>
                    <w:kinsoku w:val="0"/>
                    <w:overflowPunct w:val="0"/>
                    <w:autoSpaceDE/>
                    <w:autoSpaceDN/>
                    <w:adjustRightInd/>
                    <w:jc w:val="center"/>
                    <w:rPr>
                      <w:strike w:val="0"/>
                      <w:dstrike w:val="0"/>
                      <w:color w:val="auto"/>
                      <w:kern w:val="2"/>
                      <w:sz w:val="21"/>
                      <w:szCs w:val="21"/>
                      <w:highlight w:val="none"/>
                    </w:rPr>
                  </w:pPr>
                  <w:r>
                    <w:rPr>
                      <w:strike w:val="0"/>
                      <w:dstrike w:val="0"/>
                      <w:color w:val="auto"/>
                      <w:sz w:val="21"/>
                      <w:szCs w:val="21"/>
                      <w:highlight w:val="none"/>
                    </w:rPr>
                    <w:t>（24.30t)</w:t>
                  </w:r>
                </w:p>
              </w:tc>
              <w:tc>
                <w:tcPr>
                  <w:tcW w:w="1572" w:type="dxa"/>
                  <w:tcBorders>
                    <w:top w:val="single" w:color="000000" w:sz="4" w:space="0"/>
                    <w:left w:val="single" w:color="000000" w:sz="4" w:space="0"/>
                    <w:bottom w:val="single" w:color="000000" w:sz="4" w:space="0"/>
                    <w:right w:val="single" w:color="000000" w:sz="4" w:space="0"/>
                  </w:tcBorders>
                  <w:vAlign w:val="center"/>
                </w:tcPr>
                <w:p w14:paraId="43EB2FD7">
                  <w:pPr>
                    <w:pStyle w:val="43"/>
                    <w:kinsoku w:val="0"/>
                    <w:overflowPunct w:val="0"/>
                    <w:autoSpaceDE/>
                    <w:autoSpaceDN/>
                    <w:adjustRightInd/>
                    <w:jc w:val="center"/>
                    <w:rPr>
                      <w:strike w:val="0"/>
                      <w:dstrike w:val="0"/>
                      <w:color w:val="auto"/>
                      <w:w w:val="99"/>
                      <w:sz w:val="21"/>
                      <w:szCs w:val="21"/>
                      <w:highlight w:val="none"/>
                    </w:rPr>
                  </w:pPr>
                  <w:r>
                    <w:rPr>
                      <w:strike w:val="0"/>
                      <w:dstrike w:val="0"/>
                      <w:color w:val="auto"/>
                      <w:sz w:val="21"/>
                      <w:szCs w:val="21"/>
                      <w:highlight w:val="none"/>
                    </w:rPr>
                    <w:t>卧式撬装储罐</w:t>
                  </w:r>
                </w:p>
              </w:tc>
            </w:tr>
            <w:tr w14:paraId="143BD186">
              <w:tblPrEx>
                <w:tblCellMar>
                  <w:top w:w="0" w:type="dxa"/>
                  <w:left w:w="108" w:type="dxa"/>
                  <w:bottom w:w="0" w:type="dxa"/>
                  <w:right w:w="108" w:type="dxa"/>
                </w:tblCellMar>
              </w:tblPrEx>
              <w:trPr>
                <w:trHeight w:val="23" w:hRule="atLeast"/>
                <w:jc w:val="center"/>
              </w:trPr>
              <w:tc>
                <w:tcPr>
                  <w:tcW w:w="7716" w:type="dxa"/>
                  <w:gridSpan w:val="7"/>
                  <w:tcBorders>
                    <w:top w:val="single" w:color="000000" w:sz="4" w:space="0"/>
                    <w:left w:val="single" w:color="000000" w:sz="4" w:space="0"/>
                    <w:bottom w:val="single" w:color="000000" w:sz="4" w:space="0"/>
                    <w:right w:val="single" w:color="000000" w:sz="4" w:space="0"/>
                  </w:tcBorders>
                  <w:noWrap/>
                  <w:vAlign w:val="center"/>
                </w:tcPr>
                <w:p w14:paraId="597DA12E">
                  <w:pPr>
                    <w:jc w:val="left"/>
                    <w:rPr>
                      <w:strike w:val="0"/>
                      <w:dstrike w:val="0"/>
                      <w:color w:val="auto"/>
                      <w:szCs w:val="21"/>
                      <w:highlight w:val="none"/>
                    </w:rPr>
                  </w:pPr>
                  <w:r>
                    <w:rPr>
                      <w:strike w:val="0"/>
                      <w:dstrike w:val="0"/>
                      <w:color w:val="auto"/>
                      <w:szCs w:val="21"/>
                      <w:highlight w:val="none"/>
                    </w:rPr>
                    <w:t>注：</w:t>
                  </w:r>
                  <w:r>
                    <w:rPr>
                      <w:rFonts w:eastAsia="TimesNewRomanPSMT"/>
                      <w:strike w:val="0"/>
                      <w:dstrike w:val="0"/>
                      <w:color w:val="auto"/>
                      <w:szCs w:val="21"/>
                      <w:highlight w:val="none"/>
                    </w:rPr>
                    <w:t>0#</w:t>
                  </w:r>
                  <w:r>
                    <w:rPr>
                      <w:strike w:val="0"/>
                      <w:dstrike w:val="0"/>
                      <w:color w:val="auto"/>
                      <w:szCs w:val="21"/>
                      <w:highlight w:val="none"/>
                    </w:rPr>
                    <w:t>柴油密度取</w:t>
                  </w:r>
                  <w:r>
                    <w:rPr>
                      <w:rFonts w:eastAsia="TimesNewRomanPSMT"/>
                      <w:strike w:val="0"/>
                      <w:dstrike w:val="0"/>
                      <w:color w:val="auto"/>
                      <w:szCs w:val="21"/>
                      <w:highlight w:val="none"/>
                    </w:rPr>
                    <w:t>0.835</w:t>
                  </w:r>
                  <w:r>
                    <w:rPr>
                      <w:strike w:val="0"/>
                      <w:dstrike w:val="0"/>
                      <w:color w:val="auto"/>
                      <w:szCs w:val="21"/>
                      <w:highlight w:val="none"/>
                    </w:rPr>
                    <w:t>t/m</w:t>
                  </w:r>
                  <w:r>
                    <w:rPr>
                      <w:strike w:val="0"/>
                      <w:dstrike w:val="0"/>
                      <w:color w:val="auto"/>
                      <w:szCs w:val="21"/>
                      <w:highlight w:val="none"/>
                      <w:vertAlign w:val="superscript"/>
                    </w:rPr>
                    <w:t>3</w:t>
                  </w:r>
                  <w:r>
                    <w:rPr>
                      <w:strike w:val="0"/>
                      <w:dstrike w:val="0"/>
                      <w:color w:val="auto"/>
                      <w:szCs w:val="21"/>
                      <w:highlight w:val="none"/>
                    </w:rPr>
                    <w:t>，</w:t>
                  </w:r>
                  <w:r>
                    <w:rPr>
                      <w:rFonts w:eastAsia="TimesNewRomanPSMT"/>
                      <w:strike w:val="0"/>
                      <w:dstrike w:val="0"/>
                      <w:color w:val="auto"/>
                      <w:szCs w:val="21"/>
                      <w:highlight w:val="none"/>
                    </w:rPr>
                    <w:t>92#</w:t>
                  </w:r>
                  <w:r>
                    <w:rPr>
                      <w:strike w:val="0"/>
                      <w:dstrike w:val="0"/>
                      <w:color w:val="auto"/>
                      <w:szCs w:val="21"/>
                      <w:highlight w:val="none"/>
                    </w:rPr>
                    <w:t>汽油密度取</w:t>
                  </w:r>
                  <w:r>
                    <w:rPr>
                      <w:rFonts w:eastAsia="TimesNewRomanPSMT"/>
                      <w:strike w:val="0"/>
                      <w:dstrike w:val="0"/>
                      <w:color w:val="auto"/>
                      <w:szCs w:val="21"/>
                      <w:highlight w:val="none"/>
                    </w:rPr>
                    <w:t>0.72</w:t>
                  </w:r>
                  <w:r>
                    <w:rPr>
                      <w:strike w:val="0"/>
                      <w:dstrike w:val="0"/>
                      <w:color w:val="auto"/>
                      <w:szCs w:val="21"/>
                      <w:highlight w:val="none"/>
                    </w:rPr>
                    <w:t>t/m</w:t>
                  </w:r>
                  <w:r>
                    <w:rPr>
                      <w:strike w:val="0"/>
                      <w:dstrike w:val="0"/>
                      <w:color w:val="auto"/>
                      <w:szCs w:val="21"/>
                      <w:highlight w:val="none"/>
                      <w:vertAlign w:val="superscript"/>
                    </w:rPr>
                    <w:t>3</w:t>
                  </w:r>
                  <w:r>
                    <w:rPr>
                      <w:strike w:val="0"/>
                      <w:dstrike w:val="0"/>
                      <w:color w:val="auto"/>
                      <w:szCs w:val="21"/>
                      <w:highlight w:val="none"/>
                    </w:rPr>
                    <w:t>，</w:t>
                  </w:r>
                  <w:r>
                    <w:rPr>
                      <w:rFonts w:eastAsia="TimesNewRomanPSMT"/>
                      <w:strike w:val="0"/>
                      <w:dstrike w:val="0"/>
                      <w:color w:val="auto"/>
                      <w:szCs w:val="21"/>
                      <w:highlight w:val="none"/>
                    </w:rPr>
                    <w:t>95#</w:t>
                  </w:r>
                  <w:r>
                    <w:rPr>
                      <w:strike w:val="0"/>
                      <w:dstrike w:val="0"/>
                      <w:color w:val="auto"/>
                      <w:szCs w:val="21"/>
                      <w:highlight w:val="none"/>
                    </w:rPr>
                    <w:t>汽油密度取</w:t>
                  </w:r>
                  <w:r>
                    <w:rPr>
                      <w:rFonts w:eastAsia="TimesNewRomanPSMT"/>
                      <w:strike w:val="0"/>
                      <w:dstrike w:val="0"/>
                      <w:color w:val="auto"/>
                      <w:szCs w:val="21"/>
                      <w:highlight w:val="none"/>
                    </w:rPr>
                    <w:t>0.725</w:t>
                  </w:r>
                  <w:r>
                    <w:rPr>
                      <w:strike w:val="0"/>
                      <w:dstrike w:val="0"/>
                      <w:color w:val="auto"/>
                      <w:szCs w:val="21"/>
                      <w:highlight w:val="none"/>
                    </w:rPr>
                    <w:t>t/m</w:t>
                  </w:r>
                  <w:r>
                    <w:rPr>
                      <w:strike w:val="0"/>
                      <w:dstrike w:val="0"/>
                      <w:color w:val="auto"/>
                      <w:szCs w:val="21"/>
                      <w:highlight w:val="none"/>
                      <w:vertAlign w:val="superscript"/>
                    </w:rPr>
                    <w:t>3</w:t>
                  </w:r>
                  <w:r>
                    <w:rPr>
                      <w:strike w:val="0"/>
                      <w:dstrike w:val="0"/>
                      <w:color w:val="auto"/>
                      <w:szCs w:val="21"/>
                      <w:highlight w:val="none"/>
                    </w:rPr>
                    <w:t>，LNG密度取0.45t/m</w:t>
                  </w:r>
                  <w:r>
                    <w:rPr>
                      <w:strike w:val="0"/>
                      <w:dstrike w:val="0"/>
                      <w:color w:val="auto"/>
                      <w:szCs w:val="21"/>
                      <w:highlight w:val="none"/>
                      <w:vertAlign w:val="superscript"/>
                    </w:rPr>
                    <w:t>3</w:t>
                  </w:r>
                  <w:r>
                    <w:rPr>
                      <w:strike w:val="0"/>
                      <w:dstrike w:val="0"/>
                      <w:color w:val="auto"/>
                      <w:szCs w:val="21"/>
                      <w:highlight w:val="none"/>
                    </w:rPr>
                    <w:t>；充装系数</w:t>
                  </w:r>
                  <w:r>
                    <w:rPr>
                      <w:rFonts w:eastAsia="TimesNewRomanPSMT"/>
                      <w:strike w:val="0"/>
                      <w:dstrike w:val="0"/>
                      <w:color w:val="auto"/>
                      <w:szCs w:val="21"/>
                      <w:highlight w:val="none"/>
                    </w:rPr>
                    <w:t>0.9</w:t>
                  </w:r>
                  <w:r>
                    <w:rPr>
                      <w:strike w:val="0"/>
                      <w:dstrike w:val="0"/>
                      <w:color w:val="auto"/>
                      <w:szCs w:val="21"/>
                      <w:highlight w:val="none"/>
                    </w:rPr>
                    <w:t>。</w:t>
                  </w:r>
                </w:p>
              </w:tc>
            </w:tr>
            <w:bookmarkEnd w:id="52"/>
            <w:bookmarkEnd w:id="58"/>
          </w:tbl>
          <w:p w14:paraId="4A72E4CA">
            <w:pPr>
              <w:pStyle w:val="50"/>
              <w:rPr>
                <w:strike w:val="0"/>
                <w:dstrike w:val="0"/>
                <w:color w:val="auto"/>
                <w:szCs w:val="24"/>
                <w:highlight w:val="none"/>
              </w:rPr>
            </w:pPr>
            <w:r>
              <w:rPr>
                <w:strike w:val="0"/>
                <w:dstrike w:val="0"/>
                <w:color w:val="auto"/>
                <w:szCs w:val="24"/>
                <w:highlight w:val="none"/>
              </w:rPr>
              <w:t xml:space="preserve">表2.1-5  </w:t>
            </w:r>
            <w:r>
              <w:rPr>
                <w:strike w:val="0"/>
                <w:dstrike w:val="0"/>
                <w:color w:val="auto"/>
                <w:highlight w:val="none"/>
              </w:rPr>
              <w:t>本项目主要原辅材料</w:t>
            </w:r>
            <w:r>
              <w:rPr>
                <w:strike w:val="0"/>
                <w:dstrike w:val="0"/>
                <w:color w:val="auto"/>
                <w:szCs w:val="24"/>
                <w:highlight w:val="none"/>
              </w:rPr>
              <w:t>及能源年消耗量统计表</w:t>
            </w:r>
          </w:p>
          <w:tbl>
            <w:tblPr>
              <w:tblStyle w:val="22"/>
              <w:tblW w:w="7637" w:type="dxa"/>
              <w:jc w:val="center"/>
              <w:tblLayout w:type="fixed"/>
              <w:tblCellMar>
                <w:top w:w="0" w:type="dxa"/>
                <w:left w:w="108" w:type="dxa"/>
                <w:bottom w:w="0" w:type="dxa"/>
                <w:right w:w="108" w:type="dxa"/>
              </w:tblCellMar>
            </w:tblPr>
            <w:tblGrid>
              <w:gridCol w:w="446"/>
              <w:gridCol w:w="1134"/>
              <w:gridCol w:w="684"/>
              <w:gridCol w:w="1061"/>
              <w:gridCol w:w="860"/>
              <w:gridCol w:w="2195"/>
              <w:gridCol w:w="1257"/>
            </w:tblGrid>
            <w:tr w14:paraId="73C2D36C">
              <w:tblPrEx>
                <w:tblCellMar>
                  <w:top w:w="0" w:type="dxa"/>
                  <w:left w:w="108" w:type="dxa"/>
                  <w:bottom w:w="0" w:type="dxa"/>
                  <w:right w:w="108" w:type="dxa"/>
                </w:tblCellMar>
              </w:tblPrEx>
              <w:trPr>
                <w:trHeight w:val="624" w:hRule="atLeast"/>
                <w:jc w:val="center"/>
              </w:trPr>
              <w:tc>
                <w:tcPr>
                  <w:tcW w:w="446" w:type="dxa"/>
                  <w:tcBorders>
                    <w:top w:val="single" w:color="000000" w:sz="4" w:space="0"/>
                    <w:left w:val="single" w:color="000000" w:sz="4" w:space="0"/>
                    <w:bottom w:val="single" w:color="000000" w:sz="4" w:space="0"/>
                    <w:right w:val="single" w:color="000000" w:sz="4" w:space="0"/>
                  </w:tcBorders>
                  <w:noWrap/>
                  <w:vAlign w:val="center"/>
                </w:tcPr>
                <w:p w14:paraId="551B445C">
                  <w:pPr>
                    <w:widowControl/>
                    <w:jc w:val="center"/>
                    <w:textAlignment w:val="center"/>
                    <w:rPr>
                      <w:b/>
                      <w:bCs/>
                      <w:strike w:val="0"/>
                      <w:dstrike w:val="0"/>
                      <w:color w:val="auto"/>
                      <w:szCs w:val="21"/>
                      <w:highlight w:val="none"/>
                    </w:rPr>
                  </w:pPr>
                  <w:r>
                    <w:rPr>
                      <w:b/>
                      <w:bCs/>
                      <w:strike w:val="0"/>
                      <w:dstrike w:val="0"/>
                      <w:color w:val="auto"/>
                      <w:kern w:val="0"/>
                      <w:szCs w:val="21"/>
                      <w:highlight w:val="none"/>
                      <w:lang w:bidi="ar"/>
                    </w:rPr>
                    <w:t>序号</w:t>
                  </w:r>
                </w:p>
              </w:tc>
              <w:tc>
                <w:tcPr>
                  <w:tcW w:w="1134" w:type="dxa"/>
                  <w:tcBorders>
                    <w:top w:val="single" w:color="000000" w:sz="4" w:space="0"/>
                    <w:left w:val="single" w:color="000000" w:sz="4" w:space="0"/>
                    <w:bottom w:val="single" w:color="000000" w:sz="4" w:space="0"/>
                    <w:right w:val="single" w:color="000000" w:sz="4" w:space="0"/>
                  </w:tcBorders>
                  <w:vAlign w:val="center"/>
                </w:tcPr>
                <w:p w14:paraId="1E574C14">
                  <w:pPr>
                    <w:widowControl/>
                    <w:jc w:val="center"/>
                    <w:textAlignment w:val="center"/>
                    <w:rPr>
                      <w:b/>
                      <w:bCs/>
                      <w:strike w:val="0"/>
                      <w:dstrike w:val="0"/>
                      <w:color w:val="auto"/>
                      <w:szCs w:val="21"/>
                      <w:highlight w:val="none"/>
                    </w:rPr>
                  </w:pPr>
                  <w:r>
                    <w:rPr>
                      <w:b/>
                      <w:bCs/>
                      <w:strike w:val="0"/>
                      <w:dstrike w:val="0"/>
                      <w:color w:val="auto"/>
                      <w:szCs w:val="21"/>
                      <w:highlight w:val="none"/>
                    </w:rPr>
                    <w:t>名称</w:t>
                  </w:r>
                </w:p>
              </w:tc>
              <w:tc>
                <w:tcPr>
                  <w:tcW w:w="684" w:type="dxa"/>
                  <w:tcBorders>
                    <w:top w:val="single" w:color="000000" w:sz="4" w:space="0"/>
                    <w:left w:val="single" w:color="000000" w:sz="4" w:space="0"/>
                    <w:bottom w:val="single" w:color="000000" w:sz="4" w:space="0"/>
                    <w:right w:val="single" w:color="000000" w:sz="4" w:space="0"/>
                  </w:tcBorders>
                  <w:vAlign w:val="center"/>
                </w:tcPr>
                <w:p w14:paraId="48BC3C7A">
                  <w:pPr>
                    <w:widowControl/>
                    <w:jc w:val="center"/>
                    <w:textAlignment w:val="center"/>
                    <w:rPr>
                      <w:b/>
                      <w:bCs/>
                      <w:strike w:val="0"/>
                      <w:dstrike w:val="0"/>
                      <w:color w:val="auto"/>
                      <w:kern w:val="0"/>
                      <w:szCs w:val="21"/>
                      <w:highlight w:val="none"/>
                      <w:lang w:bidi="ar"/>
                    </w:rPr>
                  </w:pPr>
                  <w:r>
                    <w:rPr>
                      <w:b/>
                      <w:bCs/>
                      <w:strike w:val="0"/>
                      <w:dstrike w:val="0"/>
                      <w:color w:val="auto"/>
                      <w:kern w:val="0"/>
                      <w:szCs w:val="21"/>
                      <w:highlight w:val="none"/>
                      <w:lang w:bidi="ar"/>
                    </w:rPr>
                    <w:t>单位</w:t>
                  </w:r>
                </w:p>
              </w:tc>
              <w:tc>
                <w:tcPr>
                  <w:tcW w:w="1061" w:type="dxa"/>
                  <w:tcBorders>
                    <w:top w:val="single" w:color="000000" w:sz="4" w:space="0"/>
                    <w:left w:val="single" w:color="000000" w:sz="4" w:space="0"/>
                    <w:bottom w:val="single" w:color="000000" w:sz="4" w:space="0"/>
                    <w:right w:val="single" w:color="000000" w:sz="4" w:space="0"/>
                  </w:tcBorders>
                  <w:vAlign w:val="center"/>
                </w:tcPr>
                <w:p w14:paraId="55858082">
                  <w:pPr>
                    <w:widowControl/>
                    <w:jc w:val="center"/>
                    <w:textAlignment w:val="center"/>
                    <w:rPr>
                      <w:b/>
                      <w:bCs/>
                      <w:strike w:val="0"/>
                      <w:dstrike w:val="0"/>
                      <w:color w:val="auto"/>
                      <w:kern w:val="0"/>
                      <w:szCs w:val="21"/>
                      <w:highlight w:val="none"/>
                      <w:lang w:bidi="ar"/>
                    </w:rPr>
                  </w:pPr>
                  <w:r>
                    <w:rPr>
                      <w:b/>
                      <w:bCs/>
                      <w:strike w:val="0"/>
                      <w:dstrike w:val="0"/>
                      <w:color w:val="auto"/>
                      <w:kern w:val="0"/>
                      <w:szCs w:val="21"/>
                      <w:highlight w:val="none"/>
                      <w:lang w:bidi="ar"/>
                    </w:rPr>
                    <w:t>年用量</w:t>
                  </w:r>
                </w:p>
              </w:tc>
              <w:tc>
                <w:tcPr>
                  <w:tcW w:w="860" w:type="dxa"/>
                  <w:tcBorders>
                    <w:top w:val="single" w:color="000000" w:sz="4" w:space="0"/>
                    <w:left w:val="single" w:color="000000" w:sz="4" w:space="0"/>
                    <w:bottom w:val="single" w:color="000000" w:sz="4" w:space="0"/>
                    <w:right w:val="single" w:color="000000" w:sz="4" w:space="0"/>
                  </w:tcBorders>
                  <w:vAlign w:val="center"/>
                </w:tcPr>
                <w:p w14:paraId="3A9A8B1A">
                  <w:pPr>
                    <w:widowControl/>
                    <w:jc w:val="center"/>
                    <w:textAlignment w:val="center"/>
                    <w:rPr>
                      <w:b/>
                      <w:bCs/>
                      <w:strike w:val="0"/>
                      <w:dstrike w:val="0"/>
                      <w:color w:val="auto"/>
                      <w:kern w:val="0"/>
                      <w:szCs w:val="21"/>
                      <w:highlight w:val="none"/>
                      <w:lang w:bidi="ar"/>
                    </w:rPr>
                  </w:pPr>
                  <w:r>
                    <w:rPr>
                      <w:b/>
                      <w:bCs/>
                      <w:strike w:val="0"/>
                      <w:dstrike w:val="0"/>
                      <w:color w:val="auto"/>
                      <w:kern w:val="0"/>
                      <w:szCs w:val="21"/>
                      <w:highlight w:val="none"/>
                      <w:lang w:bidi="ar"/>
                    </w:rPr>
                    <w:t>最大存储量</w:t>
                  </w:r>
                </w:p>
              </w:tc>
              <w:tc>
                <w:tcPr>
                  <w:tcW w:w="2195" w:type="dxa"/>
                  <w:tcBorders>
                    <w:top w:val="single" w:color="000000" w:sz="4" w:space="0"/>
                    <w:left w:val="single" w:color="000000" w:sz="4" w:space="0"/>
                    <w:bottom w:val="single" w:color="000000" w:sz="4" w:space="0"/>
                    <w:right w:val="single" w:color="000000" w:sz="4" w:space="0"/>
                  </w:tcBorders>
                  <w:vAlign w:val="center"/>
                </w:tcPr>
                <w:p w14:paraId="0739EF9D">
                  <w:pPr>
                    <w:widowControl/>
                    <w:jc w:val="center"/>
                    <w:textAlignment w:val="center"/>
                    <w:rPr>
                      <w:b/>
                      <w:bCs/>
                      <w:strike w:val="0"/>
                      <w:dstrike w:val="0"/>
                      <w:color w:val="auto"/>
                      <w:kern w:val="0"/>
                      <w:szCs w:val="21"/>
                      <w:highlight w:val="none"/>
                      <w:lang w:bidi="ar"/>
                    </w:rPr>
                  </w:pPr>
                  <w:r>
                    <w:rPr>
                      <w:b/>
                      <w:bCs/>
                      <w:strike w:val="0"/>
                      <w:dstrike w:val="0"/>
                      <w:color w:val="auto"/>
                      <w:kern w:val="0"/>
                      <w:szCs w:val="21"/>
                      <w:highlight w:val="none"/>
                      <w:lang w:bidi="ar"/>
                    </w:rPr>
                    <w:t>成分</w:t>
                  </w:r>
                </w:p>
              </w:tc>
              <w:tc>
                <w:tcPr>
                  <w:tcW w:w="1257" w:type="dxa"/>
                  <w:tcBorders>
                    <w:top w:val="single" w:color="000000" w:sz="4" w:space="0"/>
                    <w:left w:val="single" w:color="000000" w:sz="4" w:space="0"/>
                    <w:bottom w:val="single" w:color="000000" w:sz="4" w:space="0"/>
                    <w:right w:val="single" w:color="000000" w:sz="4" w:space="0"/>
                  </w:tcBorders>
                  <w:vAlign w:val="center"/>
                </w:tcPr>
                <w:p w14:paraId="45BCD479">
                  <w:pPr>
                    <w:widowControl/>
                    <w:jc w:val="center"/>
                    <w:textAlignment w:val="center"/>
                    <w:rPr>
                      <w:b/>
                      <w:bCs/>
                      <w:strike w:val="0"/>
                      <w:dstrike w:val="0"/>
                      <w:color w:val="auto"/>
                      <w:kern w:val="0"/>
                      <w:szCs w:val="21"/>
                      <w:highlight w:val="none"/>
                      <w:lang w:bidi="ar"/>
                    </w:rPr>
                  </w:pPr>
                  <w:r>
                    <w:rPr>
                      <w:b/>
                      <w:bCs/>
                      <w:strike w:val="0"/>
                      <w:dstrike w:val="0"/>
                      <w:color w:val="auto"/>
                      <w:kern w:val="0"/>
                      <w:szCs w:val="21"/>
                      <w:highlight w:val="none"/>
                      <w:lang w:bidi="ar"/>
                    </w:rPr>
                    <w:t>备注</w:t>
                  </w:r>
                </w:p>
              </w:tc>
            </w:tr>
            <w:tr w14:paraId="4215D583">
              <w:tblPrEx>
                <w:tblCellMar>
                  <w:top w:w="0" w:type="dxa"/>
                  <w:left w:w="108" w:type="dxa"/>
                  <w:bottom w:w="0" w:type="dxa"/>
                  <w:right w:w="108" w:type="dxa"/>
                </w:tblCellMar>
              </w:tblPrEx>
              <w:trPr>
                <w:trHeight w:val="317" w:hRule="atLeast"/>
                <w:jc w:val="center"/>
              </w:trPr>
              <w:tc>
                <w:tcPr>
                  <w:tcW w:w="7637" w:type="dxa"/>
                  <w:gridSpan w:val="7"/>
                  <w:tcBorders>
                    <w:top w:val="single" w:color="000000" w:sz="4" w:space="0"/>
                    <w:left w:val="single" w:color="000000" w:sz="4" w:space="0"/>
                    <w:bottom w:val="single" w:color="000000" w:sz="4" w:space="0"/>
                    <w:right w:val="single" w:color="000000" w:sz="4" w:space="0"/>
                  </w:tcBorders>
                  <w:noWrap/>
                  <w:vAlign w:val="center"/>
                </w:tcPr>
                <w:p w14:paraId="29851E70">
                  <w:pPr>
                    <w:widowControl/>
                    <w:jc w:val="center"/>
                    <w:textAlignment w:val="center"/>
                    <w:rPr>
                      <w:b/>
                      <w:bCs/>
                      <w:strike w:val="0"/>
                      <w:dstrike w:val="0"/>
                      <w:color w:val="auto"/>
                      <w:kern w:val="0"/>
                      <w:szCs w:val="21"/>
                      <w:highlight w:val="none"/>
                      <w:lang w:bidi="ar"/>
                    </w:rPr>
                  </w:pPr>
                  <w:r>
                    <w:rPr>
                      <w:b/>
                      <w:bCs/>
                      <w:strike w:val="0"/>
                      <w:dstrike w:val="0"/>
                      <w:color w:val="auto"/>
                      <w:kern w:val="0"/>
                      <w:szCs w:val="21"/>
                      <w:highlight w:val="none"/>
                      <w:lang w:bidi="ar"/>
                    </w:rPr>
                    <w:t>设备用油</w:t>
                  </w:r>
                </w:p>
              </w:tc>
            </w:tr>
            <w:tr w14:paraId="5283A0C6">
              <w:tblPrEx>
                <w:tblCellMar>
                  <w:top w:w="0" w:type="dxa"/>
                  <w:left w:w="108" w:type="dxa"/>
                  <w:bottom w:w="0" w:type="dxa"/>
                  <w:right w:w="108" w:type="dxa"/>
                </w:tblCellMar>
              </w:tblPrEx>
              <w:trPr>
                <w:trHeight w:val="624" w:hRule="atLeast"/>
                <w:jc w:val="center"/>
              </w:trPr>
              <w:tc>
                <w:tcPr>
                  <w:tcW w:w="446" w:type="dxa"/>
                  <w:tcBorders>
                    <w:top w:val="single" w:color="000000" w:sz="4" w:space="0"/>
                    <w:left w:val="single" w:color="000000" w:sz="4" w:space="0"/>
                    <w:bottom w:val="single" w:color="000000" w:sz="4" w:space="0"/>
                    <w:right w:val="single" w:color="000000" w:sz="4" w:space="0"/>
                  </w:tcBorders>
                  <w:noWrap/>
                  <w:vAlign w:val="center"/>
                </w:tcPr>
                <w:p w14:paraId="26667611">
                  <w:pPr>
                    <w:pStyle w:val="38"/>
                    <w:spacing w:line="240" w:lineRule="auto"/>
                    <w:ind w:firstLine="0"/>
                    <w:jc w:val="center"/>
                    <w:rPr>
                      <w:rFonts w:ascii="Times New Roman" w:hAnsi="Times New Roman" w:cs="Times New Roman"/>
                      <w:strike w:val="0"/>
                      <w:dstrike w:val="0"/>
                      <w:color w:val="auto"/>
                      <w:sz w:val="21"/>
                      <w:highlight w:val="none"/>
                    </w:rPr>
                  </w:pPr>
                  <w:r>
                    <w:rPr>
                      <w:rFonts w:ascii="Times New Roman" w:hAnsi="Times New Roman" w:cs="Times New Roman"/>
                      <w:strike w:val="0"/>
                      <w:dstrike w:val="0"/>
                      <w:color w:val="auto"/>
                      <w:sz w:val="21"/>
                      <w:highlight w:val="none"/>
                    </w:rPr>
                    <w:t>1</w:t>
                  </w:r>
                </w:p>
              </w:tc>
              <w:tc>
                <w:tcPr>
                  <w:tcW w:w="1134" w:type="dxa"/>
                  <w:tcBorders>
                    <w:top w:val="single" w:color="000000" w:sz="4" w:space="0"/>
                    <w:left w:val="single" w:color="000000" w:sz="4" w:space="0"/>
                    <w:bottom w:val="single" w:color="000000" w:sz="4" w:space="0"/>
                    <w:right w:val="single" w:color="000000" w:sz="4" w:space="0"/>
                  </w:tcBorders>
                  <w:vAlign w:val="center"/>
                </w:tcPr>
                <w:p w14:paraId="2F9FA906">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空压机油</w:t>
                  </w:r>
                </w:p>
              </w:tc>
              <w:tc>
                <w:tcPr>
                  <w:tcW w:w="684" w:type="dxa"/>
                  <w:tcBorders>
                    <w:top w:val="single" w:color="000000" w:sz="4" w:space="0"/>
                    <w:left w:val="single" w:color="000000" w:sz="4" w:space="0"/>
                    <w:bottom w:val="single" w:color="000000" w:sz="4" w:space="0"/>
                    <w:right w:val="single" w:color="000000" w:sz="4" w:space="0"/>
                  </w:tcBorders>
                  <w:vAlign w:val="center"/>
                </w:tcPr>
                <w:p w14:paraId="5A91C525">
                  <w:pPr>
                    <w:jc w:val="center"/>
                    <w:rPr>
                      <w:strike w:val="0"/>
                      <w:dstrike w:val="0"/>
                      <w:color w:val="auto"/>
                      <w:szCs w:val="21"/>
                      <w:highlight w:val="none"/>
                    </w:rPr>
                  </w:pPr>
                  <w:r>
                    <w:rPr>
                      <w:strike w:val="0"/>
                      <w:dstrike w:val="0"/>
                      <w:color w:val="auto"/>
                      <w:szCs w:val="21"/>
                      <w:highlight w:val="none"/>
                    </w:rPr>
                    <w:t>t</w:t>
                  </w:r>
                </w:p>
              </w:tc>
              <w:tc>
                <w:tcPr>
                  <w:tcW w:w="1061" w:type="dxa"/>
                  <w:tcBorders>
                    <w:top w:val="single" w:color="000000" w:sz="4" w:space="0"/>
                    <w:left w:val="single" w:color="000000" w:sz="4" w:space="0"/>
                    <w:bottom w:val="single" w:color="000000" w:sz="4" w:space="0"/>
                    <w:right w:val="single" w:color="000000" w:sz="4" w:space="0"/>
                  </w:tcBorders>
                  <w:vAlign w:val="center"/>
                </w:tcPr>
                <w:p w14:paraId="469B4D9D">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0.2</w:t>
                  </w:r>
                </w:p>
              </w:tc>
              <w:tc>
                <w:tcPr>
                  <w:tcW w:w="860" w:type="dxa"/>
                  <w:tcBorders>
                    <w:top w:val="single" w:color="000000" w:sz="4" w:space="0"/>
                    <w:left w:val="single" w:color="000000" w:sz="4" w:space="0"/>
                    <w:bottom w:val="single" w:color="000000" w:sz="4" w:space="0"/>
                    <w:right w:val="single" w:color="000000" w:sz="4" w:space="0"/>
                  </w:tcBorders>
                  <w:vAlign w:val="center"/>
                </w:tcPr>
                <w:p w14:paraId="12544B23">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w:t>
                  </w:r>
                </w:p>
              </w:tc>
              <w:tc>
                <w:tcPr>
                  <w:tcW w:w="2195" w:type="dxa"/>
                  <w:tcBorders>
                    <w:top w:val="single" w:color="000000" w:sz="4" w:space="0"/>
                    <w:left w:val="single" w:color="000000" w:sz="4" w:space="0"/>
                    <w:bottom w:val="single" w:color="000000" w:sz="4" w:space="0"/>
                    <w:right w:val="single" w:color="000000" w:sz="4" w:space="0"/>
                  </w:tcBorders>
                  <w:vAlign w:val="center"/>
                </w:tcPr>
                <w:p w14:paraId="1812FC26">
                  <w:pPr>
                    <w:pStyle w:val="9"/>
                    <w:jc w:val="center"/>
                    <w:rPr>
                      <w:strike w:val="0"/>
                      <w:dstrike w:val="0"/>
                      <w:color w:val="auto"/>
                      <w:sz w:val="21"/>
                      <w:szCs w:val="21"/>
                      <w:highlight w:val="none"/>
                      <w:lang w:bidi="ar"/>
                    </w:rPr>
                  </w:pPr>
                  <w:r>
                    <w:rPr>
                      <w:strike w:val="0"/>
                      <w:dstrike w:val="0"/>
                      <w:color w:val="auto"/>
                      <w:sz w:val="21"/>
                      <w:szCs w:val="21"/>
                      <w:highlight w:val="none"/>
                    </w:rPr>
                    <w:t>基础油+添加剂</w:t>
                  </w:r>
                </w:p>
              </w:tc>
              <w:tc>
                <w:tcPr>
                  <w:tcW w:w="1257" w:type="dxa"/>
                  <w:tcBorders>
                    <w:top w:val="single" w:color="000000" w:sz="4" w:space="0"/>
                    <w:left w:val="single" w:color="000000" w:sz="4" w:space="0"/>
                    <w:bottom w:val="single" w:color="000000" w:sz="4" w:space="0"/>
                    <w:right w:val="single" w:color="000000" w:sz="4" w:space="0"/>
                  </w:tcBorders>
                  <w:vAlign w:val="center"/>
                </w:tcPr>
                <w:p w14:paraId="58A9B33C">
                  <w:pPr>
                    <w:pStyle w:val="9"/>
                    <w:jc w:val="center"/>
                    <w:rPr>
                      <w:strike w:val="0"/>
                      <w:dstrike w:val="0"/>
                      <w:color w:val="auto"/>
                      <w:sz w:val="21"/>
                      <w:szCs w:val="21"/>
                      <w:highlight w:val="none"/>
                      <w:lang w:bidi="ar"/>
                    </w:rPr>
                  </w:pPr>
                  <w:r>
                    <w:rPr>
                      <w:strike w:val="0"/>
                      <w:dstrike w:val="0"/>
                      <w:color w:val="auto"/>
                      <w:sz w:val="21"/>
                      <w:szCs w:val="21"/>
                      <w:highlight w:val="none"/>
                    </w:rPr>
                    <w:t>厂家更换，不储存</w:t>
                  </w:r>
                </w:p>
              </w:tc>
            </w:tr>
            <w:tr w14:paraId="2D5BFE12">
              <w:tblPrEx>
                <w:tblCellMar>
                  <w:top w:w="0" w:type="dxa"/>
                  <w:left w:w="108" w:type="dxa"/>
                  <w:bottom w:w="0" w:type="dxa"/>
                  <w:right w:w="108" w:type="dxa"/>
                </w:tblCellMar>
              </w:tblPrEx>
              <w:trPr>
                <w:trHeight w:val="317" w:hRule="atLeast"/>
                <w:jc w:val="center"/>
              </w:trPr>
              <w:tc>
                <w:tcPr>
                  <w:tcW w:w="7637" w:type="dxa"/>
                  <w:gridSpan w:val="7"/>
                  <w:tcBorders>
                    <w:top w:val="single" w:color="000000" w:sz="4" w:space="0"/>
                    <w:left w:val="single" w:color="000000" w:sz="4" w:space="0"/>
                    <w:bottom w:val="single" w:color="000000" w:sz="4" w:space="0"/>
                    <w:right w:val="single" w:color="000000" w:sz="4" w:space="0"/>
                  </w:tcBorders>
                  <w:noWrap/>
                  <w:vAlign w:val="center"/>
                </w:tcPr>
                <w:p w14:paraId="6F38FAA5">
                  <w:pPr>
                    <w:widowControl/>
                    <w:jc w:val="center"/>
                    <w:textAlignment w:val="center"/>
                    <w:rPr>
                      <w:b/>
                      <w:bCs/>
                      <w:strike w:val="0"/>
                      <w:dstrike w:val="0"/>
                      <w:color w:val="auto"/>
                      <w:kern w:val="0"/>
                      <w:szCs w:val="21"/>
                      <w:highlight w:val="none"/>
                      <w:lang w:bidi="ar"/>
                    </w:rPr>
                  </w:pPr>
                  <w:r>
                    <w:rPr>
                      <w:b/>
                      <w:bCs/>
                      <w:strike w:val="0"/>
                      <w:dstrike w:val="0"/>
                      <w:color w:val="auto"/>
                      <w:kern w:val="0"/>
                      <w:szCs w:val="21"/>
                      <w:highlight w:val="none"/>
                      <w:lang w:bidi="ar"/>
                    </w:rPr>
                    <w:t>能源</w:t>
                  </w:r>
                </w:p>
              </w:tc>
            </w:tr>
            <w:tr w14:paraId="2BC7A8B5">
              <w:tblPrEx>
                <w:tblCellMar>
                  <w:top w:w="0" w:type="dxa"/>
                  <w:left w:w="108" w:type="dxa"/>
                  <w:bottom w:w="0" w:type="dxa"/>
                  <w:right w:w="108" w:type="dxa"/>
                </w:tblCellMar>
              </w:tblPrEx>
              <w:trPr>
                <w:trHeight w:val="317" w:hRule="atLeast"/>
                <w:jc w:val="center"/>
              </w:trPr>
              <w:tc>
                <w:tcPr>
                  <w:tcW w:w="446" w:type="dxa"/>
                  <w:tcBorders>
                    <w:top w:val="single" w:color="000000" w:sz="4" w:space="0"/>
                    <w:left w:val="single" w:color="000000" w:sz="4" w:space="0"/>
                    <w:bottom w:val="single" w:color="000000" w:sz="4" w:space="0"/>
                    <w:right w:val="single" w:color="000000" w:sz="4" w:space="0"/>
                  </w:tcBorders>
                  <w:noWrap/>
                  <w:vAlign w:val="center"/>
                </w:tcPr>
                <w:p w14:paraId="16845CEA">
                  <w:pPr>
                    <w:jc w:val="center"/>
                    <w:rPr>
                      <w:strike w:val="0"/>
                      <w:dstrike w:val="0"/>
                      <w:color w:val="auto"/>
                      <w:szCs w:val="21"/>
                      <w:highlight w:val="none"/>
                    </w:rPr>
                  </w:pPr>
                  <w:r>
                    <w:rPr>
                      <w:strike w:val="0"/>
                      <w:dstrike w:val="0"/>
                      <w:color w:val="auto"/>
                      <w:szCs w:val="21"/>
                      <w:highlight w:val="none"/>
                    </w:rPr>
                    <w:t>1</w:t>
                  </w:r>
                </w:p>
              </w:tc>
              <w:tc>
                <w:tcPr>
                  <w:tcW w:w="1134" w:type="dxa"/>
                  <w:tcBorders>
                    <w:top w:val="single" w:color="000000" w:sz="4" w:space="0"/>
                    <w:left w:val="single" w:color="000000" w:sz="4" w:space="0"/>
                    <w:bottom w:val="single" w:color="000000" w:sz="4" w:space="0"/>
                    <w:right w:val="single" w:color="000000" w:sz="4" w:space="0"/>
                  </w:tcBorders>
                  <w:vAlign w:val="center"/>
                </w:tcPr>
                <w:p w14:paraId="57508ED0">
                  <w:pPr>
                    <w:jc w:val="center"/>
                    <w:rPr>
                      <w:strike w:val="0"/>
                      <w:dstrike w:val="0"/>
                      <w:color w:val="auto"/>
                      <w:szCs w:val="21"/>
                      <w:highlight w:val="none"/>
                    </w:rPr>
                  </w:pPr>
                  <w:r>
                    <w:rPr>
                      <w:strike w:val="0"/>
                      <w:dstrike w:val="0"/>
                      <w:color w:val="auto"/>
                      <w:szCs w:val="21"/>
                      <w:highlight w:val="none"/>
                    </w:rPr>
                    <w:t>水</w:t>
                  </w:r>
                </w:p>
              </w:tc>
              <w:tc>
                <w:tcPr>
                  <w:tcW w:w="684" w:type="dxa"/>
                  <w:tcBorders>
                    <w:top w:val="single" w:color="000000" w:sz="4" w:space="0"/>
                    <w:left w:val="single" w:color="000000" w:sz="4" w:space="0"/>
                    <w:bottom w:val="single" w:color="000000" w:sz="4" w:space="0"/>
                    <w:right w:val="single" w:color="000000" w:sz="4" w:space="0"/>
                  </w:tcBorders>
                  <w:vAlign w:val="center"/>
                </w:tcPr>
                <w:p w14:paraId="0C773F39">
                  <w:pPr>
                    <w:jc w:val="center"/>
                    <w:rPr>
                      <w:strike w:val="0"/>
                      <w:dstrike w:val="0"/>
                      <w:color w:val="auto"/>
                      <w:szCs w:val="21"/>
                      <w:highlight w:val="none"/>
                    </w:rPr>
                  </w:pPr>
                  <w:r>
                    <w:rPr>
                      <w:strike w:val="0"/>
                      <w:dstrike w:val="0"/>
                      <w:color w:val="auto"/>
                      <w:szCs w:val="21"/>
                      <w:highlight w:val="none"/>
                    </w:rPr>
                    <w:t>t</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B900">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1686.94</w:t>
                  </w:r>
                </w:p>
              </w:tc>
              <w:tc>
                <w:tcPr>
                  <w:tcW w:w="860" w:type="dxa"/>
                  <w:tcBorders>
                    <w:top w:val="single" w:color="000000" w:sz="4" w:space="0"/>
                    <w:left w:val="single" w:color="000000" w:sz="4" w:space="0"/>
                    <w:bottom w:val="single" w:color="000000" w:sz="4" w:space="0"/>
                    <w:right w:val="single" w:color="000000" w:sz="4" w:space="0"/>
                  </w:tcBorders>
                  <w:vAlign w:val="center"/>
                </w:tcPr>
                <w:p w14:paraId="486F29F5">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w:t>
                  </w:r>
                </w:p>
              </w:tc>
              <w:tc>
                <w:tcPr>
                  <w:tcW w:w="2195" w:type="dxa"/>
                  <w:tcBorders>
                    <w:top w:val="single" w:color="000000" w:sz="4" w:space="0"/>
                    <w:left w:val="single" w:color="000000" w:sz="4" w:space="0"/>
                    <w:bottom w:val="single" w:color="000000" w:sz="4" w:space="0"/>
                    <w:right w:val="single" w:color="000000" w:sz="4" w:space="0"/>
                  </w:tcBorders>
                  <w:vAlign w:val="center"/>
                </w:tcPr>
                <w:p w14:paraId="02FBA3B5">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w:t>
                  </w:r>
                </w:p>
              </w:tc>
              <w:tc>
                <w:tcPr>
                  <w:tcW w:w="1257" w:type="dxa"/>
                  <w:tcBorders>
                    <w:top w:val="single" w:color="000000" w:sz="4" w:space="0"/>
                    <w:left w:val="single" w:color="000000" w:sz="4" w:space="0"/>
                    <w:bottom w:val="single" w:color="000000" w:sz="4" w:space="0"/>
                    <w:right w:val="single" w:color="000000" w:sz="4" w:space="0"/>
                  </w:tcBorders>
                  <w:vAlign w:val="center"/>
                </w:tcPr>
                <w:p w14:paraId="1EA0D575">
                  <w:pPr>
                    <w:jc w:val="center"/>
                    <w:rPr>
                      <w:strike w:val="0"/>
                      <w:dstrike w:val="0"/>
                      <w:color w:val="auto"/>
                      <w:szCs w:val="21"/>
                      <w:highlight w:val="none"/>
                    </w:rPr>
                  </w:pPr>
                  <w:r>
                    <w:rPr>
                      <w:strike w:val="0"/>
                      <w:dstrike w:val="0"/>
                      <w:color w:val="auto"/>
                      <w:szCs w:val="21"/>
                      <w:highlight w:val="none"/>
                    </w:rPr>
                    <w:t>市政供水</w:t>
                  </w:r>
                </w:p>
              </w:tc>
            </w:tr>
            <w:tr w14:paraId="1D788C1E">
              <w:tblPrEx>
                <w:tblCellMar>
                  <w:top w:w="0" w:type="dxa"/>
                  <w:left w:w="108" w:type="dxa"/>
                  <w:bottom w:w="0" w:type="dxa"/>
                  <w:right w:w="108" w:type="dxa"/>
                </w:tblCellMar>
              </w:tblPrEx>
              <w:trPr>
                <w:trHeight w:val="317" w:hRule="atLeast"/>
                <w:jc w:val="center"/>
              </w:trPr>
              <w:tc>
                <w:tcPr>
                  <w:tcW w:w="446" w:type="dxa"/>
                  <w:tcBorders>
                    <w:top w:val="single" w:color="000000" w:sz="4" w:space="0"/>
                    <w:left w:val="single" w:color="000000" w:sz="4" w:space="0"/>
                    <w:bottom w:val="single" w:color="000000" w:sz="4" w:space="0"/>
                    <w:right w:val="single" w:color="000000" w:sz="4" w:space="0"/>
                  </w:tcBorders>
                  <w:vAlign w:val="center"/>
                </w:tcPr>
                <w:p w14:paraId="66B04202">
                  <w:pPr>
                    <w:jc w:val="center"/>
                    <w:rPr>
                      <w:strike w:val="0"/>
                      <w:dstrike w:val="0"/>
                      <w:color w:val="auto"/>
                      <w:szCs w:val="21"/>
                      <w:highlight w:val="none"/>
                    </w:rPr>
                  </w:pPr>
                  <w:r>
                    <w:rPr>
                      <w:strike w:val="0"/>
                      <w:dstrike w:val="0"/>
                      <w:color w:val="auto"/>
                      <w:szCs w:val="21"/>
                      <w:highlight w:val="none"/>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557EDCA4">
                  <w:pPr>
                    <w:jc w:val="center"/>
                    <w:rPr>
                      <w:strike w:val="0"/>
                      <w:dstrike w:val="0"/>
                      <w:color w:val="auto"/>
                      <w:szCs w:val="21"/>
                      <w:highlight w:val="none"/>
                    </w:rPr>
                  </w:pPr>
                  <w:r>
                    <w:rPr>
                      <w:strike w:val="0"/>
                      <w:dstrike w:val="0"/>
                      <w:color w:val="auto"/>
                      <w:szCs w:val="21"/>
                      <w:highlight w:val="none"/>
                    </w:rPr>
                    <w:t>电</w:t>
                  </w:r>
                </w:p>
              </w:tc>
              <w:tc>
                <w:tcPr>
                  <w:tcW w:w="684" w:type="dxa"/>
                  <w:tcBorders>
                    <w:top w:val="single" w:color="000000" w:sz="4" w:space="0"/>
                    <w:left w:val="single" w:color="000000" w:sz="4" w:space="0"/>
                    <w:bottom w:val="single" w:color="000000" w:sz="4" w:space="0"/>
                    <w:right w:val="single" w:color="000000" w:sz="4" w:space="0"/>
                  </w:tcBorders>
                  <w:vAlign w:val="center"/>
                </w:tcPr>
                <w:p w14:paraId="148214D3">
                  <w:pPr>
                    <w:jc w:val="center"/>
                    <w:rPr>
                      <w:strike w:val="0"/>
                      <w:dstrike w:val="0"/>
                      <w:color w:val="auto"/>
                      <w:szCs w:val="21"/>
                      <w:highlight w:val="none"/>
                    </w:rPr>
                  </w:pPr>
                  <w:r>
                    <w:rPr>
                      <w:strike w:val="0"/>
                      <w:dstrike w:val="0"/>
                      <w:color w:val="auto"/>
                      <w:szCs w:val="21"/>
                      <w:highlight w:val="none"/>
                    </w:rPr>
                    <w:t>kwh</w:t>
                  </w:r>
                </w:p>
              </w:tc>
              <w:tc>
                <w:tcPr>
                  <w:tcW w:w="1061" w:type="dxa"/>
                  <w:tcBorders>
                    <w:top w:val="single" w:color="000000" w:sz="4" w:space="0"/>
                    <w:left w:val="single" w:color="000000" w:sz="4" w:space="0"/>
                    <w:bottom w:val="single" w:color="000000" w:sz="4" w:space="0"/>
                    <w:right w:val="single" w:color="000000" w:sz="4" w:space="0"/>
                  </w:tcBorders>
                  <w:vAlign w:val="center"/>
                </w:tcPr>
                <w:p w14:paraId="6DB029C6">
                  <w:pPr>
                    <w:jc w:val="center"/>
                    <w:rPr>
                      <w:strike w:val="0"/>
                      <w:dstrike w:val="0"/>
                      <w:color w:val="auto"/>
                      <w:szCs w:val="21"/>
                      <w:highlight w:val="none"/>
                    </w:rPr>
                  </w:pPr>
                  <w:r>
                    <w:rPr>
                      <w:strike w:val="0"/>
                      <w:dstrike w:val="0"/>
                      <w:color w:val="auto"/>
                      <w:szCs w:val="21"/>
                      <w:highlight w:val="none"/>
                    </w:rPr>
                    <w:t>18250</w:t>
                  </w:r>
                </w:p>
              </w:tc>
              <w:tc>
                <w:tcPr>
                  <w:tcW w:w="860" w:type="dxa"/>
                  <w:tcBorders>
                    <w:top w:val="single" w:color="000000" w:sz="4" w:space="0"/>
                    <w:left w:val="single" w:color="000000" w:sz="4" w:space="0"/>
                    <w:bottom w:val="single" w:color="000000" w:sz="4" w:space="0"/>
                    <w:right w:val="single" w:color="000000" w:sz="4" w:space="0"/>
                  </w:tcBorders>
                  <w:vAlign w:val="center"/>
                </w:tcPr>
                <w:p w14:paraId="5B724023">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w:t>
                  </w:r>
                </w:p>
              </w:tc>
              <w:tc>
                <w:tcPr>
                  <w:tcW w:w="2195" w:type="dxa"/>
                  <w:tcBorders>
                    <w:top w:val="single" w:color="000000" w:sz="4" w:space="0"/>
                    <w:left w:val="single" w:color="000000" w:sz="4" w:space="0"/>
                    <w:bottom w:val="single" w:color="000000" w:sz="4" w:space="0"/>
                    <w:right w:val="single" w:color="000000" w:sz="4" w:space="0"/>
                  </w:tcBorders>
                  <w:vAlign w:val="center"/>
                </w:tcPr>
                <w:p w14:paraId="75C6AD86">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w:t>
                  </w:r>
                </w:p>
              </w:tc>
              <w:tc>
                <w:tcPr>
                  <w:tcW w:w="1257" w:type="dxa"/>
                  <w:tcBorders>
                    <w:top w:val="single" w:color="000000" w:sz="4" w:space="0"/>
                    <w:left w:val="single" w:color="000000" w:sz="4" w:space="0"/>
                    <w:bottom w:val="single" w:color="000000" w:sz="4" w:space="0"/>
                    <w:right w:val="single" w:color="000000" w:sz="4" w:space="0"/>
                  </w:tcBorders>
                  <w:vAlign w:val="center"/>
                </w:tcPr>
                <w:p w14:paraId="59BBD940">
                  <w:pPr>
                    <w:jc w:val="center"/>
                    <w:rPr>
                      <w:strike w:val="0"/>
                      <w:dstrike w:val="0"/>
                      <w:color w:val="auto"/>
                      <w:szCs w:val="21"/>
                      <w:highlight w:val="none"/>
                    </w:rPr>
                  </w:pPr>
                  <w:r>
                    <w:rPr>
                      <w:strike w:val="0"/>
                      <w:dstrike w:val="0"/>
                      <w:color w:val="auto"/>
                      <w:szCs w:val="21"/>
                      <w:highlight w:val="none"/>
                    </w:rPr>
                    <w:t>市政电网</w:t>
                  </w:r>
                </w:p>
              </w:tc>
            </w:tr>
          </w:tbl>
          <w:p w14:paraId="123DA179">
            <w:pPr>
              <w:adjustRightInd w:val="0"/>
              <w:snapToGrid w:val="0"/>
              <w:spacing w:line="360" w:lineRule="auto"/>
              <w:rPr>
                <w:b/>
                <w:bCs/>
                <w:strike w:val="0"/>
                <w:dstrike w:val="0"/>
                <w:color w:val="auto"/>
                <w:sz w:val="24"/>
                <w:highlight w:val="none"/>
              </w:rPr>
            </w:pPr>
            <w:r>
              <w:rPr>
                <w:b/>
                <w:bCs/>
                <w:strike w:val="0"/>
                <w:dstrike w:val="0"/>
                <w:color w:val="auto"/>
                <w:sz w:val="24"/>
                <w:highlight w:val="none"/>
              </w:rPr>
              <w:t>2.1.</w:t>
            </w:r>
            <w:bookmarkStart w:id="60" w:name="OLE_LINK67"/>
            <w:r>
              <w:rPr>
                <w:b/>
                <w:bCs/>
                <w:strike w:val="0"/>
                <w:dstrike w:val="0"/>
                <w:color w:val="auto"/>
                <w:sz w:val="24"/>
                <w:highlight w:val="none"/>
              </w:rPr>
              <w:t>7 主要原辅材料理化性质</w:t>
            </w:r>
          </w:p>
          <w:bookmarkEnd w:id="60"/>
          <w:p w14:paraId="40E65364">
            <w:pPr>
              <w:adjustRightInd w:val="0"/>
              <w:snapToGrid w:val="0"/>
              <w:spacing w:line="360" w:lineRule="auto"/>
              <w:ind w:firstLine="480" w:firstLineChars="200"/>
              <w:rPr>
                <w:strike w:val="0"/>
                <w:dstrike w:val="0"/>
                <w:color w:val="auto"/>
                <w:sz w:val="24"/>
                <w:highlight w:val="none"/>
              </w:rPr>
            </w:pPr>
            <w:r>
              <w:rPr>
                <w:strike w:val="0"/>
                <w:dstrike w:val="0"/>
                <w:color w:val="auto"/>
                <w:kern w:val="0"/>
                <w:sz w:val="24"/>
                <w:highlight w:val="none"/>
              </w:rPr>
              <w:t>项目</w:t>
            </w:r>
            <w:bookmarkStart w:id="61" w:name="OLE_LINK68"/>
            <w:r>
              <w:rPr>
                <w:strike w:val="0"/>
                <w:dstrike w:val="0"/>
                <w:color w:val="auto"/>
                <w:kern w:val="0"/>
                <w:sz w:val="24"/>
                <w:highlight w:val="none"/>
              </w:rPr>
              <w:t>主要原料理化性质和危险特性</w:t>
            </w:r>
            <w:bookmarkEnd w:id="61"/>
            <w:r>
              <w:rPr>
                <w:strike w:val="0"/>
                <w:dstrike w:val="0"/>
                <w:color w:val="auto"/>
                <w:kern w:val="0"/>
                <w:sz w:val="24"/>
                <w:highlight w:val="none"/>
              </w:rPr>
              <w:t>见表2.1-6~表2.1-7。</w:t>
            </w:r>
            <w:bookmarkStart w:id="62" w:name="OLE_LINK69"/>
          </w:p>
          <w:p w14:paraId="3F55A75D">
            <w:pPr>
              <w:pStyle w:val="14"/>
              <w:tabs>
                <w:tab w:val="right" w:pos="8641"/>
              </w:tabs>
              <w:jc w:val="center"/>
              <w:rPr>
                <w:b/>
                <w:bCs/>
                <w:strike w:val="0"/>
                <w:dstrike w:val="0"/>
                <w:color w:val="auto"/>
                <w:sz w:val="24"/>
                <w:szCs w:val="24"/>
                <w:highlight w:val="none"/>
              </w:rPr>
            </w:pPr>
            <w:r>
              <w:rPr>
                <w:b/>
                <w:bCs/>
                <w:strike w:val="0"/>
                <w:dstrike w:val="0"/>
                <w:color w:val="auto"/>
                <w:sz w:val="24"/>
                <w:szCs w:val="24"/>
                <w:highlight w:val="none"/>
              </w:rPr>
              <w:t xml:space="preserve">表2.1-6 </w:t>
            </w:r>
            <w:bookmarkEnd w:id="62"/>
            <w:r>
              <w:rPr>
                <w:b/>
                <w:bCs/>
                <w:strike w:val="0"/>
                <w:dstrike w:val="0"/>
                <w:color w:val="auto"/>
                <w:sz w:val="24"/>
                <w:szCs w:val="24"/>
                <w:highlight w:val="none"/>
              </w:rPr>
              <w:t xml:space="preserve"> </w:t>
            </w:r>
            <w:bookmarkStart w:id="63" w:name="OLE_LINK73"/>
            <w:r>
              <w:rPr>
                <w:b/>
                <w:bCs/>
                <w:strike w:val="0"/>
                <w:dstrike w:val="0"/>
                <w:color w:val="auto"/>
                <w:sz w:val="24"/>
                <w:szCs w:val="24"/>
                <w:highlight w:val="none"/>
              </w:rPr>
              <w:t>项目</w:t>
            </w:r>
            <w:r>
              <w:rPr>
                <w:b/>
                <w:bCs/>
                <w:strike w:val="0"/>
                <w:dstrike w:val="0"/>
                <w:color w:val="auto"/>
                <w:sz w:val="24"/>
                <w:highlight w:val="none"/>
              </w:rPr>
              <w:t>主要原料理化性质</w:t>
            </w:r>
            <w:bookmarkEnd w:id="63"/>
            <w:r>
              <w:rPr>
                <w:b/>
                <w:bCs/>
                <w:strike w:val="0"/>
                <w:dstrike w:val="0"/>
                <w:color w:val="auto"/>
                <w:sz w:val="24"/>
                <w:szCs w:val="24"/>
                <w:highlight w:val="none"/>
              </w:rPr>
              <w:t>一览表</w:t>
            </w:r>
          </w:p>
          <w:tbl>
            <w:tblPr>
              <w:tblStyle w:val="23"/>
              <w:tblW w:w="7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100"/>
              <w:gridCol w:w="1075"/>
              <w:gridCol w:w="4718"/>
            </w:tblGrid>
            <w:tr w14:paraId="32B6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04" w:type="dxa"/>
                  <w:vAlign w:val="center"/>
                </w:tcPr>
                <w:p w14:paraId="026B0100">
                  <w:pPr>
                    <w:widowControl/>
                    <w:jc w:val="center"/>
                    <w:rPr>
                      <w:b/>
                      <w:bCs/>
                      <w:strike w:val="0"/>
                      <w:dstrike w:val="0"/>
                      <w:color w:val="auto"/>
                      <w:kern w:val="0"/>
                      <w:szCs w:val="21"/>
                      <w:highlight w:val="none"/>
                    </w:rPr>
                  </w:pPr>
                  <w:r>
                    <w:rPr>
                      <w:b/>
                      <w:bCs/>
                      <w:strike w:val="0"/>
                      <w:dstrike w:val="0"/>
                      <w:color w:val="auto"/>
                      <w:kern w:val="0"/>
                      <w:szCs w:val="21"/>
                      <w:highlight w:val="none"/>
                    </w:rPr>
                    <w:t>序号</w:t>
                  </w:r>
                </w:p>
              </w:tc>
              <w:tc>
                <w:tcPr>
                  <w:tcW w:w="1100" w:type="dxa"/>
                  <w:vAlign w:val="center"/>
                </w:tcPr>
                <w:p w14:paraId="09E075C2">
                  <w:pPr>
                    <w:widowControl/>
                    <w:jc w:val="center"/>
                    <w:rPr>
                      <w:b/>
                      <w:bCs/>
                      <w:strike w:val="0"/>
                      <w:dstrike w:val="0"/>
                      <w:color w:val="auto"/>
                      <w:kern w:val="0"/>
                      <w:szCs w:val="21"/>
                      <w:highlight w:val="none"/>
                    </w:rPr>
                  </w:pPr>
                  <w:r>
                    <w:rPr>
                      <w:b/>
                      <w:bCs/>
                      <w:strike w:val="0"/>
                      <w:dstrike w:val="0"/>
                      <w:color w:val="auto"/>
                      <w:kern w:val="0"/>
                      <w:szCs w:val="21"/>
                      <w:highlight w:val="none"/>
                    </w:rPr>
                    <w:t>名称</w:t>
                  </w:r>
                </w:p>
              </w:tc>
              <w:tc>
                <w:tcPr>
                  <w:tcW w:w="1075" w:type="dxa"/>
                  <w:vAlign w:val="center"/>
                </w:tcPr>
                <w:p w14:paraId="11E00103">
                  <w:pPr>
                    <w:widowControl/>
                    <w:jc w:val="center"/>
                    <w:rPr>
                      <w:b/>
                      <w:bCs/>
                      <w:strike w:val="0"/>
                      <w:dstrike w:val="0"/>
                      <w:color w:val="auto"/>
                      <w:kern w:val="0"/>
                      <w:szCs w:val="21"/>
                      <w:highlight w:val="none"/>
                    </w:rPr>
                  </w:pPr>
                  <w:r>
                    <w:rPr>
                      <w:b/>
                      <w:bCs/>
                      <w:strike w:val="0"/>
                      <w:dstrike w:val="0"/>
                      <w:color w:val="auto"/>
                      <w:kern w:val="0"/>
                      <w:szCs w:val="21"/>
                      <w:highlight w:val="none"/>
                    </w:rPr>
                    <w:t>主要成分</w:t>
                  </w:r>
                </w:p>
              </w:tc>
              <w:tc>
                <w:tcPr>
                  <w:tcW w:w="4718" w:type="dxa"/>
                  <w:vAlign w:val="center"/>
                </w:tcPr>
                <w:p w14:paraId="2E308C8E">
                  <w:pPr>
                    <w:widowControl/>
                    <w:jc w:val="center"/>
                    <w:rPr>
                      <w:b/>
                      <w:bCs/>
                      <w:strike w:val="0"/>
                      <w:dstrike w:val="0"/>
                      <w:color w:val="auto"/>
                      <w:kern w:val="0"/>
                      <w:szCs w:val="21"/>
                      <w:highlight w:val="none"/>
                    </w:rPr>
                  </w:pPr>
                  <w:r>
                    <w:rPr>
                      <w:b/>
                      <w:bCs/>
                      <w:strike w:val="0"/>
                      <w:dstrike w:val="0"/>
                      <w:color w:val="auto"/>
                      <w:kern w:val="0"/>
                      <w:szCs w:val="21"/>
                      <w:highlight w:val="none"/>
                    </w:rPr>
                    <w:t>理化性质</w:t>
                  </w:r>
                </w:p>
              </w:tc>
            </w:tr>
            <w:tr w14:paraId="1C1A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04" w:type="dxa"/>
                  <w:vAlign w:val="center"/>
                </w:tcPr>
                <w:p w14:paraId="5AA792D5">
                  <w:pPr>
                    <w:widowControl/>
                    <w:jc w:val="center"/>
                    <w:textAlignment w:val="center"/>
                    <w:rPr>
                      <w:strike w:val="0"/>
                      <w:dstrike w:val="0"/>
                      <w:color w:val="auto"/>
                      <w:szCs w:val="21"/>
                      <w:highlight w:val="none"/>
                    </w:rPr>
                  </w:pPr>
                  <w:r>
                    <w:rPr>
                      <w:strike w:val="0"/>
                      <w:dstrike w:val="0"/>
                      <w:color w:val="auto"/>
                      <w:szCs w:val="21"/>
                      <w:highlight w:val="none"/>
                    </w:rPr>
                    <w:t>1</w:t>
                  </w:r>
                </w:p>
              </w:tc>
              <w:tc>
                <w:tcPr>
                  <w:tcW w:w="1100" w:type="dxa"/>
                  <w:vAlign w:val="center"/>
                </w:tcPr>
                <w:p w14:paraId="7B2EED2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汽油</w:t>
                  </w:r>
                </w:p>
              </w:tc>
              <w:tc>
                <w:tcPr>
                  <w:tcW w:w="1075" w:type="dxa"/>
                  <w:vAlign w:val="center"/>
                </w:tcPr>
                <w:p w14:paraId="4A033460">
                  <w:pPr>
                    <w:jc w:val="left"/>
                    <w:rPr>
                      <w:strike w:val="0"/>
                      <w:dstrike w:val="0"/>
                      <w:color w:val="auto"/>
                      <w:kern w:val="0"/>
                      <w:szCs w:val="21"/>
                      <w:highlight w:val="none"/>
                    </w:rPr>
                  </w:pPr>
                  <w:r>
                    <w:rPr>
                      <w:rFonts w:eastAsia="TimesNewRomanPSMT"/>
                      <w:strike w:val="0"/>
                      <w:dstrike w:val="0"/>
                      <w:color w:val="auto"/>
                      <w:highlight w:val="none"/>
                    </w:rPr>
                    <w:t>C4~C12</w:t>
                  </w:r>
                  <w:r>
                    <w:rPr>
                      <w:strike w:val="0"/>
                      <w:dstrike w:val="0"/>
                      <w:color w:val="auto"/>
                      <w:highlight w:val="none"/>
                    </w:rPr>
                    <w:t>脂肪烃和环烃类</w:t>
                  </w:r>
                </w:p>
              </w:tc>
              <w:tc>
                <w:tcPr>
                  <w:tcW w:w="4718" w:type="dxa"/>
                  <w:vAlign w:val="center"/>
                </w:tcPr>
                <w:p w14:paraId="7F22DE3A">
                  <w:pPr>
                    <w:jc w:val="left"/>
                    <w:rPr>
                      <w:strike w:val="0"/>
                      <w:dstrike w:val="0"/>
                      <w:color w:val="auto"/>
                      <w:kern w:val="0"/>
                      <w:szCs w:val="21"/>
                      <w:highlight w:val="none"/>
                    </w:rPr>
                  </w:pPr>
                  <w:r>
                    <w:rPr>
                      <w:strike w:val="0"/>
                      <w:dstrike w:val="0"/>
                      <w:color w:val="auto"/>
                      <w:highlight w:val="none"/>
                    </w:rPr>
                    <w:t>无色或淡黄色液体，易挥发，具有特殊臭味，沸点：</w:t>
                  </w:r>
                  <w:r>
                    <w:rPr>
                      <w:rFonts w:eastAsia="TimesNewRomanPSMT"/>
                      <w:strike w:val="0"/>
                      <w:dstrike w:val="0"/>
                      <w:color w:val="auto"/>
                      <w:highlight w:val="none"/>
                    </w:rPr>
                    <w:t>40-200</w:t>
                  </w:r>
                  <w:r>
                    <w:rPr>
                      <w:strike w:val="0"/>
                      <w:dstrike w:val="0"/>
                      <w:color w:val="auto"/>
                      <w:highlight w:val="none"/>
                    </w:rPr>
                    <w:t>℃，相对密度</w:t>
                  </w:r>
                  <w:r>
                    <w:rPr>
                      <w:rFonts w:eastAsia="TimesNewRomanPSMT"/>
                      <w:strike w:val="0"/>
                      <w:dstrike w:val="0"/>
                      <w:color w:val="auto"/>
                      <w:highlight w:val="none"/>
                    </w:rPr>
                    <w:t>0.7-079g/c</w:t>
                  </w:r>
                  <w:bookmarkStart w:id="64" w:name="OLE_LINK72"/>
                  <w:r>
                    <w:rPr>
                      <w:strike w:val="0"/>
                      <w:dstrike w:val="0"/>
                      <w:color w:val="auto"/>
                      <w:szCs w:val="21"/>
                      <w:highlight w:val="none"/>
                    </w:rPr>
                    <w:t>m³</w:t>
                  </w:r>
                  <w:bookmarkEnd w:id="64"/>
                  <w:r>
                    <w:rPr>
                      <w:strike w:val="0"/>
                      <w:dstrike w:val="0"/>
                      <w:color w:val="auto"/>
                      <w:highlight w:val="none"/>
                    </w:rPr>
                    <w:t>，极度易燃，燃烧热</w:t>
                  </w:r>
                  <w:r>
                    <w:rPr>
                      <w:rFonts w:eastAsia="TimesNewRomanPSMT"/>
                      <w:strike w:val="0"/>
                      <w:dstrike w:val="0"/>
                      <w:color w:val="auto"/>
                      <w:highlight w:val="none"/>
                    </w:rPr>
                    <w:t>44458KJ/kg</w:t>
                  </w:r>
                  <w:r>
                    <w:rPr>
                      <w:strike w:val="0"/>
                      <w:dstrike w:val="0"/>
                      <w:color w:val="auto"/>
                      <w:highlight w:val="none"/>
                    </w:rPr>
                    <w:t>，具强刺激性，不溶于水、易溶于苯、二硫化碳和醇，爆炸极限：</w:t>
                  </w:r>
                  <w:r>
                    <w:rPr>
                      <w:rFonts w:eastAsia="TimesNewRomanPSMT"/>
                      <w:strike w:val="0"/>
                      <w:dstrike w:val="0"/>
                      <w:color w:val="auto"/>
                      <w:highlight w:val="none"/>
                    </w:rPr>
                    <w:t>1.3-</w:t>
                  </w:r>
                  <w:r>
                    <w:rPr>
                      <w:rFonts w:hint="eastAsia" w:eastAsia="TimesNewRomanPSMT"/>
                      <w:strike w:val="0"/>
                      <w:dstrike w:val="0"/>
                      <w:color w:val="auto"/>
                      <w:highlight w:val="none"/>
                    </w:rPr>
                    <w:t>6.0</w:t>
                  </w:r>
                  <w:r>
                    <w:rPr>
                      <w:rFonts w:eastAsia="TimesNewRomanPSMT"/>
                      <w:strike w:val="0"/>
                      <w:dstrike w:val="0"/>
                      <w:color w:val="auto"/>
                      <w:highlight w:val="none"/>
                    </w:rPr>
                    <w:t>%</w:t>
                  </w:r>
                  <w:r>
                    <w:rPr>
                      <w:strike w:val="0"/>
                      <w:dstrike w:val="0"/>
                      <w:color w:val="auto"/>
                      <w:highlight w:val="none"/>
                    </w:rPr>
                    <w:t>。汽油为麻醉性毒物，主要引起中枢神经系统功能障碍，低浓度引起条件反射的改变，高浓度引起呼吸中枢麻痹。</w:t>
                  </w:r>
                </w:p>
              </w:tc>
            </w:tr>
            <w:tr w14:paraId="4B53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04" w:type="dxa"/>
                  <w:vAlign w:val="center"/>
                </w:tcPr>
                <w:p w14:paraId="700F5B3B">
                  <w:pPr>
                    <w:widowControl/>
                    <w:jc w:val="center"/>
                    <w:textAlignment w:val="center"/>
                    <w:rPr>
                      <w:strike w:val="0"/>
                      <w:dstrike w:val="0"/>
                      <w:color w:val="auto"/>
                      <w:szCs w:val="21"/>
                      <w:highlight w:val="none"/>
                    </w:rPr>
                  </w:pPr>
                  <w:r>
                    <w:rPr>
                      <w:strike w:val="0"/>
                      <w:dstrike w:val="0"/>
                      <w:color w:val="auto"/>
                      <w:szCs w:val="21"/>
                      <w:highlight w:val="none"/>
                    </w:rPr>
                    <w:t>2</w:t>
                  </w:r>
                </w:p>
              </w:tc>
              <w:tc>
                <w:tcPr>
                  <w:tcW w:w="1100" w:type="dxa"/>
                  <w:vAlign w:val="center"/>
                </w:tcPr>
                <w:p w14:paraId="045BC63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柴油</w:t>
                  </w:r>
                </w:p>
              </w:tc>
              <w:tc>
                <w:tcPr>
                  <w:tcW w:w="1075" w:type="dxa"/>
                  <w:vAlign w:val="center"/>
                </w:tcPr>
                <w:p w14:paraId="72BCD18B">
                  <w:pPr>
                    <w:widowControl/>
                    <w:jc w:val="center"/>
                    <w:rPr>
                      <w:strike w:val="0"/>
                      <w:dstrike w:val="0"/>
                      <w:color w:val="auto"/>
                      <w:kern w:val="0"/>
                      <w:szCs w:val="21"/>
                      <w:highlight w:val="none"/>
                    </w:rPr>
                  </w:pPr>
                  <w:r>
                    <w:rPr>
                      <w:strike w:val="0"/>
                      <w:dstrike w:val="0"/>
                      <w:color w:val="auto"/>
                      <w:highlight w:val="none"/>
                    </w:rPr>
                    <w:t>各族烃类和非烃类</w:t>
                  </w:r>
                </w:p>
              </w:tc>
              <w:tc>
                <w:tcPr>
                  <w:tcW w:w="4718" w:type="dxa"/>
                  <w:vAlign w:val="center"/>
                </w:tcPr>
                <w:p w14:paraId="27D2B66C">
                  <w:pPr>
                    <w:jc w:val="left"/>
                    <w:rPr>
                      <w:strike w:val="0"/>
                      <w:dstrike w:val="0"/>
                      <w:color w:val="auto"/>
                      <w:kern w:val="0"/>
                      <w:szCs w:val="21"/>
                      <w:highlight w:val="none"/>
                    </w:rPr>
                  </w:pPr>
                  <w:r>
                    <w:rPr>
                      <w:strike w:val="0"/>
                      <w:dstrike w:val="0"/>
                      <w:color w:val="auto"/>
                      <w:highlight w:val="none"/>
                    </w:rPr>
                    <w:t>棕色透明液体，易挥发，沸点：</w:t>
                  </w:r>
                  <w:r>
                    <w:rPr>
                      <w:rFonts w:eastAsia="TimesNewRomanPSMT"/>
                      <w:strike w:val="0"/>
                      <w:dstrike w:val="0"/>
                      <w:color w:val="auto"/>
                      <w:highlight w:val="none"/>
                    </w:rPr>
                    <w:t>180-360</w:t>
                  </w:r>
                  <w:r>
                    <w:rPr>
                      <w:strike w:val="0"/>
                      <w:dstrike w:val="0"/>
                      <w:color w:val="auto"/>
                      <w:highlight w:val="none"/>
                    </w:rPr>
                    <w:t>℃，相对密度</w:t>
                  </w:r>
                  <w:r>
                    <w:rPr>
                      <w:rFonts w:eastAsia="TimesNewRomanPSMT"/>
                      <w:strike w:val="0"/>
                      <w:dstrike w:val="0"/>
                      <w:color w:val="auto"/>
                      <w:highlight w:val="none"/>
                    </w:rPr>
                    <w:t>0.70-0.85g/c</w:t>
                  </w:r>
                  <w:r>
                    <w:rPr>
                      <w:strike w:val="0"/>
                      <w:dstrike w:val="0"/>
                      <w:color w:val="auto"/>
                      <w:szCs w:val="21"/>
                      <w:highlight w:val="none"/>
                    </w:rPr>
                    <w:t>m³</w:t>
                  </w:r>
                  <w:r>
                    <w:rPr>
                      <w:strike w:val="0"/>
                      <w:dstrike w:val="0"/>
                      <w:color w:val="auto"/>
                      <w:highlight w:val="none"/>
                    </w:rPr>
                    <w:t>，易燃，燃烧热</w:t>
                  </w:r>
                  <w:r>
                    <w:rPr>
                      <w:rFonts w:eastAsia="TimesNewRomanPSMT"/>
                      <w:strike w:val="0"/>
                      <w:dstrike w:val="0"/>
                      <w:color w:val="auto"/>
                      <w:highlight w:val="none"/>
                    </w:rPr>
                    <w:t>43987KJ/kg</w:t>
                  </w:r>
                  <w:r>
                    <w:rPr>
                      <w:strike w:val="0"/>
                      <w:dstrike w:val="0"/>
                      <w:color w:val="auto"/>
                      <w:highlight w:val="none"/>
                    </w:rPr>
                    <w:t>，具刺激性，不溶于水，溶于醇等溶剂，爆炸极限：</w:t>
                  </w:r>
                  <w:r>
                    <w:rPr>
                      <w:rFonts w:eastAsia="TimesNewRomanPSMT"/>
                      <w:strike w:val="0"/>
                      <w:dstrike w:val="0"/>
                      <w:color w:val="auto"/>
                      <w:highlight w:val="none"/>
                    </w:rPr>
                    <w:t>0.6-6.5%</w:t>
                  </w:r>
                  <w:r>
                    <w:rPr>
                      <w:strike w:val="0"/>
                      <w:dstrike w:val="0"/>
                      <w:color w:val="auto"/>
                      <w:highlight w:val="none"/>
                    </w:rPr>
                    <w:t>。皮肤接触为主要吸收途径，可引起接触性皮炎，油性痤疮。吸入其雾滴或液体可引起吸入性肺炎，能经胎盘进入胎儿血中。柴油废气可引起眼、鼻刺激症状，头晕及头痛。</w:t>
                  </w:r>
                </w:p>
              </w:tc>
            </w:tr>
            <w:tr w14:paraId="2C96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04" w:type="dxa"/>
                  <w:vAlign w:val="center"/>
                </w:tcPr>
                <w:p w14:paraId="4AF0066C">
                  <w:pPr>
                    <w:widowControl/>
                    <w:jc w:val="center"/>
                    <w:textAlignment w:val="center"/>
                    <w:rPr>
                      <w:strike w:val="0"/>
                      <w:dstrike w:val="0"/>
                      <w:color w:val="auto"/>
                      <w:szCs w:val="21"/>
                      <w:highlight w:val="none"/>
                    </w:rPr>
                  </w:pPr>
                  <w:r>
                    <w:rPr>
                      <w:strike w:val="0"/>
                      <w:dstrike w:val="0"/>
                      <w:color w:val="auto"/>
                      <w:szCs w:val="21"/>
                      <w:highlight w:val="none"/>
                    </w:rPr>
                    <w:t>3</w:t>
                  </w:r>
                </w:p>
              </w:tc>
              <w:tc>
                <w:tcPr>
                  <w:tcW w:w="1100" w:type="dxa"/>
                  <w:vAlign w:val="center"/>
                </w:tcPr>
                <w:p w14:paraId="4001C214">
                  <w:pPr>
                    <w:jc w:val="center"/>
                    <w:rPr>
                      <w:strike w:val="0"/>
                      <w:dstrike w:val="0"/>
                      <w:color w:val="auto"/>
                      <w:szCs w:val="21"/>
                      <w:highlight w:val="none"/>
                    </w:rPr>
                  </w:pPr>
                  <w:bookmarkStart w:id="65" w:name="OLE_LINK74"/>
                  <w:r>
                    <w:rPr>
                      <w:strike w:val="0"/>
                      <w:dstrike w:val="0"/>
                      <w:color w:val="auto"/>
                      <w:szCs w:val="21"/>
                      <w:highlight w:val="none"/>
                    </w:rPr>
                    <w:t>LNG</w:t>
                  </w:r>
                  <w:bookmarkEnd w:id="65"/>
                </w:p>
              </w:tc>
              <w:tc>
                <w:tcPr>
                  <w:tcW w:w="1075" w:type="dxa"/>
                  <w:vAlign w:val="center"/>
                </w:tcPr>
                <w:p w14:paraId="46316B91">
                  <w:pPr>
                    <w:widowControl/>
                    <w:jc w:val="center"/>
                    <w:rPr>
                      <w:strike w:val="0"/>
                      <w:dstrike w:val="0"/>
                      <w:color w:val="auto"/>
                      <w:szCs w:val="21"/>
                      <w:highlight w:val="none"/>
                    </w:rPr>
                  </w:pPr>
                  <w:r>
                    <w:rPr>
                      <w:strike w:val="0"/>
                      <w:dstrike w:val="0"/>
                      <w:color w:val="auto"/>
                      <w:szCs w:val="21"/>
                      <w:highlight w:val="none"/>
                    </w:rPr>
                    <w:t>甲烷</w:t>
                  </w:r>
                  <w:r>
                    <w:rPr>
                      <w:rFonts w:hint="eastAsia"/>
                      <w:strike w:val="0"/>
                      <w:dstrike w:val="0"/>
                      <w:color w:val="auto"/>
                      <w:szCs w:val="21"/>
                      <w:highlight w:val="none"/>
                    </w:rPr>
                    <w:t>、非甲烷总烃</w:t>
                  </w:r>
                </w:p>
              </w:tc>
              <w:tc>
                <w:tcPr>
                  <w:tcW w:w="4718" w:type="dxa"/>
                  <w:vAlign w:val="center"/>
                </w:tcPr>
                <w:p w14:paraId="508A4788">
                  <w:pPr>
                    <w:widowControl/>
                    <w:rPr>
                      <w:strike w:val="0"/>
                      <w:dstrike w:val="0"/>
                      <w:color w:val="auto"/>
                      <w:szCs w:val="21"/>
                      <w:highlight w:val="none"/>
                    </w:rPr>
                  </w:pPr>
                  <w:r>
                    <w:rPr>
                      <w:strike w:val="0"/>
                      <w:dstrike w:val="0"/>
                      <w:color w:val="auto"/>
                      <w:szCs w:val="21"/>
                      <w:highlight w:val="none"/>
                    </w:rPr>
                    <w:t>甲烷占95.97%，NMHC占3.065%</w:t>
                  </w:r>
                  <w:r>
                    <w:rPr>
                      <w:rFonts w:hint="eastAsia"/>
                      <w:strike w:val="0"/>
                      <w:dstrike w:val="0"/>
                      <w:color w:val="auto"/>
                      <w:szCs w:val="21"/>
                      <w:highlight w:val="none"/>
                    </w:rPr>
                    <w:t>。</w:t>
                  </w:r>
                  <w:r>
                    <w:rPr>
                      <w:strike w:val="0"/>
                      <w:dstrike w:val="0"/>
                      <w:color w:val="auto"/>
                      <w:szCs w:val="21"/>
                      <w:highlight w:val="none"/>
                      <w:shd w:val="clear" w:color="auto" w:fill="FFFFFF"/>
                    </w:rPr>
                    <w:t>在常压下，LNG的密度约为430-470kg/m³（因组分不同而略有差异），燃点</w:t>
                  </w:r>
                  <w:r>
                    <w:rPr>
                      <w:strike w:val="0"/>
                      <w:dstrike w:val="0"/>
                      <w:color w:val="auto"/>
                      <w:szCs w:val="21"/>
                      <w:highlight w:val="none"/>
                    </w:rPr>
                    <w:t>482~632</w:t>
                  </w:r>
                  <w:r>
                    <w:rPr>
                      <w:strike w:val="0"/>
                      <w:dstrike w:val="0"/>
                      <w:color w:val="auto"/>
                      <w:szCs w:val="21"/>
                      <w:highlight w:val="none"/>
                      <w:shd w:val="clear" w:color="auto" w:fill="FFFFFF"/>
                    </w:rPr>
                    <w:t>℃，热值为52MMBtu（1MMBtu=2.52×108cal），在空气中的</w:t>
                  </w:r>
                  <w:r>
                    <w:rPr>
                      <w:strike w:val="0"/>
                      <w:dstrike w:val="0"/>
                      <w:color w:val="auto"/>
                      <w:highlight w:val="none"/>
                    </w:rPr>
                    <w:fldChar w:fldCharType="begin"/>
                  </w:r>
                  <w:r>
                    <w:rPr>
                      <w:strike w:val="0"/>
                      <w:dstrike w:val="0"/>
                      <w:color w:val="auto"/>
                      <w:highlight w:val="none"/>
                    </w:rPr>
                    <w:instrText xml:space="preserve"> HYPERLINK "https://baike.baidu.com/item/%E7%88%86%E7%82%B8%E6%9E%81%E9%99%90/0?fromModule=lemma_inlink" \t "https://baike.baidu.com/item/%E6%B6%B2%E5%8C%96%E5%A4%A9%E7%84%B6%E6%B0%94/_blank" </w:instrText>
                  </w:r>
                  <w:r>
                    <w:rPr>
                      <w:strike w:val="0"/>
                      <w:dstrike w:val="0"/>
                      <w:color w:val="auto"/>
                      <w:highlight w:val="none"/>
                    </w:rPr>
                    <w:fldChar w:fldCharType="separate"/>
                  </w:r>
                  <w:r>
                    <w:rPr>
                      <w:rStyle w:val="28"/>
                      <w:strike w:val="0"/>
                      <w:dstrike w:val="0"/>
                      <w:color w:val="auto"/>
                      <w:szCs w:val="21"/>
                      <w:highlight w:val="none"/>
                      <w:u w:val="none"/>
                      <w:shd w:val="clear" w:color="auto" w:fill="FFFFFF"/>
                    </w:rPr>
                    <w:t>爆炸极限</w:t>
                  </w:r>
                  <w:r>
                    <w:rPr>
                      <w:rStyle w:val="28"/>
                      <w:strike w:val="0"/>
                      <w:dstrike w:val="0"/>
                      <w:color w:val="auto"/>
                      <w:szCs w:val="21"/>
                      <w:highlight w:val="none"/>
                      <w:u w:val="none"/>
                      <w:shd w:val="clear" w:color="auto" w:fill="FFFFFF"/>
                    </w:rPr>
                    <w:fldChar w:fldCharType="end"/>
                  </w:r>
                  <w:r>
                    <w:rPr>
                      <w:strike w:val="0"/>
                      <w:dstrike w:val="0"/>
                      <w:color w:val="auto"/>
                      <w:szCs w:val="21"/>
                      <w:highlight w:val="none"/>
                      <w:shd w:val="clear" w:color="auto" w:fill="FFFFFF"/>
                    </w:rPr>
                    <w:t>（体积）为5%-1</w:t>
                  </w:r>
                  <w:r>
                    <w:rPr>
                      <w:rFonts w:hint="eastAsia"/>
                      <w:strike w:val="0"/>
                      <w:dstrike w:val="0"/>
                      <w:color w:val="auto"/>
                      <w:szCs w:val="21"/>
                      <w:highlight w:val="none"/>
                      <w:shd w:val="clear" w:color="auto" w:fill="FFFFFF"/>
                    </w:rPr>
                    <w:t>4</w:t>
                  </w:r>
                  <w:r>
                    <w:rPr>
                      <w:strike w:val="0"/>
                      <w:dstrike w:val="0"/>
                      <w:color w:val="auto"/>
                      <w:szCs w:val="21"/>
                      <w:highlight w:val="none"/>
                      <w:shd w:val="clear" w:color="auto" w:fill="FFFFFF"/>
                    </w:rPr>
                    <w:t>%。</w:t>
                  </w:r>
                </w:p>
              </w:tc>
            </w:tr>
          </w:tbl>
          <w:p w14:paraId="15E7DFDE">
            <w:pPr>
              <w:adjustRightInd w:val="0"/>
              <w:snapToGrid w:val="0"/>
              <w:jc w:val="center"/>
              <w:rPr>
                <w:b/>
                <w:bCs/>
                <w:strike w:val="0"/>
                <w:dstrike w:val="0"/>
                <w:color w:val="auto"/>
                <w:sz w:val="24"/>
                <w:highlight w:val="none"/>
              </w:rPr>
            </w:pPr>
          </w:p>
          <w:p w14:paraId="6F4E5264">
            <w:pPr>
              <w:adjustRightInd w:val="0"/>
              <w:snapToGrid w:val="0"/>
              <w:jc w:val="center"/>
              <w:rPr>
                <w:b/>
                <w:bCs/>
                <w:strike w:val="0"/>
                <w:dstrike w:val="0"/>
                <w:color w:val="auto"/>
                <w:sz w:val="24"/>
                <w:highlight w:val="none"/>
              </w:rPr>
            </w:pPr>
            <w:r>
              <w:rPr>
                <w:b/>
                <w:bCs/>
                <w:strike w:val="0"/>
                <w:dstrike w:val="0"/>
                <w:color w:val="auto"/>
                <w:sz w:val="24"/>
                <w:highlight w:val="none"/>
              </w:rPr>
              <w:t>表2.1-7  项目</w:t>
            </w:r>
            <w:r>
              <w:rPr>
                <w:b/>
                <w:bCs/>
                <w:strike w:val="0"/>
                <w:dstrike w:val="0"/>
                <w:color w:val="auto"/>
                <w:kern w:val="0"/>
                <w:sz w:val="24"/>
                <w:highlight w:val="none"/>
              </w:rPr>
              <w:t>主要原料危险特性</w:t>
            </w:r>
            <w:r>
              <w:rPr>
                <w:b/>
                <w:bCs/>
                <w:strike w:val="0"/>
                <w:dstrike w:val="0"/>
                <w:color w:val="auto"/>
                <w:sz w:val="24"/>
                <w:highlight w:val="none"/>
              </w:rPr>
              <w:t>一览表</w:t>
            </w:r>
          </w:p>
          <w:tbl>
            <w:tblPr>
              <w:tblStyle w:val="23"/>
              <w:tblW w:w="7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980"/>
              <w:gridCol w:w="1054"/>
              <w:gridCol w:w="921"/>
              <w:gridCol w:w="1187"/>
              <w:gridCol w:w="1350"/>
              <w:gridCol w:w="1138"/>
              <w:gridCol w:w="679"/>
            </w:tblGrid>
            <w:tr w14:paraId="5CBE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dxa"/>
                  <w:vAlign w:val="center"/>
                </w:tcPr>
                <w:p w14:paraId="1CC509EF">
                  <w:pPr>
                    <w:widowControl/>
                    <w:jc w:val="center"/>
                    <w:rPr>
                      <w:b/>
                      <w:bCs/>
                      <w:strike w:val="0"/>
                      <w:dstrike w:val="0"/>
                      <w:color w:val="auto"/>
                      <w:kern w:val="0"/>
                      <w:szCs w:val="21"/>
                      <w:highlight w:val="none"/>
                    </w:rPr>
                  </w:pPr>
                  <w:r>
                    <w:rPr>
                      <w:b/>
                      <w:bCs/>
                      <w:strike w:val="0"/>
                      <w:dstrike w:val="0"/>
                      <w:color w:val="auto"/>
                      <w:kern w:val="0"/>
                      <w:szCs w:val="21"/>
                      <w:highlight w:val="none"/>
                    </w:rPr>
                    <w:t>序号</w:t>
                  </w:r>
                </w:p>
              </w:tc>
              <w:tc>
                <w:tcPr>
                  <w:tcW w:w="980" w:type="dxa"/>
                  <w:vAlign w:val="center"/>
                </w:tcPr>
                <w:p w14:paraId="1A50ECA2">
                  <w:pPr>
                    <w:widowControl/>
                    <w:jc w:val="center"/>
                    <w:rPr>
                      <w:b/>
                      <w:bCs/>
                      <w:strike w:val="0"/>
                      <w:dstrike w:val="0"/>
                      <w:color w:val="auto"/>
                      <w:kern w:val="0"/>
                      <w:szCs w:val="21"/>
                      <w:highlight w:val="none"/>
                    </w:rPr>
                  </w:pPr>
                  <w:r>
                    <w:rPr>
                      <w:b/>
                      <w:bCs/>
                      <w:strike w:val="0"/>
                      <w:dstrike w:val="0"/>
                      <w:color w:val="auto"/>
                      <w:kern w:val="0"/>
                      <w:szCs w:val="21"/>
                      <w:highlight w:val="none"/>
                    </w:rPr>
                    <w:t>名称</w:t>
                  </w:r>
                </w:p>
              </w:tc>
              <w:tc>
                <w:tcPr>
                  <w:tcW w:w="1054" w:type="dxa"/>
                  <w:vAlign w:val="center"/>
                </w:tcPr>
                <w:p w14:paraId="61BC0A93">
                  <w:pPr>
                    <w:widowControl/>
                    <w:jc w:val="center"/>
                    <w:rPr>
                      <w:b/>
                      <w:bCs/>
                      <w:strike w:val="0"/>
                      <w:dstrike w:val="0"/>
                      <w:color w:val="auto"/>
                      <w:kern w:val="0"/>
                      <w:szCs w:val="21"/>
                      <w:highlight w:val="none"/>
                    </w:rPr>
                  </w:pPr>
                  <w:r>
                    <w:rPr>
                      <w:b/>
                      <w:bCs/>
                      <w:strike w:val="0"/>
                      <w:dstrike w:val="0"/>
                      <w:color w:val="auto"/>
                      <w:szCs w:val="21"/>
                      <w:highlight w:val="none"/>
                    </w:rPr>
                    <w:t>燃点（℃）</w:t>
                  </w:r>
                </w:p>
              </w:tc>
              <w:tc>
                <w:tcPr>
                  <w:tcW w:w="921" w:type="dxa"/>
                  <w:vAlign w:val="center"/>
                </w:tcPr>
                <w:p w14:paraId="45701E04">
                  <w:pPr>
                    <w:widowControl/>
                    <w:jc w:val="center"/>
                    <w:rPr>
                      <w:b/>
                      <w:bCs/>
                      <w:strike w:val="0"/>
                      <w:dstrike w:val="0"/>
                      <w:color w:val="auto"/>
                      <w:kern w:val="0"/>
                      <w:szCs w:val="21"/>
                      <w:highlight w:val="none"/>
                    </w:rPr>
                  </w:pPr>
                  <w:r>
                    <w:rPr>
                      <w:b/>
                      <w:bCs/>
                      <w:strike w:val="0"/>
                      <w:dstrike w:val="0"/>
                      <w:color w:val="auto"/>
                      <w:szCs w:val="21"/>
                      <w:highlight w:val="none"/>
                    </w:rPr>
                    <w:t>闪点（℃）</w:t>
                  </w:r>
                </w:p>
              </w:tc>
              <w:tc>
                <w:tcPr>
                  <w:tcW w:w="1187" w:type="dxa"/>
                  <w:vAlign w:val="center"/>
                </w:tcPr>
                <w:p w14:paraId="0A91AAD4">
                  <w:pPr>
                    <w:jc w:val="center"/>
                    <w:rPr>
                      <w:b/>
                      <w:bCs/>
                      <w:strike w:val="0"/>
                      <w:dstrike w:val="0"/>
                      <w:color w:val="auto"/>
                      <w:kern w:val="0"/>
                      <w:szCs w:val="21"/>
                      <w:highlight w:val="none"/>
                    </w:rPr>
                  </w:pPr>
                  <w:r>
                    <w:rPr>
                      <w:b/>
                      <w:bCs/>
                      <w:strike w:val="0"/>
                      <w:dstrike w:val="0"/>
                      <w:color w:val="auto"/>
                      <w:szCs w:val="21"/>
                      <w:highlight w:val="none"/>
                    </w:rPr>
                    <w:t>空气中爆炸极限（%）</w:t>
                  </w:r>
                </w:p>
              </w:tc>
              <w:tc>
                <w:tcPr>
                  <w:tcW w:w="1350" w:type="dxa"/>
                  <w:vAlign w:val="center"/>
                </w:tcPr>
                <w:p w14:paraId="51801B30">
                  <w:pPr>
                    <w:jc w:val="center"/>
                    <w:rPr>
                      <w:b/>
                      <w:bCs/>
                      <w:strike w:val="0"/>
                      <w:dstrike w:val="0"/>
                      <w:color w:val="auto"/>
                      <w:kern w:val="0"/>
                      <w:szCs w:val="21"/>
                      <w:highlight w:val="none"/>
                    </w:rPr>
                  </w:pPr>
                  <w:r>
                    <w:rPr>
                      <w:b/>
                      <w:bCs/>
                      <w:strike w:val="0"/>
                      <w:dstrike w:val="0"/>
                      <w:color w:val="auto"/>
                      <w:szCs w:val="21"/>
                      <w:highlight w:val="none"/>
                    </w:rPr>
                    <w:t>常温下饱和蒸气压（MPa）</w:t>
                  </w:r>
                </w:p>
              </w:tc>
              <w:tc>
                <w:tcPr>
                  <w:tcW w:w="1138" w:type="dxa"/>
                  <w:vAlign w:val="center"/>
                </w:tcPr>
                <w:p w14:paraId="00C1999D">
                  <w:pPr>
                    <w:jc w:val="center"/>
                    <w:rPr>
                      <w:b/>
                      <w:bCs/>
                      <w:strike w:val="0"/>
                      <w:dstrike w:val="0"/>
                      <w:color w:val="auto"/>
                      <w:szCs w:val="21"/>
                      <w:highlight w:val="none"/>
                    </w:rPr>
                  </w:pPr>
                  <w:r>
                    <w:rPr>
                      <w:b/>
                      <w:bCs/>
                      <w:strike w:val="0"/>
                      <w:dstrike w:val="0"/>
                      <w:color w:val="auto"/>
                      <w:szCs w:val="21"/>
                      <w:highlight w:val="none"/>
                    </w:rPr>
                    <w:t>燃烧热</w:t>
                  </w:r>
                </w:p>
                <w:p w14:paraId="3E6F4C5B">
                  <w:pPr>
                    <w:widowControl/>
                    <w:jc w:val="center"/>
                    <w:rPr>
                      <w:b/>
                      <w:bCs/>
                      <w:strike w:val="0"/>
                      <w:dstrike w:val="0"/>
                      <w:color w:val="auto"/>
                      <w:kern w:val="0"/>
                      <w:szCs w:val="21"/>
                      <w:highlight w:val="none"/>
                    </w:rPr>
                  </w:pPr>
                  <w:r>
                    <w:rPr>
                      <w:b/>
                      <w:bCs/>
                      <w:strike w:val="0"/>
                      <w:dstrike w:val="0"/>
                      <w:color w:val="auto"/>
                      <w:szCs w:val="21"/>
                      <w:highlight w:val="none"/>
                    </w:rPr>
                    <w:t>（KJ/kg）</w:t>
                  </w:r>
                </w:p>
              </w:tc>
              <w:tc>
                <w:tcPr>
                  <w:tcW w:w="679" w:type="dxa"/>
                  <w:vAlign w:val="center"/>
                </w:tcPr>
                <w:p w14:paraId="1A952890">
                  <w:pPr>
                    <w:jc w:val="center"/>
                    <w:rPr>
                      <w:b/>
                      <w:bCs/>
                      <w:strike w:val="0"/>
                      <w:dstrike w:val="0"/>
                      <w:color w:val="auto"/>
                      <w:szCs w:val="21"/>
                      <w:highlight w:val="none"/>
                    </w:rPr>
                  </w:pPr>
                  <w:r>
                    <w:rPr>
                      <w:b/>
                      <w:bCs/>
                      <w:strike w:val="0"/>
                      <w:dstrike w:val="0"/>
                      <w:color w:val="auto"/>
                      <w:szCs w:val="21"/>
                      <w:highlight w:val="none"/>
                    </w:rPr>
                    <w:t>火险</w:t>
                  </w:r>
                </w:p>
                <w:p w14:paraId="57E55142">
                  <w:pPr>
                    <w:widowControl/>
                    <w:jc w:val="center"/>
                    <w:rPr>
                      <w:b/>
                      <w:bCs/>
                      <w:strike w:val="0"/>
                      <w:dstrike w:val="0"/>
                      <w:color w:val="auto"/>
                      <w:kern w:val="0"/>
                      <w:szCs w:val="21"/>
                      <w:highlight w:val="none"/>
                    </w:rPr>
                  </w:pPr>
                  <w:r>
                    <w:rPr>
                      <w:b/>
                      <w:bCs/>
                      <w:strike w:val="0"/>
                      <w:dstrike w:val="0"/>
                      <w:color w:val="auto"/>
                      <w:szCs w:val="21"/>
                      <w:highlight w:val="none"/>
                    </w:rPr>
                    <w:t>类型</w:t>
                  </w:r>
                </w:p>
              </w:tc>
            </w:tr>
            <w:tr w14:paraId="16EC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dxa"/>
                  <w:vAlign w:val="center"/>
                </w:tcPr>
                <w:p w14:paraId="725B65D0">
                  <w:pPr>
                    <w:widowControl/>
                    <w:jc w:val="center"/>
                    <w:textAlignment w:val="center"/>
                    <w:rPr>
                      <w:strike w:val="0"/>
                      <w:dstrike w:val="0"/>
                      <w:color w:val="auto"/>
                      <w:szCs w:val="21"/>
                      <w:highlight w:val="none"/>
                    </w:rPr>
                  </w:pPr>
                  <w:r>
                    <w:rPr>
                      <w:strike w:val="0"/>
                      <w:dstrike w:val="0"/>
                      <w:color w:val="auto"/>
                      <w:szCs w:val="21"/>
                      <w:highlight w:val="none"/>
                    </w:rPr>
                    <w:t>1</w:t>
                  </w:r>
                </w:p>
              </w:tc>
              <w:tc>
                <w:tcPr>
                  <w:tcW w:w="980" w:type="dxa"/>
                  <w:vAlign w:val="center"/>
                </w:tcPr>
                <w:p w14:paraId="4F085E9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汽油</w:t>
                  </w:r>
                </w:p>
              </w:tc>
              <w:tc>
                <w:tcPr>
                  <w:tcW w:w="1054" w:type="dxa"/>
                  <w:vAlign w:val="center"/>
                </w:tcPr>
                <w:p w14:paraId="53A0426E">
                  <w:pPr>
                    <w:widowControl/>
                    <w:jc w:val="center"/>
                    <w:rPr>
                      <w:strike w:val="0"/>
                      <w:dstrike w:val="0"/>
                      <w:color w:val="auto"/>
                      <w:kern w:val="0"/>
                      <w:szCs w:val="21"/>
                      <w:highlight w:val="none"/>
                    </w:rPr>
                  </w:pPr>
                  <w:r>
                    <w:rPr>
                      <w:strike w:val="0"/>
                      <w:dstrike w:val="0"/>
                      <w:color w:val="auto"/>
                      <w:szCs w:val="21"/>
                      <w:highlight w:val="none"/>
                    </w:rPr>
                    <w:t>415~530</w:t>
                  </w:r>
                </w:p>
              </w:tc>
              <w:tc>
                <w:tcPr>
                  <w:tcW w:w="921" w:type="dxa"/>
                  <w:vAlign w:val="center"/>
                </w:tcPr>
                <w:p w14:paraId="6584ED6F">
                  <w:pPr>
                    <w:widowControl/>
                    <w:jc w:val="center"/>
                    <w:rPr>
                      <w:strike w:val="0"/>
                      <w:dstrike w:val="0"/>
                      <w:color w:val="auto"/>
                      <w:kern w:val="0"/>
                      <w:szCs w:val="21"/>
                      <w:highlight w:val="none"/>
                    </w:rPr>
                  </w:pPr>
                  <w:r>
                    <w:rPr>
                      <w:strike w:val="0"/>
                      <w:dstrike w:val="0"/>
                      <w:color w:val="auto"/>
                      <w:szCs w:val="21"/>
                      <w:highlight w:val="none"/>
                    </w:rPr>
                    <w:t>-50</w:t>
                  </w:r>
                </w:p>
              </w:tc>
              <w:tc>
                <w:tcPr>
                  <w:tcW w:w="1187" w:type="dxa"/>
                  <w:vAlign w:val="center"/>
                </w:tcPr>
                <w:p w14:paraId="7D5A1450">
                  <w:pPr>
                    <w:widowControl/>
                    <w:jc w:val="center"/>
                    <w:rPr>
                      <w:strike w:val="0"/>
                      <w:dstrike w:val="0"/>
                      <w:color w:val="auto"/>
                      <w:kern w:val="0"/>
                      <w:szCs w:val="21"/>
                      <w:highlight w:val="none"/>
                    </w:rPr>
                  </w:pPr>
                  <w:r>
                    <w:rPr>
                      <w:rFonts w:hint="eastAsia"/>
                      <w:strike w:val="0"/>
                      <w:dstrike w:val="0"/>
                      <w:color w:val="auto"/>
                      <w:szCs w:val="21"/>
                      <w:highlight w:val="none"/>
                    </w:rPr>
                    <w:t>1.3</w:t>
                  </w:r>
                  <w:r>
                    <w:rPr>
                      <w:strike w:val="0"/>
                      <w:dstrike w:val="0"/>
                      <w:color w:val="auto"/>
                      <w:szCs w:val="21"/>
                      <w:highlight w:val="none"/>
                    </w:rPr>
                    <w:t>~</w:t>
                  </w:r>
                  <w:r>
                    <w:rPr>
                      <w:rFonts w:hint="eastAsia"/>
                      <w:strike w:val="0"/>
                      <w:dstrike w:val="0"/>
                      <w:color w:val="auto"/>
                      <w:szCs w:val="21"/>
                      <w:highlight w:val="none"/>
                    </w:rPr>
                    <w:t>6.0</w:t>
                  </w:r>
                </w:p>
              </w:tc>
              <w:tc>
                <w:tcPr>
                  <w:tcW w:w="1350" w:type="dxa"/>
                  <w:vAlign w:val="center"/>
                </w:tcPr>
                <w:p w14:paraId="1F4D8A4C">
                  <w:pPr>
                    <w:widowControl/>
                    <w:jc w:val="center"/>
                    <w:rPr>
                      <w:strike w:val="0"/>
                      <w:dstrike w:val="0"/>
                      <w:color w:val="auto"/>
                      <w:kern w:val="0"/>
                      <w:szCs w:val="21"/>
                      <w:highlight w:val="none"/>
                    </w:rPr>
                  </w:pPr>
                  <w:r>
                    <w:rPr>
                      <w:strike w:val="0"/>
                      <w:dstrike w:val="0"/>
                      <w:color w:val="auto"/>
                      <w:szCs w:val="21"/>
                      <w:highlight w:val="none"/>
                    </w:rPr>
                    <w:t>1.6×10</w:t>
                  </w:r>
                  <w:r>
                    <w:rPr>
                      <w:strike w:val="0"/>
                      <w:dstrike w:val="0"/>
                      <w:color w:val="auto"/>
                      <w:szCs w:val="21"/>
                      <w:highlight w:val="none"/>
                      <w:vertAlign w:val="superscript"/>
                    </w:rPr>
                    <w:t>-3</w:t>
                  </w:r>
                </w:p>
              </w:tc>
              <w:tc>
                <w:tcPr>
                  <w:tcW w:w="1138" w:type="dxa"/>
                  <w:vAlign w:val="center"/>
                </w:tcPr>
                <w:p w14:paraId="14920F7C">
                  <w:pPr>
                    <w:widowControl/>
                    <w:jc w:val="center"/>
                    <w:rPr>
                      <w:strike w:val="0"/>
                      <w:dstrike w:val="0"/>
                      <w:color w:val="auto"/>
                      <w:kern w:val="0"/>
                      <w:szCs w:val="21"/>
                      <w:highlight w:val="none"/>
                    </w:rPr>
                  </w:pPr>
                  <w:r>
                    <w:rPr>
                      <w:strike w:val="0"/>
                      <w:dstrike w:val="0"/>
                      <w:color w:val="auto"/>
                      <w:szCs w:val="21"/>
                      <w:highlight w:val="none"/>
                    </w:rPr>
                    <w:t>44458</w:t>
                  </w:r>
                </w:p>
              </w:tc>
              <w:tc>
                <w:tcPr>
                  <w:tcW w:w="679" w:type="dxa"/>
                  <w:vAlign w:val="center"/>
                </w:tcPr>
                <w:p w14:paraId="4E32D6DE">
                  <w:pPr>
                    <w:widowControl/>
                    <w:jc w:val="center"/>
                    <w:rPr>
                      <w:strike w:val="0"/>
                      <w:dstrike w:val="0"/>
                      <w:color w:val="auto"/>
                      <w:kern w:val="0"/>
                      <w:szCs w:val="21"/>
                      <w:highlight w:val="none"/>
                    </w:rPr>
                  </w:pPr>
                  <w:r>
                    <w:rPr>
                      <w:strike w:val="0"/>
                      <w:dstrike w:val="0"/>
                      <w:color w:val="auto"/>
                      <w:szCs w:val="21"/>
                      <w:highlight w:val="none"/>
                    </w:rPr>
                    <w:t>甲</w:t>
                  </w:r>
                </w:p>
              </w:tc>
            </w:tr>
            <w:tr w14:paraId="0DC4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dxa"/>
                  <w:vAlign w:val="center"/>
                </w:tcPr>
                <w:p w14:paraId="1561263A">
                  <w:pPr>
                    <w:widowControl/>
                    <w:jc w:val="center"/>
                    <w:textAlignment w:val="center"/>
                    <w:rPr>
                      <w:strike w:val="0"/>
                      <w:dstrike w:val="0"/>
                      <w:color w:val="auto"/>
                      <w:szCs w:val="21"/>
                      <w:highlight w:val="none"/>
                    </w:rPr>
                  </w:pPr>
                  <w:r>
                    <w:rPr>
                      <w:strike w:val="0"/>
                      <w:dstrike w:val="0"/>
                      <w:color w:val="auto"/>
                      <w:szCs w:val="21"/>
                      <w:highlight w:val="none"/>
                    </w:rPr>
                    <w:t>2</w:t>
                  </w:r>
                </w:p>
              </w:tc>
              <w:tc>
                <w:tcPr>
                  <w:tcW w:w="980" w:type="dxa"/>
                  <w:vAlign w:val="center"/>
                </w:tcPr>
                <w:p w14:paraId="01376EBD">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柴油</w:t>
                  </w:r>
                </w:p>
              </w:tc>
              <w:tc>
                <w:tcPr>
                  <w:tcW w:w="1054" w:type="dxa"/>
                  <w:vAlign w:val="center"/>
                </w:tcPr>
                <w:p w14:paraId="4E7FA39F">
                  <w:pPr>
                    <w:widowControl/>
                    <w:jc w:val="center"/>
                    <w:rPr>
                      <w:strike w:val="0"/>
                      <w:dstrike w:val="0"/>
                      <w:color w:val="auto"/>
                      <w:kern w:val="0"/>
                      <w:szCs w:val="21"/>
                      <w:highlight w:val="none"/>
                    </w:rPr>
                  </w:pPr>
                  <w:r>
                    <w:rPr>
                      <w:strike w:val="0"/>
                      <w:dstrike w:val="0"/>
                      <w:color w:val="auto"/>
                      <w:szCs w:val="21"/>
                      <w:highlight w:val="none"/>
                    </w:rPr>
                    <w:t>350~380</w:t>
                  </w:r>
                </w:p>
              </w:tc>
              <w:tc>
                <w:tcPr>
                  <w:tcW w:w="921" w:type="dxa"/>
                  <w:vAlign w:val="center"/>
                </w:tcPr>
                <w:p w14:paraId="5D474563">
                  <w:pPr>
                    <w:widowControl/>
                    <w:jc w:val="center"/>
                    <w:rPr>
                      <w:strike w:val="0"/>
                      <w:dstrike w:val="0"/>
                      <w:color w:val="auto"/>
                      <w:kern w:val="0"/>
                      <w:szCs w:val="21"/>
                      <w:highlight w:val="none"/>
                    </w:rPr>
                  </w:pPr>
                  <w:r>
                    <w:rPr>
                      <w:rFonts w:hint="eastAsia"/>
                      <w:strike w:val="0"/>
                      <w:dstrike w:val="0"/>
                      <w:color w:val="auto"/>
                      <w:szCs w:val="21"/>
                      <w:highlight w:val="none"/>
                    </w:rPr>
                    <w:t>38</w:t>
                  </w:r>
                </w:p>
              </w:tc>
              <w:tc>
                <w:tcPr>
                  <w:tcW w:w="1187" w:type="dxa"/>
                  <w:vAlign w:val="center"/>
                </w:tcPr>
                <w:p w14:paraId="353C1298">
                  <w:pPr>
                    <w:widowControl/>
                    <w:jc w:val="center"/>
                    <w:rPr>
                      <w:strike w:val="0"/>
                      <w:dstrike w:val="0"/>
                      <w:color w:val="auto"/>
                      <w:kern w:val="0"/>
                      <w:szCs w:val="21"/>
                      <w:highlight w:val="none"/>
                    </w:rPr>
                  </w:pPr>
                  <w:r>
                    <w:rPr>
                      <w:strike w:val="0"/>
                      <w:dstrike w:val="0"/>
                      <w:color w:val="auto"/>
                      <w:szCs w:val="21"/>
                      <w:highlight w:val="none"/>
                    </w:rPr>
                    <w:t>1.50~6.50</w:t>
                  </w:r>
                </w:p>
              </w:tc>
              <w:tc>
                <w:tcPr>
                  <w:tcW w:w="1350" w:type="dxa"/>
                  <w:vAlign w:val="center"/>
                </w:tcPr>
                <w:p w14:paraId="437C3DEB">
                  <w:pPr>
                    <w:widowControl/>
                    <w:jc w:val="center"/>
                    <w:rPr>
                      <w:strike w:val="0"/>
                      <w:dstrike w:val="0"/>
                      <w:color w:val="auto"/>
                      <w:kern w:val="0"/>
                      <w:szCs w:val="21"/>
                      <w:highlight w:val="none"/>
                    </w:rPr>
                  </w:pPr>
                  <w:r>
                    <w:rPr>
                      <w:strike w:val="0"/>
                      <w:dstrike w:val="0"/>
                      <w:color w:val="auto"/>
                      <w:szCs w:val="21"/>
                      <w:highlight w:val="none"/>
                    </w:rPr>
                    <w:t>1.3×10</w:t>
                  </w:r>
                  <w:r>
                    <w:rPr>
                      <w:strike w:val="0"/>
                      <w:dstrike w:val="0"/>
                      <w:color w:val="auto"/>
                      <w:szCs w:val="21"/>
                      <w:highlight w:val="none"/>
                      <w:vertAlign w:val="superscript"/>
                    </w:rPr>
                    <w:t>-7</w:t>
                  </w:r>
                </w:p>
              </w:tc>
              <w:tc>
                <w:tcPr>
                  <w:tcW w:w="1138" w:type="dxa"/>
                  <w:vAlign w:val="center"/>
                </w:tcPr>
                <w:p w14:paraId="2EEA0501">
                  <w:pPr>
                    <w:widowControl/>
                    <w:jc w:val="center"/>
                    <w:rPr>
                      <w:strike w:val="0"/>
                      <w:dstrike w:val="0"/>
                      <w:color w:val="auto"/>
                      <w:kern w:val="0"/>
                      <w:szCs w:val="21"/>
                      <w:highlight w:val="none"/>
                    </w:rPr>
                  </w:pPr>
                  <w:r>
                    <w:rPr>
                      <w:strike w:val="0"/>
                      <w:dstrike w:val="0"/>
                      <w:color w:val="auto"/>
                      <w:szCs w:val="21"/>
                      <w:highlight w:val="none"/>
                    </w:rPr>
                    <w:t>43987</w:t>
                  </w:r>
                </w:p>
              </w:tc>
              <w:tc>
                <w:tcPr>
                  <w:tcW w:w="679" w:type="dxa"/>
                  <w:vAlign w:val="center"/>
                </w:tcPr>
                <w:p w14:paraId="2EA9C403">
                  <w:pPr>
                    <w:widowControl/>
                    <w:jc w:val="center"/>
                    <w:rPr>
                      <w:strike w:val="0"/>
                      <w:dstrike w:val="0"/>
                      <w:color w:val="auto"/>
                      <w:kern w:val="0"/>
                      <w:szCs w:val="21"/>
                      <w:highlight w:val="none"/>
                    </w:rPr>
                  </w:pPr>
                  <w:r>
                    <w:rPr>
                      <w:strike w:val="0"/>
                      <w:dstrike w:val="0"/>
                      <w:color w:val="auto"/>
                      <w:szCs w:val="21"/>
                      <w:highlight w:val="none"/>
                    </w:rPr>
                    <w:t>丙</w:t>
                  </w:r>
                </w:p>
              </w:tc>
            </w:tr>
            <w:tr w14:paraId="2987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dxa"/>
                  <w:vAlign w:val="center"/>
                </w:tcPr>
                <w:p w14:paraId="58E10B83">
                  <w:pPr>
                    <w:widowControl/>
                    <w:jc w:val="center"/>
                    <w:textAlignment w:val="center"/>
                    <w:rPr>
                      <w:strike w:val="0"/>
                      <w:dstrike w:val="0"/>
                      <w:color w:val="auto"/>
                      <w:szCs w:val="21"/>
                      <w:highlight w:val="none"/>
                    </w:rPr>
                  </w:pPr>
                  <w:r>
                    <w:rPr>
                      <w:rFonts w:hint="eastAsia"/>
                      <w:strike w:val="0"/>
                      <w:dstrike w:val="0"/>
                      <w:color w:val="auto"/>
                      <w:szCs w:val="21"/>
                      <w:highlight w:val="none"/>
                    </w:rPr>
                    <w:t>3</w:t>
                  </w:r>
                </w:p>
              </w:tc>
              <w:tc>
                <w:tcPr>
                  <w:tcW w:w="980" w:type="dxa"/>
                  <w:vAlign w:val="center"/>
                </w:tcPr>
                <w:p w14:paraId="3B5941FA">
                  <w:pPr>
                    <w:pStyle w:val="43"/>
                    <w:kinsoku w:val="0"/>
                    <w:overflowPunct w:val="0"/>
                    <w:autoSpaceDE/>
                    <w:autoSpaceDN/>
                    <w:adjustRightInd/>
                    <w:jc w:val="center"/>
                    <w:rPr>
                      <w:strike w:val="0"/>
                      <w:dstrike w:val="0"/>
                      <w:color w:val="auto"/>
                      <w:sz w:val="21"/>
                      <w:szCs w:val="21"/>
                      <w:highlight w:val="none"/>
                    </w:rPr>
                  </w:pPr>
                  <w:r>
                    <w:rPr>
                      <w:rFonts w:hint="eastAsia"/>
                      <w:strike w:val="0"/>
                      <w:dstrike w:val="0"/>
                      <w:color w:val="auto"/>
                      <w:sz w:val="21"/>
                      <w:szCs w:val="21"/>
                      <w:highlight w:val="none"/>
                    </w:rPr>
                    <w:t>LNG</w:t>
                  </w:r>
                </w:p>
              </w:tc>
              <w:tc>
                <w:tcPr>
                  <w:tcW w:w="1054" w:type="dxa"/>
                  <w:vAlign w:val="center"/>
                </w:tcPr>
                <w:p w14:paraId="7715C852">
                  <w:pPr>
                    <w:widowControl/>
                    <w:jc w:val="center"/>
                    <w:rPr>
                      <w:strike w:val="0"/>
                      <w:dstrike w:val="0"/>
                      <w:color w:val="auto"/>
                      <w:szCs w:val="21"/>
                      <w:highlight w:val="none"/>
                    </w:rPr>
                  </w:pPr>
                  <w:r>
                    <w:rPr>
                      <w:strike w:val="0"/>
                      <w:dstrike w:val="0"/>
                      <w:color w:val="auto"/>
                      <w:szCs w:val="21"/>
                      <w:highlight w:val="none"/>
                    </w:rPr>
                    <w:t>482~632</w:t>
                  </w:r>
                </w:p>
              </w:tc>
              <w:tc>
                <w:tcPr>
                  <w:tcW w:w="921" w:type="dxa"/>
                  <w:vAlign w:val="center"/>
                </w:tcPr>
                <w:p w14:paraId="771FB9EC">
                  <w:pPr>
                    <w:widowControl/>
                    <w:jc w:val="center"/>
                    <w:rPr>
                      <w:strike w:val="0"/>
                      <w:dstrike w:val="0"/>
                      <w:color w:val="auto"/>
                      <w:szCs w:val="21"/>
                      <w:highlight w:val="none"/>
                    </w:rPr>
                  </w:pPr>
                  <w:r>
                    <w:rPr>
                      <w:rFonts w:hint="eastAsia"/>
                      <w:strike w:val="0"/>
                      <w:dstrike w:val="0"/>
                      <w:color w:val="auto"/>
                      <w:szCs w:val="21"/>
                      <w:highlight w:val="none"/>
                    </w:rPr>
                    <w:t>-188</w:t>
                  </w:r>
                </w:p>
              </w:tc>
              <w:tc>
                <w:tcPr>
                  <w:tcW w:w="1187" w:type="dxa"/>
                  <w:vAlign w:val="center"/>
                </w:tcPr>
                <w:p w14:paraId="24E96AD5">
                  <w:pPr>
                    <w:widowControl/>
                    <w:jc w:val="center"/>
                    <w:rPr>
                      <w:strike w:val="0"/>
                      <w:dstrike w:val="0"/>
                      <w:color w:val="auto"/>
                      <w:szCs w:val="21"/>
                      <w:highlight w:val="none"/>
                    </w:rPr>
                  </w:pPr>
                  <w:r>
                    <w:rPr>
                      <w:strike w:val="0"/>
                      <w:dstrike w:val="0"/>
                      <w:color w:val="auto"/>
                      <w:szCs w:val="21"/>
                      <w:highlight w:val="none"/>
                    </w:rPr>
                    <w:t>5~14</w:t>
                  </w:r>
                </w:p>
              </w:tc>
              <w:tc>
                <w:tcPr>
                  <w:tcW w:w="1350" w:type="dxa"/>
                  <w:vAlign w:val="center"/>
                </w:tcPr>
                <w:p w14:paraId="0E8C34DC">
                  <w:pPr>
                    <w:widowControl/>
                    <w:jc w:val="center"/>
                    <w:rPr>
                      <w:strike w:val="0"/>
                      <w:dstrike w:val="0"/>
                      <w:color w:val="auto"/>
                      <w:szCs w:val="21"/>
                      <w:highlight w:val="none"/>
                    </w:rPr>
                  </w:pPr>
                  <w:r>
                    <w:rPr>
                      <w:rFonts w:hint="eastAsia"/>
                      <w:strike w:val="0"/>
                      <w:dstrike w:val="0"/>
                      <w:color w:val="auto"/>
                      <w:szCs w:val="21"/>
                      <w:highlight w:val="none"/>
                    </w:rPr>
                    <w:t>1.33</w:t>
                  </w:r>
                  <w:r>
                    <w:rPr>
                      <w:strike w:val="0"/>
                      <w:dstrike w:val="0"/>
                      <w:color w:val="auto"/>
                      <w:szCs w:val="21"/>
                      <w:highlight w:val="none"/>
                    </w:rPr>
                    <w:t>×10</w:t>
                  </w:r>
                  <w:r>
                    <w:rPr>
                      <w:strike w:val="0"/>
                      <w:dstrike w:val="0"/>
                      <w:color w:val="auto"/>
                      <w:szCs w:val="21"/>
                      <w:highlight w:val="none"/>
                      <w:vertAlign w:val="superscript"/>
                    </w:rPr>
                    <w:t>-3</w:t>
                  </w:r>
                </w:p>
              </w:tc>
              <w:tc>
                <w:tcPr>
                  <w:tcW w:w="1138" w:type="dxa"/>
                  <w:vAlign w:val="center"/>
                </w:tcPr>
                <w:p w14:paraId="364FC402">
                  <w:pPr>
                    <w:widowControl/>
                    <w:jc w:val="center"/>
                    <w:rPr>
                      <w:strike w:val="0"/>
                      <w:dstrike w:val="0"/>
                      <w:color w:val="auto"/>
                      <w:szCs w:val="21"/>
                      <w:highlight w:val="none"/>
                    </w:rPr>
                  </w:pPr>
                  <w:r>
                    <w:rPr>
                      <w:rFonts w:hint="eastAsia"/>
                      <w:strike w:val="0"/>
                      <w:dstrike w:val="0"/>
                      <w:color w:val="auto"/>
                      <w:szCs w:val="21"/>
                      <w:highlight w:val="none"/>
                    </w:rPr>
                    <w:t>0.803</w:t>
                  </w:r>
                </w:p>
              </w:tc>
              <w:tc>
                <w:tcPr>
                  <w:tcW w:w="679" w:type="dxa"/>
                  <w:vAlign w:val="center"/>
                </w:tcPr>
                <w:p w14:paraId="542DC817">
                  <w:pPr>
                    <w:widowControl/>
                    <w:jc w:val="center"/>
                    <w:rPr>
                      <w:strike w:val="0"/>
                      <w:dstrike w:val="0"/>
                      <w:color w:val="auto"/>
                      <w:szCs w:val="21"/>
                      <w:highlight w:val="none"/>
                    </w:rPr>
                  </w:pPr>
                  <w:r>
                    <w:rPr>
                      <w:rFonts w:hint="eastAsia"/>
                      <w:strike w:val="0"/>
                      <w:dstrike w:val="0"/>
                      <w:color w:val="auto"/>
                      <w:szCs w:val="21"/>
                      <w:highlight w:val="none"/>
                    </w:rPr>
                    <w:t>甲</w:t>
                  </w:r>
                </w:p>
              </w:tc>
            </w:tr>
          </w:tbl>
          <w:p w14:paraId="6B0DB05F">
            <w:pPr>
              <w:adjustRightInd w:val="0"/>
              <w:snapToGrid w:val="0"/>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天然气组分详见表2.1-8。</w:t>
            </w:r>
          </w:p>
          <w:p w14:paraId="66FA448D">
            <w:pPr>
              <w:autoSpaceDE w:val="0"/>
              <w:autoSpaceDN w:val="0"/>
              <w:jc w:val="center"/>
              <w:rPr>
                <w:b/>
                <w:bCs/>
                <w:strike w:val="0"/>
                <w:dstrike w:val="0"/>
                <w:color w:val="auto"/>
                <w:sz w:val="24"/>
                <w:highlight w:val="none"/>
              </w:rPr>
            </w:pPr>
            <w:r>
              <w:rPr>
                <w:b/>
                <w:bCs/>
                <w:strike w:val="0"/>
                <w:dstrike w:val="0"/>
                <w:color w:val="auto"/>
                <w:sz w:val="24"/>
                <w:highlight w:val="none"/>
              </w:rPr>
              <w:t>表2.1-8  天然气组分一览表</w:t>
            </w:r>
          </w:p>
          <w:tbl>
            <w:tblPr>
              <w:tblStyle w:val="22"/>
              <w:tblW w:w="7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899"/>
              <w:gridCol w:w="1909"/>
              <w:gridCol w:w="1914"/>
            </w:tblGrid>
            <w:tr w14:paraId="464F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47C86FC3">
                  <w:pPr>
                    <w:jc w:val="center"/>
                    <w:rPr>
                      <w:strike w:val="0"/>
                      <w:dstrike w:val="0"/>
                      <w:color w:val="auto"/>
                      <w:szCs w:val="21"/>
                      <w:highlight w:val="none"/>
                    </w:rPr>
                  </w:pPr>
                  <w:r>
                    <w:rPr>
                      <w:strike w:val="0"/>
                      <w:dstrike w:val="0"/>
                      <w:color w:val="auto"/>
                      <w:szCs w:val="21"/>
                      <w:highlight w:val="none"/>
                    </w:rPr>
                    <w:t>分析项目</w:t>
                  </w:r>
                </w:p>
              </w:tc>
              <w:tc>
                <w:tcPr>
                  <w:tcW w:w="1899" w:type="dxa"/>
                  <w:vAlign w:val="center"/>
                </w:tcPr>
                <w:p w14:paraId="1B6B6E54">
                  <w:pPr>
                    <w:jc w:val="center"/>
                    <w:rPr>
                      <w:strike w:val="0"/>
                      <w:dstrike w:val="0"/>
                      <w:color w:val="auto"/>
                      <w:szCs w:val="21"/>
                      <w:highlight w:val="none"/>
                    </w:rPr>
                  </w:pPr>
                  <w:r>
                    <w:rPr>
                      <w:strike w:val="0"/>
                      <w:dstrike w:val="0"/>
                      <w:color w:val="auto"/>
                      <w:szCs w:val="21"/>
                      <w:highlight w:val="none"/>
                    </w:rPr>
                    <w:t>烃类（%）</w:t>
                  </w:r>
                </w:p>
              </w:tc>
              <w:tc>
                <w:tcPr>
                  <w:tcW w:w="1909" w:type="dxa"/>
                  <w:vAlign w:val="center"/>
                </w:tcPr>
                <w:p w14:paraId="0ECCC3AE">
                  <w:pPr>
                    <w:jc w:val="center"/>
                    <w:rPr>
                      <w:strike w:val="0"/>
                      <w:dstrike w:val="0"/>
                      <w:color w:val="auto"/>
                      <w:szCs w:val="21"/>
                      <w:highlight w:val="none"/>
                    </w:rPr>
                  </w:pPr>
                  <w:r>
                    <w:rPr>
                      <w:strike w:val="0"/>
                      <w:dstrike w:val="0"/>
                      <w:color w:val="auto"/>
                      <w:szCs w:val="21"/>
                      <w:highlight w:val="none"/>
                    </w:rPr>
                    <w:t>分析项目</w:t>
                  </w:r>
                </w:p>
              </w:tc>
              <w:tc>
                <w:tcPr>
                  <w:tcW w:w="1914" w:type="dxa"/>
                  <w:vAlign w:val="center"/>
                </w:tcPr>
                <w:p w14:paraId="47A1754D">
                  <w:pPr>
                    <w:jc w:val="center"/>
                    <w:rPr>
                      <w:strike w:val="0"/>
                      <w:dstrike w:val="0"/>
                      <w:color w:val="auto"/>
                      <w:szCs w:val="21"/>
                      <w:highlight w:val="none"/>
                    </w:rPr>
                  </w:pPr>
                  <w:r>
                    <w:rPr>
                      <w:strike w:val="0"/>
                      <w:dstrike w:val="0"/>
                      <w:color w:val="auto"/>
                      <w:szCs w:val="21"/>
                      <w:highlight w:val="none"/>
                    </w:rPr>
                    <w:t>非烃类（%）</w:t>
                  </w:r>
                </w:p>
              </w:tc>
            </w:tr>
            <w:tr w14:paraId="3FE2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003F36F3">
                  <w:pPr>
                    <w:jc w:val="center"/>
                    <w:rPr>
                      <w:strike w:val="0"/>
                      <w:dstrike w:val="0"/>
                      <w:color w:val="auto"/>
                      <w:szCs w:val="21"/>
                      <w:highlight w:val="none"/>
                    </w:rPr>
                  </w:pPr>
                  <w:r>
                    <w:rPr>
                      <w:strike w:val="0"/>
                      <w:dstrike w:val="0"/>
                      <w:color w:val="auto"/>
                      <w:szCs w:val="21"/>
                      <w:highlight w:val="none"/>
                    </w:rPr>
                    <w:t>CH</w:t>
                  </w:r>
                  <w:r>
                    <w:rPr>
                      <w:strike w:val="0"/>
                      <w:dstrike w:val="0"/>
                      <w:color w:val="auto"/>
                      <w:szCs w:val="21"/>
                      <w:highlight w:val="none"/>
                      <w:vertAlign w:val="subscript"/>
                    </w:rPr>
                    <w:t>4</w:t>
                  </w:r>
                </w:p>
              </w:tc>
              <w:tc>
                <w:tcPr>
                  <w:tcW w:w="1899" w:type="dxa"/>
                  <w:vAlign w:val="center"/>
                </w:tcPr>
                <w:p w14:paraId="5E3AF2D4">
                  <w:pPr>
                    <w:jc w:val="center"/>
                    <w:rPr>
                      <w:strike w:val="0"/>
                      <w:dstrike w:val="0"/>
                      <w:color w:val="auto"/>
                      <w:szCs w:val="21"/>
                      <w:highlight w:val="none"/>
                    </w:rPr>
                  </w:pPr>
                  <w:r>
                    <w:rPr>
                      <w:strike w:val="0"/>
                      <w:dstrike w:val="0"/>
                      <w:color w:val="auto"/>
                      <w:szCs w:val="21"/>
                      <w:highlight w:val="none"/>
                    </w:rPr>
                    <w:t>95.97</w:t>
                  </w:r>
                </w:p>
              </w:tc>
              <w:tc>
                <w:tcPr>
                  <w:tcW w:w="1909" w:type="dxa"/>
                  <w:vAlign w:val="center"/>
                </w:tcPr>
                <w:p w14:paraId="62BACCBF">
                  <w:pPr>
                    <w:jc w:val="center"/>
                    <w:rPr>
                      <w:strike w:val="0"/>
                      <w:dstrike w:val="0"/>
                      <w:color w:val="auto"/>
                      <w:szCs w:val="21"/>
                      <w:highlight w:val="none"/>
                    </w:rPr>
                  </w:pPr>
                  <w:r>
                    <w:rPr>
                      <w:strike w:val="0"/>
                      <w:dstrike w:val="0"/>
                      <w:color w:val="auto"/>
                      <w:szCs w:val="21"/>
                      <w:highlight w:val="none"/>
                    </w:rPr>
                    <w:t>He</w:t>
                  </w:r>
                </w:p>
              </w:tc>
              <w:tc>
                <w:tcPr>
                  <w:tcW w:w="1914" w:type="dxa"/>
                  <w:vAlign w:val="center"/>
                </w:tcPr>
                <w:p w14:paraId="69D27FB0">
                  <w:pPr>
                    <w:jc w:val="center"/>
                    <w:rPr>
                      <w:strike w:val="0"/>
                      <w:dstrike w:val="0"/>
                      <w:color w:val="auto"/>
                      <w:szCs w:val="21"/>
                      <w:highlight w:val="none"/>
                    </w:rPr>
                  </w:pPr>
                  <w:r>
                    <w:rPr>
                      <w:strike w:val="0"/>
                      <w:dstrike w:val="0"/>
                      <w:color w:val="auto"/>
                      <w:szCs w:val="21"/>
                      <w:highlight w:val="none"/>
                    </w:rPr>
                    <w:t>0.023</w:t>
                  </w:r>
                </w:p>
              </w:tc>
            </w:tr>
            <w:tr w14:paraId="2D90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56B44D3B">
                  <w:pPr>
                    <w:jc w:val="center"/>
                    <w:rPr>
                      <w:strike w:val="0"/>
                      <w:dstrike w:val="0"/>
                      <w:color w:val="auto"/>
                      <w:szCs w:val="21"/>
                      <w:highlight w:val="none"/>
                    </w:rPr>
                  </w:pPr>
                  <w:r>
                    <w:rPr>
                      <w:strike w:val="0"/>
                      <w:dstrike w:val="0"/>
                      <w:color w:val="auto"/>
                      <w:szCs w:val="21"/>
                      <w:highlight w:val="none"/>
                    </w:rPr>
                    <w:t>C</w:t>
                  </w:r>
                  <w:r>
                    <w:rPr>
                      <w:strike w:val="0"/>
                      <w:dstrike w:val="0"/>
                      <w:color w:val="auto"/>
                      <w:szCs w:val="21"/>
                      <w:highlight w:val="none"/>
                      <w:vertAlign w:val="subscript"/>
                    </w:rPr>
                    <w:t>2</w:t>
                  </w:r>
                  <w:r>
                    <w:rPr>
                      <w:strike w:val="0"/>
                      <w:dstrike w:val="0"/>
                      <w:color w:val="auto"/>
                      <w:szCs w:val="21"/>
                      <w:highlight w:val="none"/>
                    </w:rPr>
                    <w:t>H</w:t>
                  </w:r>
                  <w:r>
                    <w:rPr>
                      <w:strike w:val="0"/>
                      <w:dstrike w:val="0"/>
                      <w:color w:val="auto"/>
                      <w:szCs w:val="21"/>
                      <w:highlight w:val="none"/>
                      <w:vertAlign w:val="subscript"/>
                    </w:rPr>
                    <w:t>6</w:t>
                  </w:r>
                </w:p>
              </w:tc>
              <w:tc>
                <w:tcPr>
                  <w:tcW w:w="1899" w:type="dxa"/>
                  <w:vAlign w:val="center"/>
                </w:tcPr>
                <w:p w14:paraId="0F4EE97D">
                  <w:pPr>
                    <w:jc w:val="center"/>
                    <w:rPr>
                      <w:strike w:val="0"/>
                      <w:dstrike w:val="0"/>
                      <w:color w:val="auto"/>
                      <w:szCs w:val="21"/>
                      <w:highlight w:val="none"/>
                    </w:rPr>
                  </w:pPr>
                  <w:r>
                    <w:rPr>
                      <w:strike w:val="0"/>
                      <w:dstrike w:val="0"/>
                      <w:color w:val="auto"/>
                      <w:szCs w:val="21"/>
                      <w:highlight w:val="none"/>
                    </w:rPr>
                    <w:t>0.816</w:t>
                  </w:r>
                </w:p>
              </w:tc>
              <w:tc>
                <w:tcPr>
                  <w:tcW w:w="1909" w:type="dxa"/>
                  <w:vAlign w:val="center"/>
                </w:tcPr>
                <w:p w14:paraId="532287D4">
                  <w:pPr>
                    <w:jc w:val="center"/>
                    <w:rPr>
                      <w:strike w:val="0"/>
                      <w:dstrike w:val="0"/>
                      <w:color w:val="auto"/>
                      <w:szCs w:val="21"/>
                      <w:highlight w:val="none"/>
                    </w:rPr>
                  </w:pPr>
                  <w:r>
                    <w:rPr>
                      <w:strike w:val="0"/>
                      <w:dstrike w:val="0"/>
                      <w:color w:val="auto"/>
                      <w:szCs w:val="21"/>
                      <w:highlight w:val="none"/>
                    </w:rPr>
                    <w:t>H</w:t>
                  </w:r>
                  <w:r>
                    <w:rPr>
                      <w:strike w:val="0"/>
                      <w:dstrike w:val="0"/>
                      <w:color w:val="auto"/>
                      <w:szCs w:val="21"/>
                      <w:highlight w:val="none"/>
                      <w:vertAlign w:val="subscript"/>
                    </w:rPr>
                    <w:t>2</w:t>
                  </w:r>
                </w:p>
              </w:tc>
              <w:tc>
                <w:tcPr>
                  <w:tcW w:w="1914" w:type="dxa"/>
                  <w:vAlign w:val="center"/>
                </w:tcPr>
                <w:p w14:paraId="2197B05C">
                  <w:pPr>
                    <w:jc w:val="center"/>
                    <w:rPr>
                      <w:strike w:val="0"/>
                      <w:dstrike w:val="0"/>
                      <w:color w:val="auto"/>
                      <w:szCs w:val="21"/>
                      <w:highlight w:val="none"/>
                    </w:rPr>
                  </w:pPr>
                </w:p>
              </w:tc>
            </w:tr>
            <w:tr w14:paraId="2124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2D570BD7">
                  <w:pPr>
                    <w:jc w:val="center"/>
                    <w:rPr>
                      <w:strike w:val="0"/>
                      <w:dstrike w:val="0"/>
                      <w:color w:val="auto"/>
                      <w:szCs w:val="21"/>
                      <w:highlight w:val="none"/>
                    </w:rPr>
                  </w:pPr>
                  <w:r>
                    <w:rPr>
                      <w:strike w:val="0"/>
                      <w:dstrike w:val="0"/>
                      <w:color w:val="auto"/>
                      <w:szCs w:val="21"/>
                      <w:highlight w:val="none"/>
                    </w:rPr>
                    <w:t>C</w:t>
                  </w:r>
                  <w:r>
                    <w:rPr>
                      <w:strike w:val="0"/>
                      <w:dstrike w:val="0"/>
                      <w:color w:val="auto"/>
                      <w:szCs w:val="21"/>
                      <w:highlight w:val="none"/>
                      <w:vertAlign w:val="subscript"/>
                    </w:rPr>
                    <w:t>3</w:t>
                  </w:r>
                  <w:r>
                    <w:rPr>
                      <w:strike w:val="0"/>
                      <w:dstrike w:val="0"/>
                      <w:color w:val="auto"/>
                      <w:szCs w:val="21"/>
                      <w:highlight w:val="none"/>
                    </w:rPr>
                    <w:t>H</w:t>
                  </w:r>
                  <w:r>
                    <w:rPr>
                      <w:strike w:val="0"/>
                      <w:dstrike w:val="0"/>
                      <w:color w:val="auto"/>
                      <w:szCs w:val="21"/>
                      <w:highlight w:val="none"/>
                      <w:vertAlign w:val="subscript"/>
                    </w:rPr>
                    <w:t>8</w:t>
                  </w:r>
                </w:p>
              </w:tc>
              <w:tc>
                <w:tcPr>
                  <w:tcW w:w="1899" w:type="dxa"/>
                  <w:vAlign w:val="center"/>
                </w:tcPr>
                <w:p w14:paraId="33C6B12D">
                  <w:pPr>
                    <w:jc w:val="center"/>
                    <w:rPr>
                      <w:strike w:val="0"/>
                      <w:dstrike w:val="0"/>
                      <w:color w:val="auto"/>
                      <w:szCs w:val="21"/>
                      <w:highlight w:val="none"/>
                    </w:rPr>
                  </w:pPr>
                  <w:r>
                    <w:rPr>
                      <w:strike w:val="0"/>
                      <w:dstrike w:val="0"/>
                      <w:color w:val="auto"/>
                      <w:szCs w:val="21"/>
                      <w:highlight w:val="none"/>
                    </w:rPr>
                    <w:t>0.106</w:t>
                  </w:r>
                </w:p>
              </w:tc>
              <w:tc>
                <w:tcPr>
                  <w:tcW w:w="1909" w:type="dxa"/>
                  <w:vAlign w:val="center"/>
                </w:tcPr>
                <w:p w14:paraId="6CC2AC93">
                  <w:pPr>
                    <w:jc w:val="center"/>
                    <w:rPr>
                      <w:strike w:val="0"/>
                      <w:dstrike w:val="0"/>
                      <w:color w:val="auto"/>
                      <w:szCs w:val="21"/>
                      <w:highlight w:val="none"/>
                    </w:rPr>
                  </w:pPr>
                  <w:r>
                    <w:rPr>
                      <w:strike w:val="0"/>
                      <w:dstrike w:val="0"/>
                      <w:color w:val="auto"/>
                      <w:szCs w:val="21"/>
                      <w:highlight w:val="none"/>
                    </w:rPr>
                    <w:t>N</w:t>
                  </w:r>
                  <w:r>
                    <w:rPr>
                      <w:strike w:val="0"/>
                      <w:dstrike w:val="0"/>
                      <w:color w:val="auto"/>
                      <w:szCs w:val="21"/>
                      <w:highlight w:val="none"/>
                      <w:vertAlign w:val="subscript"/>
                    </w:rPr>
                    <w:t>2</w:t>
                  </w:r>
                </w:p>
              </w:tc>
              <w:tc>
                <w:tcPr>
                  <w:tcW w:w="1914" w:type="dxa"/>
                  <w:vAlign w:val="center"/>
                </w:tcPr>
                <w:p w14:paraId="417B9EDF">
                  <w:pPr>
                    <w:jc w:val="center"/>
                    <w:rPr>
                      <w:strike w:val="0"/>
                      <w:dstrike w:val="0"/>
                      <w:color w:val="auto"/>
                      <w:szCs w:val="21"/>
                      <w:highlight w:val="none"/>
                    </w:rPr>
                  </w:pPr>
                  <w:r>
                    <w:rPr>
                      <w:strike w:val="0"/>
                      <w:dstrike w:val="0"/>
                      <w:color w:val="auto"/>
                      <w:szCs w:val="21"/>
                      <w:highlight w:val="none"/>
                    </w:rPr>
                    <w:t>0.146</w:t>
                  </w:r>
                </w:p>
              </w:tc>
            </w:tr>
            <w:tr w14:paraId="3708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70341ABA">
                  <w:pPr>
                    <w:jc w:val="center"/>
                    <w:rPr>
                      <w:strike w:val="0"/>
                      <w:dstrike w:val="0"/>
                      <w:color w:val="auto"/>
                      <w:szCs w:val="21"/>
                      <w:highlight w:val="none"/>
                    </w:rPr>
                  </w:pPr>
                  <w:r>
                    <w:rPr>
                      <w:strike w:val="0"/>
                      <w:dstrike w:val="0"/>
                      <w:color w:val="auto"/>
                      <w:szCs w:val="21"/>
                      <w:highlight w:val="none"/>
                    </w:rPr>
                    <w:t>iC</w:t>
                  </w:r>
                  <w:r>
                    <w:rPr>
                      <w:strike w:val="0"/>
                      <w:dstrike w:val="0"/>
                      <w:color w:val="auto"/>
                      <w:szCs w:val="21"/>
                      <w:highlight w:val="none"/>
                      <w:vertAlign w:val="subscript"/>
                    </w:rPr>
                    <w:t>4</w:t>
                  </w:r>
                  <w:r>
                    <w:rPr>
                      <w:strike w:val="0"/>
                      <w:dstrike w:val="0"/>
                      <w:color w:val="auto"/>
                      <w:szCs w:val="21"/>
                      <w:highlight w:val="none"/>
                    </w:rPr>
                    <w:t>H</w:t>
                  </w:r>
                  <w:r>
                    <w:rPr>
                      <w:strike w:val="0"/>
                      <w:dstrike w:val="0"/>
                      <w:color w:val="auto"/>
                      <w:szCs w:val="21"/>
                      <w:highlight w:val="none"/>
                      <w:vertAlign w:val="subscript"/>
                    </w:rPr>
                    <w:t>10</w:t>
                  </w:r>
                </w:p>
              </w:tc>
              <w:tc>
                <w:tcPr>
                  <w:tcW w:w="1899" w:type="dxa"/>
                  <w:vAlign w:val="center"/>
                </w:tcPr>
                <w:p w14:paraId="63FF4BB9">
                  <w:pPr>
                    <w:jc w:val="center"/>
                    <w:rPr>
                      <w:strike w:val="0"/>
                      <w:dstrike w:val="0"/>
                      <w:color w:val="auto"/>
                      <w:szCs w:val="21"/>
                      <w:highlight w:val="none"/>
                    </w:rPr>
                  </w:pPr>
                  <w:r>
                    <w:rPr>
                      <w:strike w:val="0"/>
                      <w:dstrike w:val="0"/>
                      <w:color w:val="auto"/>
                      <w:szCs w:val="21"/>
                      <w:highlight w:val="none"/>
                    </w:rPr>
                    <w:t>0.015</w:t>
                  </w:r>
                </w:p>
              </w:tc>
              <w:tc>
                <w:tcPr>
                  <w:tcW w:w="1909" w:type="dxa"/>
                  <w:vAlign w:val="center"/>
                </w:tcPr>
                <w:p w14:paraId="6AD91E47">
                  <w:pPr>
                    <w:jc w:val="center"/>
                    <w:rPr>
                      <w:strike w:val="0"/>
                      <w:dstrike w:val="0"/>
                      <w:color w:val="auto"/>
                      <w:szCs w:val="21"/>
                      <w:highlight w:val="none"/>
                    </w:rPr>
                  </w:pPr>
                  <w:r>
                    <w:rPr>
                      <w:strike w:val="0"/>
                      <w:dstrike w:val="0"/>
                      <w:color w:val="auto"/>
                      <w:szCs w:val="21"/>
                      <w:highlight w:val="none"/>
                    </w:rPr>
                    <w:t>CO</w:t>
                  </w:r>
                  <w:r>
                    <w:rPr>
                      <w:strike w:val="0"/>
                      <w:dstrike w:val="0"/>
                      <w:color w:val="auto"/>
                      <w:szCs w:val="21"/>
                      <w:highlight w:val="none"/>
                      <w:vertAlign w:val="subscript"/>
                    </w:rPr>
                    <w:t>2</w:t>
                  </w:r>
                </w:p>
              </w:tc>
              <w:tc>
                <w:tcPr>
                  <w:tcW w:w="1914" w:type="dxa"/>
                  <w:vAlign w:val="center"/>
                </w:tcPr>
                <w:p w14:paraId="07B6E7B5">
                  <w:pPr>
                    <w:jc w:val="center"/>
                    <w:rPr>
                      <w:strike w:val="0"/>
                      <w:dstrike w:val="0"/>
                      <w:color w:val="auto"/>
                      <w:szCs w:val="21"/>
                      <w:highlight w:val="none"/>
                    </w:rPr>
                  </w:pPr>
                  <w:r>
                    <w:rPr>
                      <w:strike w:val="0"/>
                      <w:dstrike w:val="0"/>
                      <w:color w:val="auto"/>
                      <w:szCs w:val="21"/>
                      <w:highlight w:val="none"/>
                    </w:rPr>
                    <w:t>2.89</w:t>
                  </w:r>
                </w:p>
              </w:tc>
            </w:tr>
            <w:tr w14:paraId="2405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78B3BDD8">
                  <w:pPr>
                    <w:jc w:val="center"/>
                    <w:rPr>
                      <w:strike w:val="0"/>
                      <w:dstrike w:val="0"/>
                      <w:color w:val="auto"/>
                      <w:szCs w:val="21"/>
                      <w:highlight w:val="none"/>
                    </w:rPr>
                  </w:pPr>
                  <w:r>
                    <w:rPr>
                      <w:strike w:val="0"/>
                      <w:dstrike w:val="0"/>
                      <w:color w:val="auto"/>
                      <w:szCs w:val="21"/>
                      <w:highlight w:val="none"/>
                    </w:rPr>
                    <w:t>nC</w:t>
                  </w:r>
                  <w:r>
                    <w:rPr>
                      <w:strike w:val="0"/>
                      <w:dstrike w:val="0"/>
                      <w:color w:val="auto"/>
                      <w:szCs w:val="21"/>
                      <w:highlight w:val="none"/>
                      <w:vertAlign w:val="subscript"/>
                    </w:rPr>
                    <w:t>4</w:t>
                  </w:r>
                  <w:r>
                    <w:rPr>
                      <w:strike w:val="0"/>
                      <w:dstrike w:val="0"/>
                      <w:color w:val="auto"/>
                      <w:szCs w:val="21"/>
                      <w:highlight w:val="none"/>
                    </w:rPr>
                    <w:t>H</w:t>
                  </w:r>
                  <w:r>
                    <w:rPr>
                      <w:strike w:val="0"/>
                      <w:dstrike w:val="0"/>
                      <w:color w:val="auto"/>
                      <w:szCs w:val="21"/>
                      <w:highlight w:val="none"/>
                      <w:vertAlign w:val="subscript"/>
                    </w:rPr>
                    <w:t>10</w:t>
                  </w:r>
                </w:p>
              </w:tc>
              <w:tc>
                <w:tcPr>
                  <w:tcW w:w="1899" w:type="dxa"/>
                  <w:vAlign w:val="center"/>
                </w:tcPr>
                <w:p w14:paraId="1C148840">
                  <w:pPr>
                    <w:jc w:val="center"/>
                    <w:rPr>
                      <w:strike w:val="0"/>
                      <w:dstrike w:val="0"/>
                      <w:color w:val="auto"/>
                      <w:szCs w:val="21"/>
                      <w:highlight w:val="none"/>
                    </w:rPr>
                  </w:pPr>
                  <w:r>
                    <w:rPr>
                      <w:strike w:val="0"/>
                      <w:dstrike w:val="0"/>
                      <w:color w:val="auto"/>
                      <w:szCs w:val="21"/>
                      <w:highlight w:val="none"/>
                    </w:rPr>
                    <w:t>0.014</w:t>
                  </w:r>
                </w:p>
              </w:tc>
              <w:tc>
                <w:tcPr>
                  <w:tcW w:w="1909" w:type="dxa"/>
                  <w:vAlign w:val="center"/>
                </w:tcPr>
                <w:p w14:paraId="1F5A8683">
                  <w:pPr>
                    <w:jc w:val="center"/>
                    <w:rPr>
                      <w:strike w:val="0"/>
                      <w:dstrike w:val="0"/>
                      <w:color w:val="auto"/>
                      <w:szCs w:val="21"/>
                      <w:highlight w:val="none"/>
                    </w:rPr>
                  </w:pPr>
                  <w:r>
                    <w:rPr>
                      <w:strike w:val="0"/>
                      <w:dstrike w:val="0"/>
                      <w:color w:val="auto"/>
                      <w:szCs w:val="21"/>
                      <w:highlight w:val="none"/>
                    </w:rPr>
                    <w:t>H</w:t>
                  </w:r>
                  <w:r>
                    <w:rPr>
                      <w:strike w:val="0"/>
                      <w:dstrike w:val="0"/>
                      <w:color w:val="auto"/>
                      <w:szCs w:val="21"/>
                      <w:highlight w:val="none"/>
                      <w:vertAlign w:val="subscript"/>
                    </w:rPr>
                    <w:t>2</w:t>
                  </w:r>
                  <w:r>
                    <w:rPr>
                      <w:strike w:val="0"/>
                      <w:dstrike w:val="0"/>
                      <w:color w:val="auto"/>
                      <w:szCs w:val="21"/>
                      <w:highlight w:val="none"/>
                    </w:rPr>
                    <w:t>S(mg/m</w:t>
                  </w:r>
                  <w:r>
                    <w:rPr>
                      <w:strike w:val="0"/>
                      <w:dstrike w:val="0"/>
                      <w:color w:val="auto"/>
                      <w:szCs w:val="21"/>
                      <w:highlight w:val="none"/>
                      <w:vertAlign w:val="superscript"/>
                    </w:rPr>
                    <w:t>3</w:t>
                  </w:r>
                  <w:r>
                    <w:rPr>
                      <w:strike w:val="0"/>
                      <w:dstrike w:val="0"/>
                      <w:color w:val="auto"/>
                      <w:szCs w:val="21"/>
                      <w:highlight w:val="none"/>
                    </w:rPr>
                    <w:t>)</w:t>
                  </w:r>
                </w:p>
              </w:tc>
              <w:tc>
                <w:tcPr>
                  <w:tcW w:w="1914" w:type="dxa"/>
                  <w:vAlign w:val="center"/>
                </w:tcPr>
                <w:p w14:paraId="76587A92">
                  <w:pPr>
                    <w:jc w:val="center"/>
                    <w:rPr>
                      <w:strike w:val="0"/>
                      <w:dstrike w:val="0"/>
                      <w:color w:val="auto"/>
                      <w:szCs w:val="21"/>
                      <w:highlight w:val="none"/>
                    </w:rPr>
                  </w:pPr>
                  <w:r>
                    <w:rPr>
                      <w:strike w:val="0"/>
                      <w:dstrike w:val="0"/>
                      <w:color w:val="auto"/>
                      <w:szCs w:val="21"/>
                      <w:highlight w:val="none"/>
                    </w:rPr>
                    <w:t>2.12</w:t>
                  </w:r>
                </w:p>
              </w:tc>
            </w:tr>
            <w:tr w14:paraId="08E4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458CD60B">
                  <w:pPr>
                    <w:jc w:val="center"/>
                    <w:rPr>
                      <w:strike w:val="0"/>
                      <w:dstrike w:val="0"/>
                      <w:color w:val="auto"/>
                      <w:szCs w:val="21"/>
                      <w:highlight w:val="none"/>
                    </w:rPr>
                  </w:pPr>
                  <w:r>
                    <w:rPr>
                      <w:strike w:val="0"/>
                      <w:dstrike w:val="0"/>
                      <w:color w:val="auto"/>
                      <w:szCs w:val="21"/>
                      <w:highlight w:val="none"/>
                    </w:rPr>
                    <w:t>iC</w:t>
                  </w:r>
                  <w:r>
                    <w:rPr>
                      <w:strike w:val="0"/>
                      <w:dstrike w:val="0"/>
                      <w:color w:val="auto"/>
                      <w:szCs w:val="21"/>
                      <w:highlight w:val="none"/>
                      <w:vertAlign w:val="subscript"/>
                    </w:rPr>
                    <w:t>5</w:t>
                  </w:r>
                  <w:r>
                    <w:rPr>
                      <w:strike w:val="0"/>
                      <w:dstrike w:val="0"/>
                      <w:color w:val="auto"/>
                      <w:szCs w:val="21"/>
                      <w:highlight w:val="none"/>
                    </w:rPr>
                    <w:t>H</w:t>
                  </w:r>
                  <w:r>
                    <w:rPr>
                      <w:strike w:val="0"/>
                      <w:dstrike w:val="0"/>
                      <w:color w:val="auto"/>
                      <w:szCs w:val="21"/>
                      <w:highlight w:val="none"/>
                      <w:vertAlign w:val="subscript"/>
                    </w:rPr>
                    <w:t>12</w:t>
                  </w:r>
                </w:p>
              </w:tc>
              <w:tc>
                <w:tcPr>
                  <w:tcW w:w="1899" w:type="dxa"/>
                  <w:vAlign w:val="center"/>
                </w:tcPr>
                <w:p w14:paraId="3D7251FE">
                  <w:pPr>
                    <w:jc w:val="center"/>
                    <w:rPr>
                      <w:strike w:val="0"/>
                      <w:dstrike w:val="0"/>
                      <w:color w:val="auto"/>
                      <w:szCs w:val="21"/>
                      <w:highlight w:val="none"/>
                    </w:rPr>
                  </w:pPr>
                  <w:r>
                    <w:rPr>
                      <w:strike w:val="0"/>
                      <w:dstrike w:val="0"/>
                      <w:color w:val="auto"/>
                      <w:szCs w:val="21"/>
                      <w:highlight w:val="none"/>
                    </w:rPr>
                    <w:t>0.008</w:t>
                  </w:r>
                </w:p>
              </w:tc>
              <w:tc>
                <w:tcPr>
                  <w:tcW w:w="1909" w:type="dxa"/>
                  <w:vAlign w:val="center"/>
                </w:tcPr>
                <w:p w14:paraId="508F3970">
                  <w:pPr>
                    <w:jc w:val="center"/>
                    <w:rPr>
                      <w:strike w:val="0"/>
                      <w:dstrike w:val="0"/>
                      <w:color w:val="auto"/>
                      <w:szCs w:val="21"/>
                      <w:highlight w:val="none"/>
                    </w:rPr>
                  </w:pPr>
                  <w:r>
                    <w:rPr>
                      <w:strike w:val="0"/>
                      <w:dstrike w:val="0"/>
                      <w:color w:val="auto"/>
                      <w:szCs w:val="21"/>
                      <w:highlight w:val="none"/>
                    </w:rPr>
                    <w:t>H</w:t>
                  </w:r>
                  <w:r>
                    <w:rPr>
                      <w:strike w:val="0"/>
                      <w:dstrike w:val="0"/>
                      <w:color w:val="auto"/>
                      <w:szCs w:val="21"/>
                      <w:highlight w:val="none"/>
                      <w:vertAlign w:val="subscript"/>
                    </w:rPr>
                    <w:t>2</w:t>
                  </w:r>
                  <w:r>
                    <w:rPr>
                      <w:strike w:val="0"/>
                      <w:dstrike w:val="0"/>
                      <w:color w:val="auto"/>
                      <w:szCs w:val="21"/>
                      <w:highlight w:val="none"/>
                    </w:rPr>
                    <w:t>O(ppm)</w:t>
                  </w:r>
                </w:p>
              </w:tc>
              <w:tc>
                <w:tcPr>
                  <w:tcW w:w="1914" w:type="dxa"/>
                  <w:vAlign w:val="center"/>
                </w:tcPr>
                <w:p w14:paraId="2F166D84">
                  <w:pPr>
                    <w:jc w:val="center"/>
                    <w:rPr>
                      <w:strike w:val="0"/>
                      <w:dstrike w:val="0"/>
                      <w:color w:val="auto"/>
                      <w:szCs w:val="21"/>
                      <w:highlight w:val="none"/>
                    </w:rPr>
                  </w:pPr>
                  <w:r>
                    <w:rPr>
                      <w:strike w:val="0"/>
                      <w:dstrike w:val="0"/>
                      <w:color w:val="auto"/>
                      <w:szCs w:val="21"/>
                      <w:highlight w:val="none"/>
                    </w:rPr>
                    <w:t>-2℃/4.50MPa</w:t>
                  </w:r>
                </w:p>
              </w:tc>
            </w:tr>
            <w:tr w14:paraId="5A2B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1AF9BADD">
                  <w:pPr>
                    <w:jc w:val="center"/>
                    <w:rPr>
                      <w:strike w:val="0"/>
                      <w:dstrike w:val="0"/>
                      <w:color w:val="auto"/>
                      <w:szCs w:val="21"/>
                      <w:highlight w:val="none"/>
                    </w:rPr>
                  </w:pPr>
                  <w:r>
                    <w:rPr>
                      <w:strike w:val="0"/>
                      <w:dstrike w:val="0"/>
                      <w:color w:val="auto"/>
                      <w:szCs w:val="21"/>
                      <w:highlight w:val="none"/>
                    </w:rPr>
                    <w:t>nC</w:t>
                  </w:r>
                  <w:r>
                    <w:rPr>
                      <w:strike w:val="0"/>
                      <w:dstrike w:val="0"/>
                      <w:color w:val="auto"/>
                      <w:szCs w:val="21"/>
                      <w:highlight w:val="none"/>
                      <w:vertAlign w:val="subscript"/>
                    </w:rPr>
                    <w:t>5</w:t>
                  </w:r>
                  <w:r>
                    <w:rPr>
                      <w:strike w:val="0"/>
                      <w:dstrike w:val="0"/>
                      <w:color w:val="auto"/>
                      <w:szCs w:val="21"/>
                      <w:highlight w:val="none"/>
                    </w:rPr>
                    <w:t>H</w:t>
                  </w:r>
                  <w:r>
                    <w:rPr>
                      <w:strike w:val="0"/>
                      <w:dstrike w:val="0"/>
                      <w:color w:val="auto"/>
                      <w:szCs w:val="21"/>
                      <w:highlight w:val="none"/>
                      <w:vertAlign w:val="subscript"/>
                    </w:rPr>
                    <w:t>12</w:t>
                  </w:r>
                </w:p>
              </w:tc>
              <w:tc>
                <w:tcPr>
                  <w:tcW w:w="1899" w:type="dxa"/>
                  <w:vAlign w:val="center"/>
                </w:tcPr>
                <w:p w14:paraId="31C4404E">
                  <w:pPr>
                    <w:jc w:val="center"/>
                    <w:rPr>
                      <w:strike w:val="0"/>
                      <w:dstrike w:val="0"/>
                      <w:color w:val="auto"/>
                      <w:szCs w:val="21"/>
                      <w:highlight w:val="none"/>
                    </w:rPr>
                  </w:pPr>
                  <w:r>
                    <w:rPr>
                      <w:strike w:val="0"/>
                      <w:dstrike w:val="0"/>
                      <w:color w:val="auto"/>
                      <w:szCs w:val="21"/>
                      <w:highlight w:val="none"/>
                    </w:rPr>
                    <w:t>0.009</w:t>
                  </w:r>
                </w:p>
              </w:tc>
              <w:tc>
                <w:tcPr>
                  <w:tcW w:w="1909" w:type="dxa"/>
                  <w:vAlign w:val="center"/>
                </w:tcPr>
                <w:p w14:paraId="79770A80">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w:t>
                  </w:r>
                </w:p>
              </w:tc>
              <w:tc>
                <w:tcPr>
                  <w:tcW w:w="1914" w:type="dxa"/>
                  <w:vAlign w:val="center"/>
                </w:tcPr>
                <w:p w14:paraId="20F86CC8">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w:t>
                  </w:r>
                </w:p>
              </w:tc>
            </w:tr>
            <w:tr w14:paraId="6481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09222A0B">
                  <w:pPr>
                    <w:jc w:val="center"/>
                    <w:rPr>
                      <w:strike w:val="0"/>
                      <w:dstrike w:val="0"/>
                      <w:color w:val="auto"/>
                      <w:szCs w:val="21"/>
                      <w:highlight w:val="none"/>
                    </w:rPr>
                  </w:pPr>
                  <w:r>
                    <w:rPr>
                      <w:strike w:val="0"/>
                      <w:dstrike w:val="0"/>
                      <w:color w:val="auto"/>
                      <w:szCs w:val="21"/>
                      <w:highlight w:val="none"/>
                    </w:rPr>
                    <w:t>总烃</w:t>
                  </w:r>
                </w:p>
              </w:tc>
              <w:tc>
                <w:tcPr>
                  <w:tcW w:w="1899" w:type="dxa"/>
                  <w:vAlign w:val="center"/>
                </w:tcPr>
                <w:p w14:paraId="7426911F">
                  <w:pPr>
                    <w:jc w:val="center"/>
                    <w:rPr>
                      <w:strike w:val="0"/>
                      <w:dstrike w:val="0"/>
                      <w:color w:val="auto"/>
                      <w:szCs w:val="21"/>
                      <w:highlight w:val="none"/>
                    </w:rPr>
                  </w:pPr>
                  <w:r>
                    <w:rPr>
                      <w:strike w:val="0"/>
                      <w:dstrike w:val="0"/>
                      <w:color w:val="auto"/>
                      <w:szCs w:val="21"/>
                      <w:highlight w:val="none"/>
                    </w:rPr>
                    <w:t>96.935</w:t>
                  </w:r>
                </w:p>
              </w:tc>
              <w:tc>
                <w:tcPr>
                  <w:tcW w:w="1909" w:type="dxa"/>
                  <w:vAlign w:val="center"/>
                </w:tcPr>
                <w:p w14:paraId="242A0459">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w:t>
                  </w:r>
                </w:p>
              </w:tc>
              <w:tc>
                <w:tcPr>
                  <w:tcW w:w="1914" w:type="dxa"/>
                  <w:vAlign w:val="center"/>
                </w:tcPr>
                <w:p w14:paraId="4663A1D1">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w:t>
                  </w:r>
                </w:p>
              </w:tc>
            </w:tr>
            <w:tr w14:paraId="2357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00A0923B">
                  <w:pPr>
                    <w:jc w:val="center"/>
                    <w:rPr>
                      <w:strike w:val="0"/>
                      <w:dstrike w:val="0"/>
                      <w:color w:val="auto"/>
                      <w:szCs w:val="21"/>
                      <w:highlight w:val="none"/>
                    </w:rPr>
                  </w:pPr>
                  <w:r>
                    <w:rPr>
                      <w:strike w:val="0"/>
                      <w:dstrike w:val="0"/>
                      <w:color w:val="auto"/>
                      <w:szCs w:val="21"/>
                      <w:highlight w:val="none"/>
                    </w:rPr>
                    <w:t>比重</w:t>
                  </w:r>
                </w:p>
              </w:tc>
              <w:tc>
                <w:tcPr>
                  <w:tcW w:w="1899" w:type="dxa"/>
                  <w:vAlign w:val="center"/>
                </w:tcPr>
                <w:p w14:paraId="024DD363">
                  <w:pPr>
                    <w:jc w:val="center"/>
                    <w:rPr>
                      <w:strike w:val="0"/>
                      <w:dstrike w:val="0"/>
                      <w:color w:val="auto"/>
                      <w:szCs w:val="21"/>
                      <w:highlight w:val="none"/>
                    </w:rPr>
                  </w:pPr>
                  <w:r>
                    <w:rPr>
                      <w:strike w:val="0"/>
                      <w:dstrike w:val="0"/>
                      <w:color w:val="auto"/>
                      <w:szCs w:val="21"/>
                      <w:highlight w:val="none"/>
                    </w:rPr>
                    <w:t>0.5889</w:t>
                  </w:r>
                </w:p>
              </w:tc>
              <w:tc>
                <w:tcPr>
                  <w:tcW w:w="1909" w:type="dxa"/>
                  <w:vAlign w:val="center"/>
                </w:tcPr>
                <w:p w14:paraId="7411CC5D">
                  <w:pPr>
                    <w:jc w:val="center"/>
                    <w:rPr>
                      <w:strike w:val="0"/>
                      <w:dstrike w:val="0"/>
                      <w:color w:val="auto"/>
                      <w:szCs w:val="21"/>
                      <w:highlight w:val="none"/>
                    </w:rPr>
                  </w:pPr>
                  <w:r>
                    <w:rPr>
                      <w:strike w:val="0"/>
                      <w:dstrike w:val="0"/>
                      <w:color w:val="auto"/>
                      <w:szCs w:val="21"/>
                      <w:highlight w:val="none"/>
                    </w:rPr>
                    <w:t>密度（g/l）</w:t>
                  </w:r>
                </w:p>
              </w:tc>
              <w:tc>
                <w:tcPr>
                  <w:tcW w:w="1914" w:type="dxa"/>
                  <w:vAlign w:val="center"/>
                </w:tcPr>
                <w:p w14:paraId="2B050738">
                  <w:pPr>
                    <w:jc w:val="center"/>
                    <w:rPr>
                      <w:strike w:val="0"/>
                      <w:dstrike w:val="0"/>
                      <w:color w:val="auto"/>
                      <w:szCs w:val="21"/>
                      <w:highlight w:val="none"/>
                    </w:rPr>
                  </w:pPr>
                  <w:r>
                    <w:rPr>
                      <w:strike w:val="0"/>
                      <w:dstrike w:val="0"/>
                      <w:color w:val="auto"/>
                      <w:szCs w:val="21"/>
                      <w:highlight w:val="none"/>
                    </w:rPr>
                    <w:t>0.7091</w:t>
                  </w:r>
                </w:p>
              </w:tc>
            </w:tr>
            <w:tr w14:paraId="330B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96" w:type="dxa"/>
                  <w:vAlign w:val="center"/>
                </w:tcPr>
                <w:p w14:paraId="45CD6E6C">
                  <w:pPr>
                    <w:jc w:val="center"/>
                    <w:rPr>
                      <w:strike w:val="0"/>
                      <w:dstrike w:val="0"/>
                      <w:color w:val="auto"/>
                      <w:szCs w:val="21"/>
                      <w:highlight w:val="none"/>
                    </w:rPr>
                  </w:pPr>
                  <w:r>
                    <w:rPr>
                      <w:strike w:val="0"/>
                      <w:dstrike w:val="0"/>
                      <w:color w:val="auto"/>
                      <w:szCs w:val="21"/>
                      <w:highlight w:val="none"/>
                    </w:rPr>
                    <w:t>临界温度（k）</w:t>
                  </w:r>
                </w:p>
              </w:tc>
              <w:tc>
                <w:tcPr>
                  <w:tcW w:w="1899" w:type="dxa"/>
                  <w:vAlign w:val="center"/>
                </w:tcPr>
                <w:p w14:paraId="2DB16FA6">
                  <w:pPr>
                    <w:jc w:val="center"/>
                    <w:rPr>
                      <w:strike w:val="0"/>
                      <w:dstrike w:val="0"/>
                      <w:color w:val="auto"/>
                      <w:szCs w:val="21"/>
                      <w:highlight w:val="none"/>
                    </w:rPr>
                  </w:pPr>
                  <w:r>
                    <w:rPr>
                      <w:strike w:val="0"/>
                      <w:dstrike w:val="0"/>
                      <w:color w:val="auto"/>
                      <w:szCs w:val="21"/>
                      <w:highlight w:val="none"/>
                    </w:rPr>
                    <w:t>197.199</w:t>
                  </w:r>
                </w:p>
              </w:tc>
              <w:tc>
                <w:tcPr>
                  <w:tcW w:w="1909" w:type="dxa"/>
                  <w:vAlign w:val="center"/>
                </w:tcPr>
                <w:p w14:paraId="2B86D51C">
                  <w:pPr>
                    <w:jc w:val="center"/>
                    <w:rPr>
                      <w:strike w:val="0"/>
                      <w:dstrike w:val="0"/>
                      <w:color w:val="auto"/>
                      <w:szCs w:val="21"/>
                      <w:highlight w:val="none"/>
                    </w:rPr>
                  </w:pPr>
                  <w:r>
                    <w:rPr>
                      <w:strike w:val="0"/>
                      <w:dstrike w:val="0"/>
                      <w:color w:val="auto"/>
                      <w:szCs w:val="21"/>
                      <w:highlight w:val="none"/>
                    </w:rPr>
                    <w:t>临界压力（MPa）</w:t>
                  </w:r>
                </w:p>
              </w:tc>
              <w:tc>
                <w:tcPr>
                  <w:tcW w:w="1914" w:type="dxa"/>
                  <w:vAlign w:val="center"/>
                </w:tcPr>
                <w:p w14:paraId="22C6D476">
                  <w:pPr>
                    <w:jc w:val="center"/>
                    <w:rPr>
                      <w:strike w:val="0"/>
                      <w:dstrike w:val="0"/>
                      <w:color w:val="auto"/>
                      <w:szCs w:val="21"/>
                      <w:highlight w:val="none"/>
                    </w:rPr>
                  </w:pPr>
                  <w:r>
                    <w:rPr>
                      <w:strike w:val="0"/>
                      <w:dstrike w:val="0"/>
                      <w:color w:val="auto"/>
                      <w:szCs w:val="21"/>
                      <w:highlight w:val="none"/>
                    </w:rPr>
                    <w:t>4.734</w:t>
                  </w:r>
                </w:p>
              </w:tc>
            </w:tr>
            <w:tr w14:paraId="24D9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95" w:type="dxa"/>
                  <w:gridSpan w:val="2"/>
                  <w:vAlign w:val="center"/>
                </w:tcPr>
                <w:p w14:paraId="5297C4A6">
                  <w:pPr>
                    <w:jc w:val="center"/>
                    <w:rPr>
                      <w:strike w:val="0"/>
                      <w:dstrike w:val="0"/>
                      <w:color w:val="auto"/>
                      <w:szCs w:val="21"/>
                      <w:highlight w:val="none"/>
                    </w:rPr>
                  </w:pPr>
                  <w:r>
                    <w:rPr>
                      <w:strike w:val="0"/>
                      <w:dstrike w:val="0"/>
                      <w:color w:val="auto"/>
                      <w:szCs w:val="21"/>
                      <w:highlight w:val="none"/>
                    </w:rPr>
                    <w:t>高位热值（KJ/m</w:t>
                  </w:r>
                  <w:r>
                    <w:rPr>
                      <w:strike w:val="0"/>
                      <w:dstrike w:val="0"/>
                      <w:color w:val="auto"/>
                      <w:szCs w:val="21"/>
                      <w:highlight w:val="none"/>
                      <w:vertAlign w:val="superscript"/>
                    </w:rPr>
                    <w:t>3</w:t>
                  </w:r>
                  <w:r>
                    <w:rPr>
                      <w:strike w:val="0"/>
                      <w:dstrike w:val="0"/>
                      <w:color w:val="auto"/>
                      <w:szCs w:val="21"/>
                      <w:highlight w:val="none"/>
                    </w:rPr>
                    <w:t>）</w:t>
                  </w:r>
                </w:p>
              </w:tc>
              <w:tc>
                <w:tcPr>
                  <w:tcW w:w="3823" w:type="dxa"/>
                  <w:gridSpan w:val="2"/>
                  <w:vAlign w:val="center"/>
                </w:tcPr>
                <w:p w14:paraId="00B1B105">
                  <w:pPr>
                    <w:jc w:val="center"/>
                    <w:rPr>
                      <w:strike w:val="0"/>
                      <w:dstrike w:val="0"/>
                      <w:color w:val="auto"/>
                      <w:szCs w:val="21"/>
                      <w:highlight w:val="none"/>
                    </w:rPr>
                  </w:pPr>
                  <w:r>
                    <w:rPr>
                      <w:strike w:val="0"/>
                      <w:dstrike w:val="0"/>
                      <w:color w:val="auto"/>
                      <w:szCs w:val="21"/>
                      <w:highlight w:val="none"/>
                    </w:rPr>
                    <w:t>36156.66</w:t>
                  </w:r>
                </w:p>
              </w:tc>
            </w:tr>
            <w:tr w14:paraId="0D11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95" w:type="dxa"/>
                  <w:gridSpan w:val="2"/>
                  <w:vAlign w:val="center"/>
                </w:tcPr>
                <w:p w14:paraId="55C5EFE4">
                  <w:pPr>
                    <w:jc w:val="center"/>
                    <w:rPr>
                      <w:strike w:val="0"/>
                      <w:dstrike w:val="0"/>
                      <w:color w:val="auto"/>
                      <w:szCs w:val="21"/>
                      <w:highlight w:val="none"/>
                    </w:rPr>
                  </w:pPr>
                  <w:r>
                    <w:rPr>
                      <w:strike w:val="0"/>
                      <w:dstrike w:val="0"/>
                      <w:color w:val="auto"/>
                      <w:szCs w:val="21"/>
                      <w:highlight w:val="none"/>
                    </w:rPr>
                    <w:t>低位热值（KJ/m</w:t>
                  </w:r>
                  <w:r>
                    <w:rPr>
                      <w:strike w:val="0"/>
                      <w:dstrike w:val="0"/>
                      <w:color w:val="auto"/>
                      <w:szCs w:val="21"/>
                      <w:highlight w:val="none"/>
                      <w:vertAlign w:val="superscript"/>
                    </w:rPr>
                    <w:t>3</w:t>
                  </w:r>
                  <w:r>
                    <w:rPr>
                      <w:strike w:val="0"/>
                      <w:dstrike w:val="0"/>
                      <w:color w:val="auto"/>
                      <w:szCs w:val="21"/>
                      <w:highlight w:val="none"/>
                    </w:rPr>
                    <w:t>）</w:t>
                  </w:r>
                </w:p>
              </w:tc>
              <w:tc>
                <w:tcPr>
                  <w:tcW w:w="3823" w:type="dxa"/>
                  <w:gridSpan w:val="2"/>
                  <w:vAlign w:val="center"/>
                </w:tcPr>
                <w:p w14:paraId="49049F8A">
                  <w:pPr>
                    <w:jc w:val="center"/>
                    <w:rPr>
                      <w:strike w:val="0"/>
                      <w:dstrike w:val="0"/>
                      <w:color w:val="auto"/>
                      <w:szCs w:val="21"/>
                      <w:highlight w:val="none"/>
                    </w:rPr>
                  </w:pPr>
                  <w:r>
                    <w:rPr>
                      <w:strike w:val="0"/>
                      <w:dstrike w:val="0"/>
                      <w:color w:val="auto"/>
                      <w:szCs w:val="21"/>
                      <w:highlight w:val="none"/>
                    </w:rPr>
                    <w:t>32577.48</w:t>
                  </w:r>
                </w:p>
              </w:tc>
            </w:tr>
            <w:tr w14:paraId="78EE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618" w:type="dxa"/>
                  <w:gridSpan w:val="4"/>
                  <w:vAlign w:val="center"/>
                </w:tcPr>
                <w:p w14:paraId="3CC36495">
                  <w:pPr>
                    <w:rPr>
                      <w:strike w:val="0"/>
                      <w:dstrike w:val="0"/>
                      <w:color w:val="auto"/>
                      <w:szCs w:val="21"/>
                      <w:highlight w:val="none"/>
                    </w:rPr>
                  </w:pPr>
                  <w:r>
                    <w:rPr>
                      <w:strike w:val="0"/>
                      <w:dstrike w:val="0"/>
                      <w:color w:val="auto"/>
                      <w:szCs w:val="21"/>
                      <w:highlight w:val="none"/>
                    </w:rPr>
                    <w:t>注：分析计量参数采用101.325KPa，293.15K；</w:t>
                  </w:r>
                </w:p>
                <w:p w14:paraId="77ED5890">
                  <w:pPr>
                    <w:rPr>
                      <w:strike w:val="0"/>
                      <w:dstrike w:val="0"/>
                      <w:color w:val="auto"/>
                      <w:szCs w:val="21"/>
                      <w:highlight w:val="none"/>
                    </w:rPr>
                  </w:pPr>
                  <w:r>
                    <w:rPr>
                      <w:strike w:val="0"/>
                      <w:dstrike w:val="0"/>
                      <w:color w:val="auto"/>
                      <w:szCs w:val="21"/>
                      <w:highlight w:val="none"/>
                    </w:rPr>
                    <w:t>天然气组分分析依据GB/T13610-2003；</w:t>
                  </w:r>
                </w:p>
                <w:p w14:paraId="42F40186">
                  <w:pPr>
                    <w:rPr>
                      <w:strike w:val="0"/>
                      <w:dstrike w:val="0"/>
                      <w:color w:val="auto"/>
                      <w:szCs w:val="21"/>
                      <w:highlight w:val="none"/>
                    </w:rPr>
                  </w:pPr>
                  <w:r>
                    <w:rPr>
                      <w:strike w:val="0"/>
                      <w:dstrike w:val="0"/>
                      <w:color w:val="auto"/>
                      <w:szCs w:val="21"/>
                      <w:highlight w:val="none"/>
                    </w:rPr>
                    <w:t>硫化氢（H</w:t>
                  </w:r>
                  <w:r>
                    <w:rPr>
                      <w:strike w:val="0"/>
                      <w:dstrike w:val="0"/>
                      <w:color w:val="auto"/>
                      <w:szCs w:val="21"/>
                      <w:highlight w:val="none"/>
                      <w:vertAlign w:val="subscript"/>
                    </w:rPr>
                    <w:t>2</w:t>
                  </w:r>
                  <w:r>
                    <w:rPr>
                      <w:strike w:val="0"/>
                      <w:dstrike w:val="0"/>
                      <w:color w:val="auto"/>
                      <w:szCs w:val="21"/>
                      <w:highlight w:val="none"/>
                    </w:rPr>
                    <w:t>S）为现场碘量分析数据GB/T11060.1-1998；</w:t>
                  </w:r>
                </w:p>
                <w:p w14:paraId="24512A8C">
                  <w:pPr>
                    <w:rPr>
                      <w:strike w:val="0"/>
                      <w:dstrike w:val="0"/>
                      <w:color w:val="auto"/>
                      <w:szCs w:val="21"/>
                      <w:highlight w:val="none"/>
                    </w:rPr>
                  </w:pPr>
                  <w:r>
                    <w:rPr>
                      <w:strike w:val="0"/>
                      <w:dstrike w:val="0"/>
                      <w:color w:val="auto"/>
                      <w:szCs w:val="21"/>
                      <w:highlight w:val="none"/>
                    </w:rPr>
                    <w:t>水含量测定采用现场电解法分析SY/T7507-97</w:t>
                  </w:r>
                </w:p>
              </w:tc>
            </w:tr>
          </w:tbl>
          <w:p w14:paraId="07C99873">
            <w:pPr>
              <w:pStyle w:val="11"/>
              <w:adjustRightInd w:val="0"/>
              <w:snapToGrid w:val="0"/>
              <w:spacing w:before="156" w:beforeLines="50" w:line="360" w:lineRule="auto"/>
              <w:rPr>
                <w:rFonts w:ascii="Times New Roman" w:hAnsi="Times New Roman"/>
                <w:b/>
                <w:bCs/>
                <w:strike w:val="0"/>
                <w:dstrike w:val="0"/>
                <w:color w:val="auto"/>
                <w:sz w:val="24"/>
                <w:highlight w:val="none"/>
              </w:rPr>
            </w:pPr>
            <w:r>
              <w:rPr>
                <w:rFonts w:ascii="Times New Roman" w:hAnsi="Times New Roman"/>
                <w:b/>
                <w:bCs/>
                <w:strike w:val="0"/>
                <w:dstrike w:val="0"/>
                <w:color w:val="auto"/>
                <w:sz w:val="24"/>
                <w:highlight w:val="none"/>
              </w:rPr>
              <w:t xml:space="preserve">2.1.8 </w:t>
            </w:r>
            <w:r>
              <w:rPr>
                <w:rFonts w:hint="eastAsia" w:ascii="Times New Roman" w:hAnsi="Times New Roman"/>
                <w:b/>
                <w:bCs/>
                <w:strike w:val="0"/>
                <w:dstrike w:val="0"/>
                <w:color w:val="auto"/>
                <w:sz w:val="24"/>
                <w:highlight w:val="none"/>
                <w:lang w:val="en-US" w:eastAsia="zh-CN"/>
              </w:rPr>
              <w:t>给排水及</w:t>
            </w:r>
            <w:r>
              <w:rPr>
                <w:rFonts w:ascii="Times New Roman" w:hAnsi="Times New Roman"/>
                <w:b/>
                <w:bCs/>
                <w:strike w:val="0"/>
                <w:dstrike w:val="0"/>
                <w:color w:val="auto"/>
                <w:sz w:val="24"/>
                <w:highlight w:val="none"/>
              </w:rPr>
              <w:t>水平衡</w:t>
            </w:r>
          </w:p>
          <w:p w14:paraId="40147C42">
            <w:pPr>
              <w:spacing w:line="360" w:lineRule="auto"/>
              <w:ind w:firstLine="480" w:firstLineChars="200"/>
              <w:jc w:val="left"/>
              <w:rPr>
                <w:strike w:val="0"/>
                <w:dstrike w:val="0"/>
                <w:color w:val="auto"/>
                <w:sz w:val="24"/>
                <w:highlight w:val="none"/>
              </w:rPr>
            </w:pPr>
            <w:r>
              <w:rPr>
                <w:strike w:val="0"/>
                <w:dstrike w:val="0"/>
                <w:color w:val="auto"/>
                <w:sz w:val="24"/>
                <w:highlight w:val="none"/>
              </w:rPr>
              <w:t>本项目运营期用水主要包括员工生活用水、过往驾乘人员生活用水及场地冲洗用水、绿化用水等。场地冲洗1周1次。本项目劳动定员</w:t>
            </w:r>
            <w:r>
              <w:rPr>
                <w:bCs/>
                <w:strike w:val="0"/>
                <w:dstrike w:val="0"/>
                <w:color w:val="auto"/>
                <w:sz w:val="24"/>
                <w:highlight w:val="none"/>
              </w:rPr>
              <w:t>12人</w:t>
            </w:r>
            <w:r>
              <w:rPr>
                <w:strike w:val="0"/>
                <w:dstrike w:val="0"/>
                <w:color w:val="auto"/>
                <w:sz w:val="24"/>
                <w:highlight w:val="none"/>
              </w:rPr>
              <w:t>。</w:t>
            </w:r>
          </w:p>
          <w:p w14:paraId="59C73A35">
            <w:pPr>
              <w:spacing w:line="360" w:lineRule="auto"/>
              <w:ind w:firstLine="480" w:firstLineChars="200"/>
              <w:jc w:val="left"/>
              <w:rPr>
                <w:strike w:val="0"/>
                <w:dstrike w:val="0"/>
                <w:color w:val="auto"/>
                <w:sz w:val="24"/>
                <w:highlight w:val="none"/>
              </w:rPr>
            </w:pPr>
            <w:r>
              <w:rPr>
                <w:strike w:val="0"/>
                <w:dstrike w:val="0"/>
                <w:color w:val="auto"/>
                <w:sz w:val="24"/>
                <w:highlight w:val="none"/>
              </w:rPr>
              <w:t>①员工生活用水</w:t>
            </w:r>
          </w:p>
          <w:p w14:paraId="27FF6FDE">
            <w:pPr>
              <w:spacing w:line="360" w:lineRule="auto"/>
              <w:ind w:firstLine="480" w:firstLineChars="200"/>
              <w:jc w:val="left"/>
              <w:rPr>
                <w:strike w:val="0"/>
                <w:dstrike w:val="0"/>
                <w:color w:val="auto"/>
                <w:sz w:val="24"/>
                <w:highlight w:val="none"/>
              </w:rPr>
            </w:pPr>
            <w:r>
              <w:rPr>
                <w:strike w:val="0"/>
                <w:dstrike w:val="0"/>
                <w:color w:val="auto"/>
                <w:sz w:val="24"/>
                <w:highlight w:val="none"/>
              </w:rPr>
              <w:t>本项目员工12人，年工作365天。根据《建筑给水排水设计规范》（GB50015-2019），员工生活用水量按100L/人·d计（不设食宿）。经核算，生活用水总量为1.2m</w:t>
            </w:r>
            <w:r>
              <w:rPr>
                <w:strike w:val="0"/>
                <w:dstrike w:val="0"/>
                <w:color w:val="auto"/>
                <w:sz w:val="24"/>
                <w:highlight w:val="none"/>
                <w:vertAlign w:val="superscript"/>
              </w:rPr>
              <w:t>3</w:t>
            </w:r>
            <w:r>
              <w:rPr>
                <w:strike w:val="0"/>
                <w:dstrike w:val="0"/>
                <w:color w:val="auto"/>
                <w:sz w:val="24"/>
                <w:highlight w:val="none"/>
              </w:rPr>
              <w:t>/d（438m</w:t>
            </w:r>
            <w:r>
              <w:rPr>
                <w:strike w:val="0"/>
                <w:dstrike w:val="0"/>
                <w:color w:val="auto"/>
                <w:sz w:val="24"/>
                <w:highlight w:val="none"/>
                <w:vertAlign w:val="superscript"/>
              </w:rPr>
              <w:t>3</w:t>
            </w:r>
            <w:r>
              <w:rPr>
                <w:strike w:val="0"/>
                <w:dstrike w:val="0"/>
                <w:color w:val="auto"/>
                <w:sz w:val="24"/>
                <w:highlight w:val="none"/>
              </w:rPr>
              <w:t>/a），折污系数取0.9，生活污水排放量为1.08m</w:t>
            </w:r>
            <w:r>
              <w:rPr>
                <w:strike w:val="0"/>
                <w:dstrike w:val="0"/>
                <w:color w:val="auto"/>
                <w:sz w:val="24"/>
                <w:highlight w:val="none"/>
                <w:vertAlign w:val="superscript"/>
              </w:rPr>
              <w:t>3</w:t>
            </w:r>
            <w:r>
              <w:rPr>
                <w:strike w:val="0"/>
                <w:dstrike w:val="0"/>
                <w:color w:val="auto"/>
                <w:sz w:val="24"/>
                <w:highlight w:val="none"/>
              </w:rPr>
              <w:t>/d（394.2m</w:t>
            </w:r>
            <w:r>
              <w:rPr>
                <w:strike w:val="0"/>
                <w:dstrike w:val="0"/>
                <w:color w:val="auto"/>
                <w:sz w:val="24"/>
                <w:highlight w:val="none"/>
                <w:vertAlign w:val="superscript"/>
              </w:rPr>
              <w:t>3</w:t>
            </w:r>
            <w:r>
              <w:rPr>
                <w:strike w:val="0"/>
                <w:dstrike w:val="0"/>
                <w:color w:val="auto"/>
                <w:sz w:val="24"/>
                <w:highlight w:val="none"/>
              </w:rPr>
              <w:t>/a）。</w:t>
            </w:r>
          </w:p>
          <w:p w14:paraId="45C48030">
            <w:pPr>
              <w:spacing w:line="360" w:lineRule="auto"/>
              <w:ind w:firstLine="480" w:firstLineChars="200"/>
              <w:jc w:val="left"/>
              <w:rPr>
                <w:strike w:val="0"/>
                <w:dstrike w:val="0"/>
                <w:color w:val="auto"/>
                <w:sz w:val="24"/>
                <w:highlight w:val="none"/>
              </w:rPr>
            </w:pPr>
            <w:r>
              <w:rPr>
                <w:strike w:val="0"/>
                <w:dstrike w:val="0"/>
                <w:color w:val="auto"/>
                <w:sz w:val="24"/>
                <w:highlight w:val="none"/>
              </w:rPr>
              <w:t>②过往驾乘人员生活用水</w:t>
            </w:r>
          </w:p>
          <w:p w14:paraId="353D1196">
            <w:pPr>
              <w:spacing w:line="360" w:lineRule="auto"/>
              <w:ind w:firstLine="480" w:firstLineChars="200"/>
              <w:jc w:val="left"/>
              <w:rPr>
                <w:strike w:val="0"/>
                <w:dstrike w:val="0"/>
                <w:color w:val="auto"/>
                <w:sz w:val="24"/>
                <w:highlight w:val="none"/>
              </w:rPr>
            </w:pPr>
            <w:r>
              <w:rPr>
                <w:strike w:val="0"/>
                <w:dstrike w:val="0"/>
                <w:color w:val="auto"/>
                <w:sz w:val="24"/>
                <w:highlight w:val="none"/>
              </w:rPr>
              <w:t>根据《建筑给排水设计规范》（GB50015-2019）及《重庆市第二三产业用水定额（2020年版）》（渝水〔2021〕56号）规范要求核定用水量。加油站</w:t>
            </w:r>
            <w:r>
              <w:rPr>
                <w:rFonts w:hint="eastAsia"/>
                <w:strike w:val="0"/>
                <w:dstrike w:val="0"/>
                <w:color w:val="auto"/>
                <w:sz w:val="24"/>
                <w:highlight w:val="none"/>
                <w:lang w:val="en-US" w:eastAsia="zh-CN"/>
              </w:rPr>
              <w:t>来往</w:t>
            </w:r>
            <w:r>
              <w:rPr>
                <w:strike w:val="0"/>
                <w:dstrike w:val="0"/>
                <w:color w:val="auto"/>
                <w:sz w:val="24"/>
                <w:highlight w:val="none"/>
              </w:rPr>
              <w:t>人员</w:t>
            </w:r>
            <w:bookmarkStart w:id="66" w:name="OLE_LINK75"/>
            <w:r>
              <w:rPr>
                <w:strike w:val="0"/>
                <w:dstrike w:val="0"/>
                <w:color w:val="auto"/>
                <w:sz w:val="24"/>
                <w:highlight w:val="none"/>
              </w:rPr>
              <w:t>按</w:t>
            </w:r>
            <w:r>
              <w:rPr>
                <w:rFonts w:hint="eastAsia"/>
                <w:strike w:val="0"/>
                <w:dstrike w:val="0"/>
                <w:color w:val="auto"/>
                <w:sz w:val="24"/>
                <w:highlight w:val="none"/>
                <w:lang w:val="en-US" w:eastAsia="zh-CN"/>
              </w:rPr>
              <w:t>5</w:t>
            </w:r>
            <w:r>
              <w:rPr>
                <w:strike w:val="0"/>
                <w:dstrike w:val="0"/>
                <w:color w:val="auto"/>
                <w:sz w:val="24"/>
                <w:highlight w:val="none"/>
              </w:rPr>
              <w:t>00人/d计，其</w:t>
            </w:r>
            <w:bookmarkEnd w:id="66"/>
            <w:r>
              <w:rPr>
                <w:strike w:val="0"/>
                <w:dstrike w:val="0"/>
                <w:color w:val="auto"/>
                <w:sz w:val="24"/>
                <w:highlight w:val="none"/>
              </w:rPr>
              <w:t>用水量按5L/人·次计，则用水量为</w:t>
            </w:r>
            <w:r>
              <w:rPr>
                <w:rFonts w:hint="eastAsia"/>
                <w:strike w:val="0"/>
                <w:dstrike w:val="0"/>
                <w:color w:val="auto"/>
                <w:sz w:val="24"/>
                <w:highlight w:val="none"/>
                <w:lang w:val="en-US" w:eastAsia="zh-CN"/>
              </w:rPr>
              <w:t>2</w:t>
            </w:r>
            <w:r>
              <w:rPr>
                <w:strike w:val="0"/>
                <w:dstrike w:val="0"/>
                <w:color w:val="auto"/>
                <w:sz w:val="24"/>
                <w:highlight w:val="none"/>
              </w:rPr>
              <w:t>.5m</w:t>
            </w:r>
            <w:r>
              <w:rPr>
                <w:strike w:val="0"/>
                <w:dstrike w:val="0"/>
                <w:color w:val="auto"/>
                <w:sz w:val="24"/>
                <w:highlight w:val="none"/>
                <w:vertAlign w:val="superscript"/>
              </w:rPr>
              <w:t>3</w:t>
            </w:r>
            <w:r>
              <w:rPr>
                <w:strike w:val="0"/>
                <w:dstrike w:val="0"/>
                <w:color w:val="auto"/>
                <w:sz w:val="24"/>
                <w:highlight w:val="none"/>
              </w:rPr>
              <w:t>/d（</w:t>
            </w:r>
            <w:r>
              <w:rPr>
                <w:rFonts w:hint="eastAsia"/>
                <w:strike w:val="0"/>
                <w:dstrike w:val="0"/>
                <w:color w:val="auto"/>
                <w:sz w:val="24"/>
                <w:highlight w:val="none"/>
                <w:lang w:val="en-US" w:eastAsia="zh-CN"/>
              </w:rPr>
              <w:t>912.5</w:t>
            </w:r>
            <w:r>
              <w:rPr>
                <w:strike w:val="0"/>
                <w:dstrike w:val="0"/>
                <w:color w:val="auto"/>
                <w:sz w:val="24"/>
                <w:highlight w:val="none"/>
              </w:rPr>
              <w:t>m</w:t>
            </w:r>
            <w:r>
              <w:rPr>
                <w:strike w:val="0"/>
                <w:dstrike w:val="0"/>
                <w:color w:val="auto"/>
                <w:sz w:val="24"/>
                <w:highlight w:val="none"/>
                <w:vertAlign w:val="superscript"/>
              </w:rPr>
              <w:t>3</w:t>
            </w:r>
            <w:r>
              <w:rPr>
                <w:strike w:val="0"/>
                <w:dstrike w:val="0"/>
                <w:color w:val="auto"/>
                <w:sz w:val="24"/>
                <w:highlight w:val="none"/>
              </w:rPr>
              <w:t>/a）；折污系数取0.9，过往驾乘人员生活废水排放量为</w:t>
            </w:r>
            <w:r>
              <w:rPr>
                <w:rFonts w:hint="eastAsia"/>
                <w:strike w:val="0"/>
                <w:dstrike w:val="0"/>
                <w:color w:val="auto"/>
                <w:sz w:val="24"/>
                <w:highlight w:val="none"/>
                <w:lang w:val="en-US" w:eastAsia="zh-CN"/>
              </w:rPr>
              <w:t>2.25</w:t>
            </w:r>
            <w:r>
              <w:rPr>
                <w:strike w:val="0"/>
                <w:dstrike w:val="0"/>
                <w:color w:val="auto"/>
                <w:sz w:val="24"/>
                <w:highlight w:val="none"/>
              </w:rPr>
              <w:t>m</w:t>
            </w:r>
            <w:r>
              <w:rPr>
                <w:strike w:val="0"/>
                <w:dstrike w:val="0"/>
                <w:color w:val="auto"/>
                <w:sz w:val="24"/>
                <w:highlight w:val="none"/>
                <w:vertAlign w:val="superscript"/>
              </w:rPr>
              <w:t>3</w:t>
            </w:r>
            <w:r>
              <w:rPr>
                <w:strike w:val="0"/>
                <w:dstrike w:val="0"/>
                <w:color w:val="auto"/>
                <w:sz w:val="24"/>
                <w:highlight w:val="none"/>
              </w:rPr>
              <w:t>/d（</w:t>
            </w:r>
            <w:r>
              <w:rPr>
                <w:rFonts w:hint="eastAsia"/>
                <w:strike w:val="0"/>
                <w:dstrike w:val="0"/>
                <w:color w:val="auto"/>
                <w:sz w:val="24"/>
                <w:highlight w:val="none"/>
                <w:lang w:val="en-US" w:eastAsia="zh-CN"/>
              </w:rPr>
              <w:t>821.25</w:t>
            </w:r>
            <w:r>
              <w:rPr>
                <w:strike w:val="0"/>
                <w:dstrike w:val="0"/>
                <w:color w:val="auto"/>
                <w:sz w:val="24"/>
                <w:highlight w:val="none"/>
              </w:rPr>
              <w:t>m</w:t>
            </w:r>
            <w:r>
              <w:rPr>
                <w:strike w:val="0"/>
                <w:dstrike w:val="0"/>
                <w:color w:val="auto"/>
                <w:sz w:val="24"/>
                <w:highlight w:val="none"/>
                <w:vertAlign w:val="superscript"/>
              </w:rPr>
              <w:t>3</w:t>
            </w:r>
            <w:r>
              <w:rPr>
                <w:strike w:val="0"/>
                <w:dstrike w:val="0"/>
                <w:color w:val="auto"/>
                <w:sz w:val="24"/>
                <w:highlight w:val="none"/>
              </w:rPr>
              <w:t>/a）。生活用水含厕所用水，不单独核算。</w:t>
            </w:r>
          </w:p>
          <w:p w14:paraId="321E38F8">
            <w:pPr>
              <w:spacing w:line="360" w:lineRule="auto"/>
              <w:ind w:firstLine="480" w:firstLineChars="200"/>
              <w:jc w:val="left"/>
              <w:rPr>
                <w:strike w:val="0"/>
                <w:dstrike w:val="0"/>
                <w:color w:val="auto"/>
                <w:sz w:val="24"/>
                <w:highlight w:val="none"/>
              </w:rPr>
            </w:pPr>
            <w:r>
              <w:rPr>
                <w:strike w:val="0"/>
                <w:dstrike w:val="0"/>
                <w:color w:val="auto"/>
                <w:sz w:val="24"/>
                <w:highlight w:val="none"/>
              </w:rPr>
              <w:t>③绿化用水</w:t>
            </w:r>
          </w:p>
          <w:p w14:paraId="7388BD48">
            <w:pPr>
              <w:spacing w:line="360" w:lineRule="auto"/>
              <w:ind w:firstLine="480" w:firstLineChars="200"/>
              <w:jc w:val="left"/>
              <w:rPr>
                <w:strike w:val="0"/>
                <w:dstrike w:val="0"/>
                <w:color w:val="auto"/>
                <w:sz w:val="24"/>
                <w:highlight w:val="none"/>
              </w:rPr>
            </w:pPr>
            <w:r>
              <w:rPr>
                <w:strike w:val="0"/>
                <w:dstrike w:val="0"/>
                <w:color w:val="auto"/>
                <w:sz w:val="24"/>
                <w:highlight w:val="none"/>
              </w:rPr>
              <w:t>本项目绿化面积约317m</w:t>
            </w:r>
            <w:r>
              <w:rPr>
                <w:strike w:val="0"/>
                <w:dstrike w:val="0"/>
                <w:color w:val="auto"/>
                <w:sz w:val="24"/>
                <w:highlight w:val="none"/>
                <w:vertAlign w:val="superscript"/>
              </w:rPr>
              <w:t>2</w:t>
            </w:r>
            <w:r>
              <w:rPr>
                <w:strike w:val="0"/>
                <w:dstrike w:val="0"/>
                <w:color w:val="auto"/>
                <w:sz w:val="24"/>
                <w:highlight w:val="none"/>
              </w:rPr>
              <w:t>。绿化用水取2L/m</w:t>
            </w:r>
            <w:r>
              <w:rPr>
                <w:strike w:val="0"/>
                <w:dstrike w:val="0"/>
                <w:color w:val="auto"/>
                <w:sz w:val="24"/>
                <w:highlight w:val="none"/>
                <w:vertAlign w:val="superscript"/>
              </w:rPr>
              <w:t>2</w:t>
            </w:r>
            <w:r>
              <w:rPr>
                <w:strike w:val="0"/>
                <w:dstrike w:val="0"/>
                <w:color w:val="auto"/>
                <w:sz w:val="24"/>
                <w:highlight w:val="none"/>
              </w:rPr>
              <w:t>·次，一年52次，则用水量为0.64m</w:t>
            </w:r>
            <w:r>
              <w:rPr>
                <w:strike w:val="0"/>
                <w:dstrike w:val="0"/>
                <w:color w:val="auto"/>
                <w:sz w:val="24"/>
                <w:highlight w:val="none"/>
                <w:vertAlign w:val="superscript"/>
              </w:rPr>
              <w:t>3</w:t>
            </w:r>
            <w:r>
              <w:rPr>
                <w:strike w:val="0"/>
                <w:dstrike w:val="0"/>
                <w:color w:val="auto"/>
                <w:sz w:val="24"/>
                <w:highlight w:val="none"/>
              </w:rPr>
              <w:t>/次（33.28m</w:t>
            </w:r>
            <w:r>
              <w:rPr>
                <w:strike w:val="0"/>
                <w:dstrike w:val="0"/>
                <w:color w:val="auto"/>
                <w:sz w:val="24"/>
                <w:highlight w:val="none"/>
                <w:vertAlign w:val="superscript"/>
              </w:rPr>
              <w:t>3</w:t>
            </w:r>
            <w:r>
              <w:rPr>
                <w:strike w:val="0"/>
                <w:dstrike w:val="0"/>
                <w:color w:val="auto"/>
                <w:sz w:val="24"/>
                <w:highlight w:val="none"/>
              </w:rPr>
              <w:t>/a）。全部用于绿化。</w:t>
            </w:r>
          </w:p>
          <w:p w14:paraId="7EEDE1B1">
            <w:pPr>
              <w:spacing w:line="360" w:lineRule="auto"/>
              <w:ind w:firstLine="480" w:firstLineChars="200"/>
              <w:jc w:val="left"/>
              <w:rPr>
                <w:strike w:val="0"/>
                <w:dstrike w:val="0"/>
                <w:color w:val="auto"/>
                <w:sz w:val="24"/>
                <w:highlight w:val="none"/>
              </w:rPr>
            </w:pPr>
            <w:r>
              <w:rPr>
                <w:strike w:val="0"/>
                <w:dstrike w:val="0"/>
                <w:color w:val="auto"/>
                <w:sz w:val="24"/>
                <w:highlight w:val="none"/>
              </w:rPr>
              <w:fldChar w:fldCharType="begin"/>
            </w:r>
            <w:r>
              <w:rPr>
                <w:strike w:val="0"/>
                <w:dstrike w:val="0"/>
                <w:color w:val="auto"/>
                <w:sz w:val="24"/>
                <w:highlight w:val="none"/>
              </w:rPr>
              <w:instrText xml:space="preserve"> = 4 \* GB3 \* MERGEFORMAT </w:instrText>
            </w:r>
            <w:r>
              <w:rPr>
                <w:strike w:val="0"/>
                <w:dstrike w:val="0"/>
                <w:color w:val="auto"/>
                <w:sz w:val="24"/>
                <w:highlight w:val="none"/>
              </w:rPr>
              <w:fldChar w:fldCharType="separate"/>
            </w:r>
            <w:r>
              <w:rPr>
                <w:strike w:val="0"/>
                <w:dstrike w:val="0"/>
                <w:color w:val="auto"/>
                <w:sz w:val="24"/>
                <w:highlight w:val="none"/>
              </w:rPr>
              <w:t>④</w:t>
            </w:r>
            <w:r>
              <w:rPr>
                <w:strike w:val="0"/>
                <w:dstrike w:val="0"/>
                <w:color w:val="auto"/>
                <w:sz w:val="24"/>
                <w:highlight w:val="none"/>
              </w:rPr>
              <w:fldChar w:fldCharType="end"/>
            </w:r>
            <w:r>
              <w:rPr>
                <w:strike w:val="0"/>
                <w:dstrike w:val="0"/>
                <w:color w:val="auto"/>
                <w:sz w:val="24"/>
                <w:highlight w:val="none"/>
              </w:rPr>
              <w:t>场地冲洗用水</w:t>
            </w:r>
          </w:p>
          <w:p w14:paraId="1ECFBC17">
            <w:pPr>
              <w:spacing w:line="360" w:lineRule="auto"/>
              <w:ind w:firstLine="480" w:firstLineChars="200"/>
              <w:jc w:val="left"/>
              <w:rPr>
                <w:strike w:val="0"/>
                <w:dstrike w:val="0"/>
                <w:color w:val="auto"/>
                <w:sz w:val="24"/>
                <w:highlight w:val="none"/>
              </w:rPr>
            </w:pPr>
            <w:r>
              <w:rPr>
                <w:strike w:val="0"/>
                <w:dstrike w:val="0"/>
                <w:color w:val="auto"/>
                <w:sz w:val="24"/>
                <w:highlight w:val="none"/>
              </w:rPr>
              <w:t>场地冲洗面积按建筑及绿化之外的场地面积计，约</w:t>
            </w:r>
            <w:r>
              <w:rPr>
                <w:rFonts w:hint="eastAsia"/>
                <w:strike w:val="0"/>
                <w:dstrike w:val="0"/>
                <w:color w:val="auto"/>
                <w:sz w:val="24"/>
                <w:highlight w:val="none"/>
                <w:lang w:val="en-US" w:eastAsia="zh-CN"/>
              </w:rPr>
              <w:t>2913</w:t>
            </w:r>
            <w:r>
              <w:rPr>
                <w:strike w:val="0"/>
                <w:dstrike w:val="0"/>
                <w:color w:val="auto"/>
                <w:sz w:val="24"/>
                <w:highlight w:val="none"/>
              </w:rPr>
              <w:t>m</w:t>
            </w:r>
            <w:r>
              <w:rPr>
                <w:strike w:val="0"/>
                <w:dstrike w:val="0"/>
                <w:color w:val="auto"/>
                <w:sz w:val="24"/>
                <w:highlight w:val="none"/>
                <w:vertAlign w:val="superscript"/>
              </w:rPr>
              <w:t>2</w:t>
            </w:r>
            <w:r>
              <w:rPr>
                <w:strike w:val="0"/>
                <w:dstrike w:val="0"/>
                <w:color w:val="auto"/>
                <w:sz w:val="24"/>
                <w:highlight w:val="none"/>
              </w:rPr>
              <w:t>，地面冲洗水取2L/m</w:t>
            </w:r>
            <w:r>
              <w:rPr>
                <w:strike w:val="0"/>
                <w:dstrike w:val="0"/>
                <w:color w:val="auto"/>
                <w:sz w:val="24"/>
                <w:highlight w:val="none"/>
                <w:vertAlign w:val="superscript"/>
              </w:rPr>
              <w:t>2</w:t>
            </w:r>
            <w:r>
              <w:rPr>
                <w:strike w:val="0"/>
                <w:dstrike w:val="0"/>
                <w:color w:val="auto"/>
                <w:sz w:val="24"/>
                <w:highlight w:val="none"/>
              </w:rPr>
              <w:t>·次，则用水量为</w:t>
            </w:r>
            <w:r>
              <w:rPr>
                <w:rFonts w:hint="eastAsia"/>
                <w:strike w:val="0"/>
                <w:dstrike w:val="0"/>
                <w:color w:val="auto"/>
                <w:sz w:val="24"/>
                <w:highlight w:val="none"/>
                <w:lang w:val="en-US" w:eastAsia="zh-CN"/>
              </w:rPr>
              <w:t>5.83</w:t>
            </w:r>
            <w:r>
              <w:rPr>
                <w:strike w:val="0"/>
                <w:dstrike w:val="0"/>
                <w:color w:val="auto"/>
                <w:sz w:val="24"/>
                <w:highlight w:val="none"/>
              </w:rPr>
              <w:t>m</w:t>
            </w:r>
            <w:r>
              <w:rPr>
                <w:strike w:val="0"/>
                <w:dstrike w:val="0"/>
                <w:color w:val="auto"/>
                <w:sz w:val="24"/>
                <w:highlight w:val="none"/>
                <w:vertAlign w:val="superscript"/>
              </w:rPr>
              <w:t>3</w:t>
            </w:r>
            <w:r>
              <w:rPr>
                <w:strike w:val="0"/>
                <w:dstrike w:val="0"/>
                <w:color w:val="auto"/>
                <w:sz w:val="24"/>
                <w:highlight w:val="none"/>
              </w:rPr>
              <w:t>/次（</w:t>
            </w:r>
            <w:r>
              <w:rPr>
                <w:rFonts w:hint="eastAsia"/>
                <w:strike w:val="0"/>
                <w:dstrike w:val="0"/>
                <w:color w:val="auto"/>
                <w:sz w:val="24"/>
                <w:highlight w:val="none"/>
                <w:lang w:val="en-US" w:eastAsia="zh-CN"/>
              </w:rPr>
              <w:t>303.16</w:t>
            </w:r>
            <w:r>
              <w:rPr>
                <w:strike w:val="0"/>
                <w:dstrike w:val="0"/>
                <w:color w:val="auto"/>
                <w:sz w:val="24"/>
                <w:highlight w:val="none"/>
              </w:rPr>
              <w:t>m</w:t>
            </w:r>
            <w:r>
              <w:rPr>
                <w:strike w:val="0"/>
                <w:dstrike w:val="0"/>
                <w:color w:val="auto"/>
                <w:sz w:val="24"/>
                <w:highlight w:val="none"/>
                <w:vertAlign w:val="superscript"/>
              </w:rPr>
              <w:t>3</w:t>
            </w:r>
            <w:r>
              <w:rPr>
                <w:strike w:val="0"/>
                <w:dstrike w:val="0"/>
                <w:color w:val="auto"/>
                <w:sz w:val="24"/>
                <w:highlight w:val="none"/>
              </w:rPr>
              <w:t>/a）。</w:t>
            </w:r>
            <w:r>
              <w:rPr>
                <w:bCs/>
                <w:strike w:val="0"/>
                <w:dstrike w:val="0"/>
                <w:color w:val="auto"/>
                <w:sz w:val="24"/>
                <w:highlight w:val="none"/>
              </w:rPr>
              <w:t>场地冲洗废水排放量按用水量的80%计算，则产生量为</w:t>
            </w:r>
            <w:r>
              <w:rPr>
                <w:rFonts w:hint="eastAsia"/>
                <w:bCs/>
                <w:strike w:val="0"/>
                <w:dstrike w:val="0"/>
                <w:color w:val="auto"/>
                <w:sz w:val="24"/>
                <w:highlight w:val="none"/>
                <w:lang w:val="en-US" w:eastAsia="zh-CN"/>
              </w:rPr>
              <w:t>4.664</w:t>
            </w:r>
            <w:r>
              <w:rPr>
                <w:strike w:val="0"/>
                <w:dstrike w:val="0"/>
                <w:color w:val="auto"/>
                <w:sz w:val="24"/>
                <w:highlight w:val="none"/>
              </w:rPr>
              <w:t>m</w:t>
            </w:r>
            <w:r>
              <w:rPr>
                <w:strike w:val="0"/>
                <w:dstrike w:val="0"/>
                <w:color w:val="auto"/>
                <w:sz w:val="24"/>
                <w:highlight w:val="none"/>
                <w:vertAlign w:val="superscript"/>
              </w:rPr>
              <w:t>3</w:t>
            </w:r>
            <w:r>
              <w:rPr>
                <w:bCs/>
                <w:strike w:val="0"/>
                <w:dstrike w:val="0"/>
                <w:color w:val="auto"/>
                <w:sz w:val="24"/>
                <w:highlight w:val="none"/>
              </w:rPr>
              <w:t>/次（</w:t>
            </w:r>
            <w:r>
              <w:rPr>
                <w:rFonts w:hint="eastAsia"/>
                <w:bCs/>
                <w:strike w:val="0"/>
                <w:dstrike w:val="0"/>
                <w:color w:val="auto"/>
                <w:sz w:val="24"/>
                <w:highlight w:val="none"/>
                <w:lang w:val="en-US" w:eastAsia="zh-CN"/>
              </w:rPr>
              <w:t>242.53</w:t>
            </w:r>
            <w:r>
              <w:rPr>
                <w:strike w:val="0"/>
                <w:dstrike w:val="0"/>
                <w:color w:val="auto"/>
                <w:sz w:val="24"/>
                <w:highlight w:val="none"/>
              </w:rPr>
              <w:t>m</w:t>
            </w:r>
            <w:r>
              <w:rPr>
                <w:strike w:val="0"/>
                <w:dstrike w:val="0"/>
                <w:color w:val="auto"/>
                <w:sz w:val="24"/>
                <w:highlight w:val="none"/>
                <w:vertAlign w:val="superscript"/>
              </w:rPr>
              <w:t>3</w:t>
            </w:r>
            <w:r>
              <w:rPr>
                <w:bCs/>
                <w:strike w:val="0"/>
                <w:dstrike w:val="0"/>
                <w:color w:val="auto"/>
                <w:sz w:val="24"/>
                <w:highlight w:val="none"/>
              </w:rPr>
              <w:t>/a）。</w:t>
            </w:r>
          </w:p>
          <w:p w14:paraId="6F465B06">
            <w:pPr>
              <w:spacing w:line="360" w:lineRule="auto"/>
              <w:ind w:firstLine="480" w:firstLineChars="200"/>
              <w:rPr>
                <w:strike w:val="0"/>
                <w:dstrike w:val="0"/>
                <w:color w:val="auto"/>
                <w:sz w:val="24"/>
                <w:highlight w:val="none"/>
              </w:rPr>
            </w:pPr>
            <w:r>
              <w:rPr>
                <w:strike w:val="0"/>
                <w:dstrike w:val="0"/>
                <w:color w:val="auto"/>
                <w:sz w:val="24"/>
                <w:highlight w:val="none"/>
              </w:rPr>
              <w:t>项目场地冲洗废水经三段式隔油池处理，员工生活污水和过往驾乘人员生活污水经生化池处理；废水处理达</w:t>
            </w:r>
            <w:r>
              <w:rPr>
                <w:strike w:val="0"/>
                <w:dstrike w:val="0"/>
                <w:color w:val="auto"/>
                <w:kern w:val="0"/>
                <w:sz w:val="24"/>
                <w:highlight w:val="none"/>
              </w:rPr>
              <w:t>《污水综合排放标准》（GB8978-1996）三级标准（其中氨氮执行《污水排入城镇下水道水质标准》（GB/T31962-2015））后</w:t>
            </w:r>
            <w:r>
              <w:rPr>
                <w:strike w:val="0"/>
                <w:dstrike w:val="0"/>
                <w:color w:val="auto"/>
                <w:sz w:val="24"/>
                <w:highlight w:val="none"/>
              </w:rPr>
              <w:t>经</w:t>
            </w:r>
            <w:r>
              <w:rPr>
                <w:rFonts w:hint="eastAsia"/>
                <w:strike w:val="0"/>
                <w:dstrike w:val="0"/>
                <w:color w:val="auto"/>
                <w:sz w:val="24"/>
                <w:highlight w:val="none"/>
              </w:rPr>
              <w:t>市政污水管网</w:t>
            </w:r>
            <w:r>
              <w:rPr>
                <w:strike w:val="0"/>
                <w:dstrike w:val="0"/>
                <w:color w:val="auto"/>
                <w:sz w:val="24"/>
                <w:highlight w:val="none"/>
              </w:rPr>
              <w:t>排入</w:t>
            </w:r>
            <w:r>
              <w:rPr>
                <w:rFonts w:hint="eastAsia"/>
                <w:strike w:val="0"/>
                <w:dstrike w:val="0"/>
                <w:color w:val="auto"/>
                <w:sz w:val="24"/>
                <w:highlight w:val="none"/>
                <w:lang w:eastAsia="zh-CN"/>
              </w:rPr>
              <w:t>微车基地污水处理厂</w:t>
            </w:r>
            <w:r>
              <w:rPr>
                <w:strike w:val="0"/>
                <w:dstrike w:val="0"/>
                <w:color w:val="auto"/>
                <w:sz w:val="24"/>
                <w:highlight w:val="none"/>
              </w:rPr>
              <w:t>处理达《城镇污水处理</w:t>
            </w:r>
            <w:r>
              <w:rPr>
                <w:bCs/>
                <w:strike w:val="0"/>
                <w:dstrike w:val="0"/>
                <w:color w:val="auto"/>
                <w:sz w:val="24"/>
                <w:highlight w:val="none"/>
              </w:rPr>
              <w:t>厂污染物排放标准》(GB18918-2002)一级A标后排入柏水溪，最终汇入嘉陵江。</w:t>
            </w:r>
          </w:p>
          <w:p w14:paraId="5D668E3F">
            <w:pPr>
              <w:snapToGrid w:val="0"/>
              <w:spacing w:line="360" w:lineRule="auto"/>
              <w:ind w:firstLine="496" w:firstLineChars="200"/>
              <w:outlineLvl w:val="4"/>
              <w:rPr>
                <w:strike w:val="0"/>
                <w:dstrike w:val="0"/>
                <w:snapToGrid w:val="0"/>
                <w:color w:val="auto"/>
                <w:spacing w:val="4"/>
                <w:kern w:val="0"/>
                <w:sz w:val="24"/>
                <w:highlight w:val="none"/>
              </w:rPr>
            </w:pPr>
            <w:r>
              <w:rPr>
                <w:strike w:val="0"/>
                <w:dstrike w:val="0"/>
                <w:snapToGrid w:val="0"/>
                <w:color w:val="auto"/>
                <w:spacing w:val="4"/>
                <w:kern w:val="0"/>
                <w:sz w:val="24"/>
                <w:highlight w:val="none"/>
              </w:rPr>
              <w:t>本项目用水和排水情况一览表见表2.1-</w:t>
            </w:r>
            <w:r>
              <w:rPr>
                <w:rFonts w:hint="eastAsia"/>
                <w:strike w:val="0"/>
                <w:dstrike w:val="0"/>
                <w:snapToGrid w:val="0"/>
                <w:color w:val="auto"/>
                <w:spacing w:val="4"/>
                <w:kern w:val="0"/>
                <w:sz w:val="24"/>
                <w:highlight w:val="none"/>
                <w:lang w:val="en-US" w:eastAsia="zh-CN"/>
              </w:rPr>
              <w:t>9</w:t>
            </w:r>
            <w:r>
              <w:rPr>
                <w:strike w:val="0"/>
                <w:dstrike w:val="0"/>
                <w:snapToGrid w:val="0"/>
                <w:color w:val="auto"/>
                <w:spacing w:val="4"/>
                <w:kern w:val="0"/>
                <w:sz w:val="24"/>
                <w:highlight w:val="none"/>
              </w:rPr>
              <w:t>。</w:t>
            </w:r>
          </w:p>
          <w:p w14:paraId="672950A8">
            <w:pPr>
              <w:pStyle w:val="38"/>
              <w:spacing w:line="240" w:lineRule="auto"/>
              <w:jc w:val="center"/>
              <w:rPr>
                <w:rFonts w:ascii="Times New Roman" w:hAnsi="Times New Roman" w:cs="Times New Roman"/>
                <w:b/>
                <w:bCs/>
                <w:strike w:val="0"/>
                <w:dstrike w:val="0"/>
                <w:color w:val="auto"/>
                <w:szCs w:val="24"/>
                <w:highlight w:val="none"/>
              </w:rPr>
            </w:pPr>
            <w:r>
              <w:rPr>
                <w:rFonts w:ascii="Times New Roman" w:hAnsi="Times New Roman" w:cs="Times New Roman"/>
                <w:b/>
                <w:bCs/>
                <w:strike w:val="0"/>
                <w:dstrike w:val="0"/>
                <w:color w:val="auto"/>
                <w:szCs w:val="24"/>
                <w:highlight w:val="none"/>
              </w:rPr>
              <w:t>表2.1-</w:t>
            </w:r>
            <w:r>
              <w:rPr>
                <w:rFonts w:hint="eastAsia" w:ascii="Times New Roman" w:hAnsi="Times New Roman" w:cs="Times New Roman"/>
                <w:b/>
                <w:bCs/>
                <w:strike w:val="0"/>
                <w:dstrike w:val="0"/>
                <w:color w:val="auto"/>
                <w:szCs w:val="24"/>
                <w:highlight w:val="none"/>
                <w:lang w:val="en-US" w:eastAsia="zh-CN"/>
              </w:rPr>
              <w:t>9</w:t>
            </w:r>
            <w:r>
              <w:rPr>
                <w:rFonts w:ascii="Times New Roman" w:hAnsi="Times New Roman" w:cs="Times New Roman"/>
                <w:b/>
                <w:bCs/>
                <w:strike w:val="0"/>
                <w:dstrike w:val="0"/>
                <w:color w:val="auto"/>
                <w:szCs w:val="24"/>
                <w:highlight w:val="none"/>
              </w:rPr>
              <w:t xml:space="preserve">  本项目用水量、排水量一览表</w:t>
            </w:r>
          </w:p>
          <w:tbl>
            <w:tblPr>
              <w:tblStyle w:val="22"/>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917"/>
              <w:gridCol w:w="710"/>
              <w:gridCol w:w="948"/>
              <w:gridCol w:w="1007"/>
              <w:gridCol w:w="953"/>
              <w:gridCol w:w="910"/>
              <w:gridCol w:w="922"/>
              <w:gridCol w:w="908"/>
            </w:tblGrid>
            <w:tr w14:paraId="1B3F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73" w:type="pct"/>
                  <w:vMerge w:val="restart"/>
                  <w:vAlign w:val="center"/>
                </w:tcPr>
                <w:p w14:paraId="667A621A">
                  <w:pPr>
                    <w:autoSpaceDE w:val="0"/>
                    <w:autoSpaceDN w:val="0"/>
                    <w:adjustRightInd w:val="0"/>
                    <w:snapToGrid w:val="0"/>
                    <w:jc w:val="center"/>
                    <w:textAlignment w:val="center"/>
                    <w:rPr>
                      <w:b/>
                      <w:bCs/>
                      <w:strike w:val="0"/>
                      <w:dstrike w:val="0"/>
                      <w:color w:val="auto"/>
                      <w:szCs w:val="21"/>
                      <w:highlight w:val="none"/>
                    </w:rPr>
                  </w:pPr>
                  <w:r>
                    <w:rPr>
                      <w:b/>
                      <w:bCs/>
                      <w:strike w:val="0"/>
                      <w:dstrike w:val="0"/>
                      <w:color w:val="auto"/>
                      <w:szCs w:val="21"/>
                      <w:highlight w:val="none"/>
                    </w:rPr>
                    <w:t>序号</w:t>
                  </w:r>
                </w:p>
              </w:tc>
              <w:tc>
                <w:tcPr>
                  <w:tcW w:w="595" w:type="pct"/>
                  <w:vMerge w:val="restart"/>
                  <w:vAlign w:val="center"/>
                </w:tcPr>
                <w:p w14:paraId="5AEBC6C1">
                  <w:pPr>
                    <w:autoSpaceDE w:val="0"/>
                    <w:autoSpaceDN w:val="0"/>
                    <w:adjustRightInd w:val="0"/>
                    <w:snapToGrid w:val="0"/>
                    <w:jc w:val="center"/>
                    <w:textAlignment w:val="center"/>
                    <w:rPr>
                      <w:b/>
                      <w:bCs/>
                      <w:strike w:val="0"/>
                      <w:dstrike w:val="0"/>
                      <w:color w:val="auto"/>
                      <w:szCs w:val="21"/>
                      <w:highlight w:val="none"/>
                    </w:rPr>
                  </w:pPr>
                  <w:r>
                    <w:rPr>
                      <w:b/>
                      <w:bCs/>
                      <w:strike w:val="0"/>
                      <w:dstrike w:val="0"/>
                      <w:color w:val="auto"/>
                      <w:szCs w:val="21"/>
                      <w:highlight w:val="none"/>
                    </w:rPr>
                    <w:t>类别</w:t>
                  </w:r>
                </w:p>
              </w:tc>
              <w:tc>
                <w:tcPr>
                  <w:tcW w:w="461" w:type="pct"/>
                  <w:vMerge w:val="restart"/>
                  <w:vAlign w:val="center"/>
                </w:tcPr>
                <w:p w14:paraId="6BB5FA0E">
                  <w:pPr>
                    <w:autoSpaceDE w:val="0"/>
                    <w:autoSpaceDN w:val="0"/>
                    <w:adjustRightInd w:val="0"/>
                    <w:snapToGrid w:val="0"/>
                    <w:jc w:val="center"/>
                    <w:textAlignment w:val="center"/>
                    <w:rPr>
                      <w:b/>
                      <w:bCs/>
                      <w:strike w:val="0"/>
                      <w:dstrike w:val="0"/>
                      <w:color w:val="auto"/>
                      <w:szCs w:val="21"/>
                      <w:highlight w:val="none"/>
                    </w:rPr>
                  </w:pPr>
                  <w:r>
                    <w:rPr>
                      <w:b/>
                      <w:bCs/>
                      <w:strike w:val="0"/>
                      <w:dstrike w:val="0"/>
                      <w:color w:val="auto"/>
                      <w:szCs w:val="21"/>
                      <w:highlight w:val="none"/>
                    </w:rPr>
                    <w:t>指标</w:t>
                  </w:r>
                </w:p>
              </w:tc>
              <w:tc>
                <w:tcPr>
                  <w:tcW w:w="615" w:type="pct"/>
                  <w:vMerge w:val="restart"/>
                  <w:vAlign w:val="center"/>
                </w:tcPr>
                <w:p w14:paraId="03635E0C">
                  <w:pPr>
                    <w:autoSpaceDE w:val="0"/>
                    <w:autoSpaceDN w:val="0"/>
                    <w:adjustRightInd w:val="0"/>
                    <w:snapToGrid w:val="0"/>
                    <w:jc w:val="center"/>
                    <w:textAlignment w:val="center"/>
                    <w:rPr>
                      <w:b/>
                      <w:bCs/>
                      <w:strike w:val="0"/>
                      <w:dstrike w:val="0"/>
                      <w:color w:val="auto"/>
                      <w:szCs w:val="21"/>
                      <w:highlight w:val="none"/>
                    </w:rPr>
                  </w:pPr>
                  <w:r>
                    <w:rPr>
                      <w:b/>
                      <w:bCs/>
                      <w:strike w:val="0"/>
                      <w:dstrike w:val="0"/>
                      <w:color w:val="auto"/>
                      <w:szCs w:val="21"/>
                      <w:highlight w:val="none"/>
                    </w:rPr>
                    <w:t>用水指标</w:t>
                  </w:r>
                </w:p>
              </w:tc>
              <w:tc>
                <w:tcPr>
                  <w:tcW w:w="1273" w:type="pct"/>
                  <w:gridSpan w:val="2"/>
                  <w:vAlign w:val="center"/>
                </w:tcPr>
                <w:p w14:paraId="385C2A5C">
                  <w:pPr>
                    <w:autoSpaceDE w:val="0"/>
                    <w:autoSpaceDN w:val="0"/>
                    <w:adjustRightInd w:val="0"/>
                    <w:snapToGrid w:val="0"/>
                    <w:jc w:val="center"/>
                    <w:textAlignment w:val="center"/>
                    <w:rPr>
                      <w:b/>
                      <w:bCs/>
                      <w:strike w:val="0"/>
                      <w:dstrike w:val="0"/>
                      <w:color w:val="auto"/>
                      <w:szCs w:val="21"/>
                      <w:highlight w:val="none"/>
                    </w:rPr>
                  </w:pPr>
                  <w:r>
                    <w:rPr>
                      <w:b/>
                      <w:bCs/>
                      <w:strike w:val="0"/>
                      <w:dstrike w:val="0"/>
                      <w:color w:val="auto"/>
                      <w:szCs w:val="21"/>
                      <w:highlight w:val="none"/>
                    </w:rPr>
                    <w:t>用水量</w:t>
                  </w:r>
                </w:p>
              </w:tc>
              <w:tc>
                <w:tcPr>
                  <w:tcW w:w="1190" w:type="pct"/>
                  <w:gridSpan w:val="2"/>
                  <w:vAlign w:val="center"/>
                </w:tcPr>
                <w:p w14:paraId="64281B92">
                  <w:pPr>
                    <w:autoSpaceDE w:val="0"/>
                    <w:autoSpaceDN w:val="0"/>
                    <w:adjustRightInd w:val="0"/>
                    <w:snapToGrid w:val="0"/>
                    <w:jc w:val="center"/>
                    <w:rPr>
                      <w:b/>
                      <w:bCs/>
                      <w:strike w:val="0"/>
                      <w:dstrike w:val="0"/>
                      <w:color w:val="auto"/>
                      <w:szCs w:val="21"/>
                      <w:highlight w:val="none"/>
                    </w:rPr>
                  </w:pPr>
                  <w:r>
                    <w:rPr>
                      <w:b/>
                      <w:bCs/>
                      <w:strike w:val="0"/>
                      <w:dstrike w:val="0"/>
                      <w:color w:val="auto"/>
                      <w:szCs w:val="21"/>
                      <w:highlight w:val="none"/>
                    </w:rPr>
                    <w:t>排水量</w:t>
                  </w:r>
                </w:p>
              </w:tc>
              <w:tc>
                <w:tcPr>
                  <w:tcW w:w="589" w:type="pct"/>
                  <w:vMerge w:val="restart"/>
                  <w:vAlign w:val="center"/>
                </w:tcPr>
                <w:p w14:paraId="32A077F0">
                  <w:pPr>
                    <w:autoSpaceDE w:val="0"/>
                    <w:autoSpaceDN w:val="0"/>
                    <w:adjustRightInd w:val="0"/>
                    <w:snapToGrid w:val="0"/>
                    <w:jc w:val="center"/>
                    <w:rPr>
                      <w:b/>
                      <w:bCs/>
                      <w:strike w:val="0"/>
                      <w:dstrike w:val="0"/>
                      <w:color w:val="auto"/>
                      <w:szCs w:val="21"/>
                      <w:highlight w:val="none"/>
                    </w:rPr>
                  </w:pPr>
                  <w:r>
                    <w:rPr>
                      <w:b/>
                      <w:bCs/>
                      <w:strike w:val="0"/>
                      <w:dstrike w:val="0"/>
                      <w:color w:val="auto"/>
                      <w:szCs w:val="21"/>
                      <w:highlight w:val="none"/>
                    </w:rPr>
                    <w:t>备注</w:t>
                  </w:r>
                </w:p>
              </w:tc>
            </w:tr>
            <w:tr w14:paraId="7E91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73" w:type="pct"/>
                  <w:vMerge w:val="continue"/>
                  <w:vAlign w:val="center"/>
                </w:tcPr>
                <w:p w14:paraId="4B0DBA9D">
                  <w:pPr>
                    <w:autoSpaceDE w:val="0"/>
                    <w:autoSpaceDN w:val="0"/>
                    <w:adjustRightInd w:val="0"/>
                    <w:snapToGrid w:val="0"/>
                    <w:jc w:val="center"/>
                    <w:rPr>
                      <w:b/>
                      <w:bCs/>
                      <w:strike w:val="0"/>
                      <w:dstrike w:val="0"/>
                      <w:color w:val="auto"/>
                      <w:szCs w:val="21"/>
                      <w:highlight w:val="none"/>
                    </w:rPr>
                  </w:pPr>
                </w:p>
              </w:tc>
              <w:tc>
                <w:tcPr>
                  <w:tcW w:w="595" w:type="pct"/>
                  <w:vMerge w:val="continue"/>
                  <w:vAlign w:val="center"/>
                </w:tcPr>
                <w:p w14:paraId="3FECE49C">
                  <w:pPr>
                    <w:autoSpaceDE w:val="0"/>
                    <w:autoSpaceDN w:val="0"/>
                    <w:adjustRightInd w:val="0"/>
                    <w:snapToGrid w:val="0"/>
                    <w:jc w:val="center"/>
                    <w:rPr>
                      <w:b/>
                      <w:bCs/>
                      <w:strike w:val="0"/>
                      <w:dstrike w:val="0"/>
                      <w:color w:val="auto"/>
                      <w:szCs w:val="21"/>
                      <w:highlight w:val="none"/>
                    </w:rPr>
                  </w:pPr>
                </w:p>
              </w:tc>
              <w:tc>
                <w:tcPr>
                  <w:tcW w:w="461" w:type="pct"/>
                  <w:vMerge w:val="continue"/>
                  <w:vAlign w:val="center"/>
                </w:tcPr>
                <w:p w14:paraId="57C79DE3">
                  <w:pPr>
                    <w:autoSpaceDE w:val="0"/>
                    <w:autoSpaceDN w:val="0"/>
                    <w:adjustRightInd w:val="0"/>
                    <w:snapToGrid w:val="0"/>
                    <w:jc w:val="center"/>
                    <w:rPr>
                      <w:b/>
                      <w:bCs/>
                      <w:strike w:val="0"/>
                      <w:dstrike w:val="0"/>
                      <w:color w:val="auto"/>
                      <w:szCs w:val="21"/>
                      <w:highlight w:val="none"/>
                    </w:rPr>
                  </w:pPr>
                </w:p>
              </w:tc>
              <w:tc>
                <w:tcPr>
                  <w:tcW w:w="615" w:type="pct"/>
                  <w:vMerge w:val="continue"/>
                  <w:vAlign w:val="center"/>
                </w:tcPr>
                <w:p w14:paraId="3C82BA1B">
                  <w:pPr>
                    <w:autoSpaceDE w:val="0"/>
                    <w:autoSpaceDN w:val="0"/>
                    <w:adjustRightInd w:val="0"/>
                    <w:snapToGrid w:val="0"/>
                    <w:jc w:val="center"/>
                    <w:rPr>
                      <w:b/>
                      <w:bCs/>
                      <w:strike w:val="0"/>
                      <w:dstrike w:val="0"/>
                      <w:color w:val="auto"/>
                      <w:szCs w:val="21"/>
                      <w:highlight w:val="none"/>
                    </w:rPr>
                  </w:pPr>
                </w:p>
              </w:tc>
              <w:tc>
                <w:tcPr>
                  <w:tcW w:w="654" w:type="pct"/>
                  <w:vAlign w:val="center"/>
                </w:tcPr>
                <w:p w14:paraId="376BDA1E">
                  <w:pPr>
                    <w:autoSpaceDE w:val="0"/>
                    <w:autoSpaceDN w:val="0"/>
                    <w:adjustRightInd w:val="0"/>
                    <w:snapToGrid w:val="0"/>
                    <w:jc w:val="center"/>
                    <w:textAlignment w:val="center"/>
                    <w:rPr>
                      <w:b/>
                      <w:bCs/>
                      <w:strike w:val="0"/>
                      <w:dstrike w:val="0"/>
                      <w:color w:val="auto"/>
                      <w:szCs w:val="21"/>
                      <w:highlight w:val="none"/>
                    </w:rPr>
                  </w:pPr>
                  <w:r>
                    <w:rPr>
                      <w:b/>
                      <w:bCs/>
                      <w:strike w:val="0"/>
                      <w:dstrike w:val="0"/>
                      <w:color w:val="auto"/>
                      <w:szCs w:val="21"/>
                      <w:highlight w:val="none"/>
                    </w:rPr>
                    <w:t>（m</w:t>
                  </w:r>
                  <w:r>
                    <w:rPr>
                      <w:b/>
                      <w:bCs/>
                      <w:strike w:val="0"/>
                      <w:dstrike w:val="0"/>
                      <w:color w:val="auto"/>
                      <w:szCs w:val="21"/>
                      <w:highlight w:val="none"/>
                      <w:vertAlign w:val="superscript"/>
                    </w:rPr>
                    <w:t>3</w:t>
                  </w:r>
                  <w:r>
                    <w:rPr>
                      <w:b/>
                      <w:bCs/>
                      <w:strike w:val="0"/>
                      <w:dstrike w:val="0"/>
                      <w:color w:val="auto"/>
                      <w:szCs w:val="21"/>
                      <w:highlight w:val="none"/>
                    </w:rPr>
                    <w:t>/d）最大日</w:t>
                  </w:r>
                </w:p>
              </w:tc>
              <w:tc>
                <w:tcPr>
                  <w:tcW w:w="619" w:type="pct"/>
                  <w:vAlign w:val="center"/>
                </w:tcPr>
                <w:p w14:paraId="63BCF94F">
                  <w:pPr>
                    <w:autoSpaceDE w:val="0"/>
                    <w:autoSpaceDN w:val="0"/>
                    <w:adjustRightInd w:val="0"/>
                    <w:snapToGrid w:val="0"/>
                    <w:jc w:val="center"/>
                    <w:textAlignment w:val="center"/>
                    <w:rPr>
                      <w:b/>
                      <w:bCs/>
                      <w:strike w:val="0"/>
                      <w:dstrike w:val="0"/>
                      <w:color w:val="auto"/>
                      <w:szCs w:val="21"/>
                      <w:highlight w:val="none"/>
                    </w:rPr>
                  </w:pPr>
                  <w:r>
                    <w:rPr>
                      <w:b/>
                      <w:bCs/>
                      <w:strike w:val="0"/>
                      <w:dstrike w:val="0"/>
                      <w:color w:val="auto"/>
                      <w:szCs w:val="21"/>
                      <w:highlight w:val="none"/>
                    </w:rPr>
                    <w:t>（m</w:t>
                  </w:r>
                  <w:r>
                    <w:rPr>
                      <w:b/>
                      <w:bCs/>
                      <w:strike w:val="0"/>
                      <w:dstrike w:val="0"/>
                      <w:color w:val="auto"/>
                      <w:szCs w:val="21"/>
                      <w:highlight w:val="none"/>
                      <w:vertAlign w:val="superscript"/>
                    </w:rPr>
                    <w:t>3</w:t>
                  </w:r>
                  <w:r>
                    <w:rPr>
                      <w:b/>
                      <w:bCs/>
                      <w:strike w:val="0"/>
                      <w:dstrike w:val="0"/>
                      <w:color w:val="auto"/>
                      <w:szCs w:val="21"/>
                      <w:highlight w:val="none"/>
                    </w:rPr>
                    <w:t>/a）</w:t>
                  </w:r>
                </w:p>
              </w:tc>
              <w:tc>
                <w:tcPr>
                  <w:tcW w:w="591" w:type="pct"/>
                  <w:vAlign w:val="center"/>
                </w:tcPr>
                <w:p w14:paraId="5F8BC817">
                  <w:pPr>
                    <w:autoSpaceDE w:val="0"/>
                    <w:autoSpaceDN w:val="0"/>
                    <w:adjustRightInd w:val="0"/>
                    <w:snapToGrid w:val="0"/>
                    <w:jc w:val="center"/>
                    <w:rPr>
                      <w:b/>
                      <w:bCs/>
                      <w:strike w:val="0"/>
                      <w:dstrike w:val="0"/>
                      <w:color w:val="auto"/>
                      <w:szCs w:val="21"/>
                      <w:highlight w:val="none"/>
                    </w:rPr>
                  </w:pPr>
                  <w:r>
                    <w:rPr>
                      <w:b/>
                      <w:bCs/>
                      <w:strike w:val="0"/>
                      <w:dstrike w:val="0"/>
                      <w:color w:val="auto"/>
                      <w:szCs w:val="21"/>
                      <w:highlight w:val="none"/>
                    </w:rPr>
                    <w:t>（m</w:t>
                  </w:r>
                  <w:r>
                    <w:rPr>
                      <w:b/>
                      <w:bCs/>
                      <w:strike w:val="0"/>
                      <w:dstrike w:val="0"/>
                      <w:color w:val="auto"/>
                      <w:szCs w:val="21"/>
                      <w:highlight w:val="none"/>
                      <w:vertAlign w:val="superscript"/>
                    </w:rPr>
                    <w:t>3</w:t>
                  </w:r>
                  <w:r>
                    <w:rPr>
                      <w:b/>
                      <w:bCs/>
                      <w:strike w:val="0"/>
                      <w:dstrike w:val="0"/>
                      <w:color w:val="auto"/>
                      <w:szCs w:val="21"/>
                      <w:highlight w:val="none"/>
                    </w:rPr>
                    <w:t>/d）</w:t>
                  </w:r>
                </w:p>
              </w:tc>
              <w:tc>
                <w:tcPr>
                  <w:tcW w:w="599" w:type="pct"/>
                  <w:vAlign w:val="center"/>
                </w:tcPr>
                <w:p w14:paraId="0A422413">
                  <w:pPr>
                    <w:autoSpaceDE w:val="0"/>
                    <w:autoSpaceDN w:val="0"/>
                    <w:adjustRightInd w:val="0"/>
                    <w:snapToGrid w:val="0"/>
                    <w:jc w:val="center"/>
                    <w:rPr>
                      <w:b/>
                      <w:bCs/>
                      <w:strike w:val="0"/>
                      <w:dstrike w:val="0"/>
                      <w:color w:val="auto"/>
                      <w:szCs w:val="21"/>
                      <w:highlight w:val="none"/>
                    </w:rPr>
                  </w:pPr>
                  <w:r>
                    <w:rPr>
                      <w:b/>
                      <w:bCs/>
                      <w:strike w:val="0"/>
                      <w:dstrike w:val="0"/>
                      <w:color w:val="auto"/>
                      <w:szCs w:val="21"/>
                      <w:highlight w:val="none"/>
                    </w:rPr>
                    <w:t>（m</w:t>
                  </w:r>
                  <w:r>
                    <w:rPr>
                      <w:b/>
                      <w:bCs/>
                      <w:strike w:val="0"/>
                      <w:dstrike w:val="0"/>
                      <w:color w:val="auto"/>
                      <w:szCs w:val="21"/>
                      <w:highlight w:val="none"/>
                      <w:vertAlign w:val="superscript"/>
                    </w:rPr>
                    <w:t>3</w:t>
                  </w:r>
                  <w:r>
                    <w:rPr>
                      <w:b/>
                      <w:bCs/>
                      <w:strike w:val="0"/>
                      <w:dstrike w:val="0"/>
                      <w:color w:val="auto"/>
                      <w:szCs w:val="21"/>
                      <w:highlight w:val="none"/>
                    </w:rPr>
                    <w:t>/a）</w:t>
                  </w:r>
                </w:p>
              </w:tc>
              <w:tc>
                <w:tcPr>
                  <w:tcW w:w="589" w:type="pct"/>
                  <w:vMerge w:val="continue"/>
                  <w:vAlign w:val="center"/>
                </w:tcPr>
                <w:p w14:paraId="0F746887">
                  <w:pPr>
                    <w:autoSpaceDE w:val="0"/>
                    <w:autoSpaceDN w:val="0"/>
                    <w:adjustRightInd w:val="0"/>
                    <w:snapToGrid w:val="0"/>
                    <w:jc w:val="center"/>
                    <w:rPr>
                      <w:b/>
                      <w:bCs/>
                      <w:strike w:val="0"/>
                      <w:dstrike w:val="0"/>
                      <w:color w:val="auto"/>
                      <w:szCs w:val="21"/>
                      <w:highlight w:val="none"/>
                    </w:rPr>
                  </w:pPr>
                </w:p>
              </w:tc>
            </w:tr>
            <w:tr w14:paraId="670E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273" w:type="pct"/>
                  <w:vAlign w:val="center"/>
                </w:tcPr>
                <w:p w14:paraId="34A3F12A">
                  <w:pPr>
                    <w:autoSpaceDE w:val="0"/>
                    <w:autoSpaceDN w:val="0"/>
                    <w:adjustRightInd w:val="0"/>
                    <w:snapToGrid w:val="0"/>
                    <w:jc w:val="center"/>
                    <w:textAlignment w:val="center"/>
                    <w:rPr>
                      <w:strike w:val="0"/>
                      <w:dstrike w:val="0"/>
                      <w:color w:val="auto"/>
                      <w:szCs w:val="21"/>
                      <w:highlight w:val="none"/>
                    </w:rPr>
                  </w:pPr>
                  <w:r>
                    <w:rPr>
                      <w:strike w:val="0"/>
                      <w:dstrike w:val="0"/>
                      <w:color w:val="auto"/>
                      <w:szCs w:val="21"/>
                      <w:highlight w:val="none"/>
                    </w:rPr>
                    <w:t>1</w:t>
                  </w:r>
                </w:p>
              </w:tc>
              <w:tc>
                <w:tcPr>
                  <w:tcW w:w="595" w:type="pct"/>
                  <w:vAlign w:val="center"/>
                </w:tcPr>
                <w:p w14:paraId="0481AB82">
                  <w:pPr>
                    <w:autoSpaceDE w:val="0"/>
                    <w:autoSpaceDN w:val="0"/>
                    <w:adjustRightInd w:val="0"/>
                    <w:snapToGrid w:val="0"/>
                    <w:jc w:val="center"/>
                    <w:textAlignment w:val="center"/>
                    <w:rPr>
                      <w:strike w:val="0"/>
                      <w:dstrike w:val="0"/>
                      <w:color w:val="auto"/>
                      <w:szCs w:val="21"/>
                      <w:highlight w:val="none"/>
                    </w:rPr>
                  </w:pPr>
                  <w:r>
                    <w:rPr>
                      <w:strike w:val="0"/>
                      <w:dstrike w:val="0"/>
                      <w:color w:val="auto"/>
                      <w:szCs w:val="21"/>
                      <w:highlight w:val="none"/>
                    </w:rPr>
                    <w:t>员工生活用水</w:t>
                  </w:r>
                </w:p>
              </w:tc>
              <w:tc>
                <w:tcPr>
                  <w:tcW w:w="461" w:type="pct"/>
                  <w:vAlign w:val="center"/>
                </w:tcPr>
                <w:p w14:paraId="09A88A85">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12人</w:t>
                  </w:r>
                </w:p>
              </w:tc>
              <w:tc>
                <w:tcPr>
                  <w:tcW w:w="615" w:type="pct"/>
                  <w:vAlign w:val="center"/>
                </w:tcPr>
                <w:p w14:paraId="12B21729">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100L/（人·d）</w:t>
                  </w:r>
                </w:p>
              </w:tc>
              <w:tc>
                <w:tcPr>
                  <w:tcW w:w="654" w:type="pct"/>
                  <w:vAlign w:val="center"/>
                </w:tcPr>
                <w:p w14:paraId="5CDD3ED4">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1.2</w:t>
                  </w:r>
                </w:p>
              </w:tc>
              <w:tc>
                <w:tcPr>
                  <w:tcW w:w="619" w:type="pct"/>
                  <w:vAlign w:val="center"/>
                </w:tcPr>
                <w:p w14:paraId="724C3176">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438</w:t>
                  </w:r>
                </w:p>
              </w:tc>
              <w:tc>
                <w:tcPr>
                  <w:tcW w:w="591" w:type="pct"/>
                  <w:vAlign w:val="center"/>
                </w:tcPr>
                <w:p w14:paraId="52730BBE">
                  <w:pPr>
                    <w:widowControl/>
                    <w:jc w:val="center"/>
                    <w:textAlignment w:val="center"/>
                    <w:rPr>
                      <w:strike w:val="0"/>
                      <w:dstrike w:val="0"/>
                      <w:color w:val="auto"/>
                      <w:szCs w:val="21"/>
                      <w:highlight w:val="none"/>
                    </w:rPr>
                  </w:pPr>
                  <w:r>
                    <w:rPr>
                      <w:strike w:val="0"/>
                      <w:dstrike w:val="0"/>
                      <w:color w:val="auto"/>
                      <w:szCs w:val="21"/>
                      <w:highlight w:val="none"/>
                    </w:rPr>
                    <w:t>1.08</w:t>
                  </w:r>
                </w:p>
              </w:tc>
              <w:tc>
                <w:tcPr>
                  <w:tcW w:w="599" w:type="pct"/>
                  <w:vAlign w:val="center"/>
                </w:tcPr>
                <w:p w14:paraId="3299D7EA">
                  <w:pPr>
                    <w:widowControl/>
                    <w:jc w:val="center"/>
                    <w:textAlignment w:val="center"/>
                    <w:rPr>
                      <w:strike w:val="0"/>
                      <w:dstrike w:val="0"/>
                      <w:color w:val="auto"/>
                      <w:szCs w:val="21"/>
                      <w:highlight w:val="none"/>
                    </w:rPr>
                  </w:pPr>
                  <w:r>
                    <w:rPr>
                      <w:strike w:val="0"/>
                      <w:dstrike w:val="0"/>
                      <w:color w:val="auto"/>
                      <w:szCs w:val="21"/>
                      <w:highlight w:val="none"/>
                    </w:rPr>
                    <w:t>394.2</w:t>
                  </w:r>
                </w:p>
              </w:tc>
              <w:tc>
                <w:tcPr>
                  <w:tcW w:w="589" w:type="pct"/>
                  <w:vAlign w:val="center"/>
                </w:tcPr>
                <w:p w14:paraId="6A633D04">
                  <w:pPr>
                    <w:widowControl/>
                    <w:jc w:val="center"/>
                    <w:textAlignment w:val="center"/>
                    <w:rPr>
                      <w:strike w:val="0"/>
                      <w:dstrike w:val="0"/>
                      <w:color w:val="auto"/>
                      <w:szCs w:val="21"/>
                      <w:highlight w:val="none"/>
                    </w:rPr>
                  </w:pPr>
                  <w:r>
                    <w:rPr>
                      <w:strike w:val="0"/>
                      <w:dstrike w:val="0"/>
                      <w:color w:val="auto"/>
                      <w:szCs w:val="21"/>
                      <w:highlight w:val="none"/>
                    </w:rPr>
                    <w:t>厂区生化池处理</w:t>
                  </w:r>
                </w:p>
              </w:tc>
            </w:tr>
            <w:tr w14:paraId="38EE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273" w:type="pct"/>
                  <w:vAlign w:val="center"/>
                </w:tcPr>
                <w:p w14:paraId="5C46AB2F">
                  <w:pPr>
                    <w:autoSpaceDE w:val="0"/>
                    <w:autoSpaceDN w:val="0"/>
                    <w:adjustRightInd w:val="0"/>
                    <w:snapToGrid w:val="0"/>
                    <w:jc w:val="center"/>
                    <w:textAlignment w:val="center"/>
                    <w:rPr>
                      <w:strike w:val="0"/>
                      <w:dstrike w:val="0"/>
                      <w:color w:val="auto"/>
                      <w:szCs w:val="21"/>
                      <w:highlight w:val="none"/>
                    </w:rPr>
                  </w:pPr>
                  <w:r>
                    <w:rPr>
                      <w:strike w:val="0"/>
                      <w:dstrike w:val="0"/>
                      <w:color w:val="auto"/>
                      <w:szCs w:val="21"/>
                      <w:highlight w:val="none"/>
                    </w:rPr>
                    <w:t>2</w:t>
                  </w:r>
                </w:p>
              </w:tc>
              <w:tc>
                <w:tcPr>
                  <w:tcW w:w="595" w:type="pct"/>
                  <w:vAlign w:val="center"/>
                </w:tcPr>
                <w:p w14:paraId="2BE01401">
                  <w:pPr>
                    <w:autoSpaceDE w:val="0"/>
                    <w:autoSpaceDN w:val="0"/>
                    <w:adjustRightInd w:val="0"/>
                    <w:snapToGrid w:val="0"/>
                    <w:jc w:val="center"/>
                    <w:textAlignment w:val="center"/>
                    <w:rPr>
                      <w:strike w:val="0"/>
                      <w:dstrike w:val="0"/>
                      <w:color w:val="auto"/>
                      <w:szCs w:val="21"/>
                      <w:highlight w:val="none"/>
                    </w:rPr>
                  </w:pPr>
                  <w:r>
                    <w:rPr>
                      <w:strike w:val="0"/>
                      <w:dstrike w:val="0"/>
                      <w:color w:val="auto"/>
                      <w:szCs w:val="21"/>
                      <w:highlight w:val="none"/>
                    </w:rPr>
                    <w:t>过往驾乘人员生活用水</w:t>
                  </w:r>
                </w:p>
              </w:tc>
              <w:tc>
                <w:tcPr>
                  <w:tcW w:w="461" w:type="pct"/>
                  <w:vAlign w:val="center"/>
                </w:tcPr>
                <w:p w14:paraId="03095840">
                  <w:pPr>
                    <w:widowControl/>
                    <w:autoSpaceDE w:val="0"/>
                    <w:autoSpaceDN w:val="0"/>
                    <w:adjustRightInd w:val="0"/>
                    <w:snapToGrid w:val="0"/>
                    <w:jc w:val="center"/>
                    <w:rPr>
                      <w:strike w:val="0"/>
                      <w:dstrike w:val="0"/>
                      <w:color w:val="auto"/>
                      <w:szCs w:val="21"/>
                      <w:highlight w:val="none"/>
                    </w:rPr>
                  </w:pPr>
                  <w:r>
                    <w:rPr>
                      <w:rFonts w:hint="eastAsia"/>
                      <w:strike w:val="0"/>
                      <w:dstrike w:val="0"/>
                      <w:color w:val="auto"/>
                      <w:szCs w:val="21"/>
                      <w:highlight w:val="none"/>
                      <w:lang w:val="en-US" w:eastAsia="zh-CN"/>
                    </w:rPr>
                    <w:t>500</w:t>
                  </w:r>
                  <w:r>
                    <w:rPr>
                      <w:strike w:val="0"/>
                      <w:dstrike w:val="0"/>
                      <w:color w:val="auto"/>
                      <w:szCs w:val="21"/>
                      <w:highlight w:val="none"/>
                    </w:rPr>
                    <w:t>人/d</w:t>
                  </w:r>
                </w:p>
              </w:tc>
              <w:tc>
                <w:tcPr>
                  <w:tcW w:w="615" w:type="pct"/>
                  <w:vAlign w:val="center"/>
                </w:tcPr>
                <w:p w14:paraId="09111CA1">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5L/人·次</w:t>
                  </w:r>
                </w:p>
              </w:tc>
              <w:tc>
                <w:tcPr>
                  <w:tcW w:w="654" w:type="pct"/>
                  <w:vAlign w:val="center"/>
                </w:tcPr>
                <w:p w14:paraId="1603D46A">
                  <w:pPr>
                    <w:widowControl/>
                    <w:autoSpaceDE w:val="0"/>
                    <w:autoSpaceDN w:val="0"/>
                    <w:adjustRightInd w:val="0"/>
                    <w:snapToGrid w:val="0"/>
                    <w:jc w:val="center"/>
                    <w:rPr>
                      <w:strike w:val="0"/>
                      <w:dstrike w:val="0"/>
                      <w:color w:val="auto"/>
                      <w:szCs w:val="21"/>
                      <w:highlight w:val="none"/>
                    </w:rPr>
                  </w:pPr>
                  <w:r>
                    <w:rPr>
                      <w:rFonts w:hint="eastAsia"/>
                      <w:strike w:val="0"/>
                      <w:dstrike w:val="0"/>
                      <w:color w:val="auto"/>
                      <w:szCs w:val="21"/>
                      <w:highlight w:val="none"/>
                      <w:lang w:val="en-US" w:eastAsia="zh-CN"/>
                    </w:rPr>
                    <w:t>2.</w:t>
                  </w:r>
                  <w:r>
                    <w:rPr>
                      <w:strike w:val="0"/>
                      <w:dstrike w:val="0"/>
                      <w:color w:val="auto"/>
                      <w:szCs w:val="21"/>
                      <w:highlight w:val="none"/>
                    </w:rPr>
                    <w:t>5</w:t>
                  </w:r>
                </w:p>
              </w:tc>
              <w:tc>
                <w:tcPr>
                  <w:tcW w:w="619" w:type="pct"/>
                  <w:vAlign w:val="center"/>
                </w:tcPr>
                <w:p w14:paraId="160693D7">
                  <w:pPr>
                    <w:widowControl/>
                    <w:autoSpaceDE w:val="0"/>
                    <w:autoSpaceDN w:val="0"/>
                    <w:adjustRightInd w:val="0"/>
                    <w:snapToGrid w:val="0"/>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912.5</w:t>
                  </w:r>
                </w:p>
              </w:tc>
              <w:tc>
                <w:tcPr>
                  <w:tcW w:w="591" w:type="pct"/>
                  <w:vAlign w:val="center"/>
                </w:tcPr>
                <w:p w14:paraId="3D0E5A12">
                  <w:pPr>
                    <w:widowControl/>
                    <w:jc w:val="center"/>
                    <w:textAlignment w:val="center"/>
                    <w:rPr>
                      <w:rFonts w:hint="default" w:eastAsia="宋体"/>
                      <w:strike w:val="0"/>
                      <w:dstrike w:val="0"/>
                      <w:color w:val="auto"/>
                      <w:kern w:val="0"/>
                      <w:szCs w:val="21"/>
                      <w:highlight w:val="none"/>
                      <w:lang w:val="en-US" w:eastAsia="zh-CN" w:bidi="ar"/>
                    </w:rPr>
                  </w:pPr>
                  <w:r>
                    <w:rPr>
                      <w:rFonts w:hint="eastAsia"/>
                      <w:strike w:val="0"/>
                      <w:dstrike w:val="0"/>
                      <w:color w:val="auto"/>
                      <w:kern w:val="0"/>
                      <w:szCs w:val="21"/>
                      <w:highlight w:val="none"/>
                      <w:lang w:val="en-US" w:eastAsia="zh-CN" w:bidi="ar"/>
                    </w:rPr>
                    <w:t>2.25</w:t>
                  </w:r>
                </w:p>
              </w:tc>
              <w:tc>
                <w:tcPr>
                  <w:tcW w:w="599" w:type="pct"/>
                  <w:vAlign w:val="center"/>
                </w:tcPr>
                <w:p w14:paraId="15AD331C">
                  <w:pPr>
                    <w:widowControl/>
                    <w:jc w:val="center"/>
                    <w:textAlignment w:val="center"/>
                    <w:rPr>
                      <w:strike w:val="0"/>
                      <w:dstrike w:val="0"/>
                      <w:color w:val="auto"/>
                      <w:kern w:val="0"/>
                      <w:szCs w:val="21"/>
                      <w:highlight w:val="none"/>
                      <w:lang w:bidi="ar"/>
                    </w:rPr>
                  </w:pPr>
                  <w:r>
                    <w:rPr>
                      <w:rFonts w:hint="eastAsia"/>
                      <w:strike w:val="0"/>
                      <w:dstrike w:val="0"/>
                      <w:color w:val="auto"/>
                      <w:szCs w:val="21"/>
                      <w:highlight w:val="none"/>
                      <w:lang w:val="en-US" w:eastAsia="zh-CN"/>
                    </w:rPr>
                    <w:t>821</w:t>
                  </w:r>
                  <w:r>
                    <w:rPr>
                      <w:strike w:val="0"/>
                      <w:dstrike w:val="0"/>
                      <w:color w:val="auto"/>
                      <w:szCs w:val="21"/>
                      <w:highlight w:val="none"/>
                    </w:rPr>
                    <w:t>.25</w:t>
                  </w:r>
                </w:p>
              </w:tc>
              <w:tc>
                <w:tcPr>
                  <w:tcW w:w="589" w:type="pct"/>
                  <w:vAlign w:val="center"/>
                </w:tcPr>
                <w:p w14:paraId="3F1A398A">
                  <w:pPr>
                    <w:widowControl/>
                    <w:jc w:val="center"/>
                    <w:textAlignment w:val="center"/>
                    <w:rPr>
                      <w:strike w:val="0"/>
                      <w:dstrike w:val="0"/>
                      <w:color w:val="auto"/>
                      <w:szCs w:val="21"/>
                      <w:highlight w:val="none"/>
                    </w:rPr>
                  </w:pPr>
                  <w:r>
                    <w:rPr>
                      <w:strike w:val="0"/>
                      <w:dstrike w:val="0"/>
                      <w:color w:val="auto"/>
                      <w:szCs w:val="21"/>
                      <w:highlight w:val="none"/>
                    </w:rPr>
                    <w:t>厂区生化池处理</w:t>
                  </w:r>
                </w:p>
              </w:tc>
            </w:tr>
            <w:tr w14:paraId="6C3A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273" w:type="pct"/>
                  <w:vAlign w:val="center"/>
                </w:tcPr>
                <w:p w14:paraId="0A145ABC">
                  <w:pPr>
                    <w:autoSpaceDE w:val="0"/>
                    <w:autoSpaceDN w:val="0"/>
                    <w:adjustRightInd w:val="0"/>
                    <w:snapToGrid w:val="0"/>
                    <w:jc w:val="center"/>
                    <w:textAlignment w:val="center"/>
                    <w:rPr>
                      <w:strike w:val="0"/>
                      <w:dstrike w:val="0"/>
                      <w:color w:val="auto"/>
                      <w:szCs w:val="21"/>
                      <w:highlight w:val="none"/>
                    </w:rPr>
                  </w:pPr>
                  <w:r>
                    <w:rPr>
                      <w:strike w:val="0"/>
                      <w:dstrike w:val="0"/>
                      <w:color w:val="auto"/>
                      <w:szCs w:val="21"/>
                      <w:highlight w:val="none"/>
                    </w:rPr>
                    <w:t>3</w:t>
                  </w:r>
                </w:p>
              </w:tc>
              <w:tc>
                <w:tcPr>
                  <w:tcW w:w="595" w:type="pct"/>
                  <w:vAlign w:val="center"/>
                </w:tcPr>
                <w:p w14:paraId="430224A0">
                  <w:pPr>
                    <w:autoSpaceDE w:val="0"/>
                    <w:autoSpaceDN w:val="0"/>
                    <w:adjustRightInd w:val="0"/>
                    <w:snapToGrid w:val="0"/>
                    <w:jc w:val="center"/>
                    <w:textAlignment w:val="center"/>
                    <w:rPr>
                      <w:strike w:val="0"/>
                      <w:dstrike w:val="0"/>
                      <w:color w:val="auto"/>
                      <w:szCs w:val="21"/>
                      <w:highlight w:val="none"/>
                    </w:rPr>
                  </w:pPr>
                  <w:r>
                    <w:rPr>
                      <w:strike w:val="0"/>
                      <w:dstrike w:val="0"/>
                      <w:color w:val="auto"/>
                      <w:szCs w:val="21"/>
                      <w:highlight w:val="none"/>
                    </w:rPr>
                    <w:t>场地冲洗用水</w:t>
                  </w:r>
                </w:p>
              </w:tc>
              <w:tc>
                <w:tcPr>
                  <w:tcW w:w="461" w:type="pct"/>
                  <w:vAlign w:val="center"/>
                </w:tcPr>
                <w:p w14:paraId="16F55144">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w:t>
                  </w:r>
                </w:p>
              </w:tc>
              <w:tc>
                <w:tcPr>
                  <w:tcW w:w="615" w:type="pct"/>
                  <w:vAlign w:val="center"/>
                </w:tcPr>
                <w:p w14:paraId="58A4CBAD">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2L/m</w:t>
                  </w:r>
                  <w:r>
                    <w:rPr>
                      <w:strike w:val="0"/>
                      <w:dstrike w:val="0"/>
                      <w:color w:val="auto"/>
                      <w:szCs w:val="21"/>
                      <w:highlight w:val="none"/>
                      <w:vertAlign w:val="superscript"/>
                    </w:rPr>
                    <w:t>2</w:t>
                  </w:r>
                  <w:r>
                    <w:rPr>
                      <w:strike w:val="0"/>
                      <w:dstrike w:val="0"/>
                      <w:color w:val="auto"/>
                      <w:szCs w:val="21"/>
                      <w:highlight w:val="none"/>
                    </w:rPr>
                    <w:t>·次</w:t>
                  </w:r>
                </w:p>
              </w:tc>
              <w:tc>
                <w:tcPr>
                  <w:tcW w:w="654" w:type="pct"/>
                  <w:vAlign w:val="center"/>
                </w:tcPr>
                <w:p w14:paraId="7E4B36EE">
                  <w:pPr>
                    <w:widowControl/>
                    <w:autoSpaceDE w:val="0"/>
                    <w:autoSpaceDN w:val="0"/>
                    <w:adjustRightInd w:val="0"/>
                    <w:snapToGrid w:val="0"/>
                    <w:jc w:val="center"/>
                    <w:rPr>
                      <w:rFonts w:hint="default" w:ascii="Times New Roman" w:hAnsi="Times New Roman" w:cs="Times New Roman"/>
                      <w:strike w:val="0"/>
                      <w:dstrike w:val="0"/>
                      <w:color w:val="auto"/>
                      <w:szCs w:val="21"/>
                      <w:highlight w:val="none"/>
                      <w:lang w:val="en-US" w:eastAsia="zh-CN"/>
                    </w:rPr>
                  </w:pPr>
                  <w:r>
                    <w:rPr>
                      <w:rFonts w:hint="eastAsia" w:ascii="Times New Roman" w:hAnsi="Times New Roman" w:cs="Times New Roman"/>
                      <w:strike w:val="0"/>
                      <w:dstrike w:val="0"/>
                      <w:color w:val="auto"/>
                      <w:szCs w:val="21"/>
                      <w:highlight w:val="none"/>
                      <w:lang w:val="en-US" w:eastAsia="zh-CN"/>
                    </w:rPr>
                    <w:t>5.830</w:t>
                  </w:r>
                </w:p>
              </w:tc>
              <w:tc>
                <w:tcPr>
                  <w:tcW w:w="619" w:type="pct"/>
                  <w:vAlign w:val="center"/>
                </w:tcPr>
                <w:p w14:paraId="75162224">
                  <w:pPr>
                    <w:widowControl/>
                    <w:autoSpaceDE w:val="0"/>
                    <w:autoSpaceDN w:val="0"/>
                    <w:adjustRightInd w:val="0"/>
                    <w:snapToGrid w:val="0"/>
                    <w:jc w:val="center"/>
                    <w:rPr>
                      <w:rFonts w:hint="eastAsia" w:ascii="Times New Roman" w:hAnsi="Times New Roman" w:cs="Times New Roman"/>
                      <w:strike w:val="0"/>
                      <w:dstrike w:val="0"/>
                      <w:color w:val="auto"/>
                      <w:szCs w:val="21"/>
                      <w:highlight w:val="none"/>
                      <w:lang w:val="en-US" w:eastAsia="zh-CN"/>
                    </w:rPr>
                  </w:pPr>
                  <w:r>
                    <w:rPr>
                      <w:rFonts w:hint="eastAsia" w:ascii="Times New Roman" w:hAnsi="Times New Roman" w:cs="Times New Roman"/>
                      <w:strike w:val="0"/>
                      <w:dstrike w:val="0"/>
                      <w:color w:val="auto"/>
                      <w:szCs w:val="21"/>
                      <w:highlight w:val="none"/>
                      <w:lang w:val="en-US" w:eastAsia="zh-CN"/>
                    </w:rPr>
                    <w:t>303.16</w:t>
                  </w:r>
                </w:p>
              </w:tc>
              <w:tc>
                <w:tcPr>
                  <w:tcW w:w="591" w:type="pct"/>
                  <w:vAlign w:val="center"/>
                </w:tcPr>
                <w:p w14:paraId="2C2E291E">
                  <w:pPr>
                    <w:widowControl/>
                    <w:autoSpaceDE w:val="0"/>
                    <w:autoSpaceDN w:val="0"/>
                    <w:adjustRightInd w:val="0"/>
                    <w:snapToGrid w:val="0"/>
                    <w:jc w:val="center"/>
                    <w:rPr>
                      <w:rFonts w:hint="eastAsia" w:ascii="Times New Roman" w:hAnsi="Times New Roman" w:cs="Times New Roman"/>
                      <w:strike w:val="0"/>
                      <w:dstrike w:val="0"/>
                      <w:color w:val="auto"/>
                      <w:szCs w:val="21"/>
                      <w:highlight w:val="none"/>
                      <w:lang w:val="en-US" w:eastAsia="zh-CN"/>
                    </w:rPr>
                  </w:pPr>
                  <w:r>
                    <w:rPr>
                      <w:rFonts w:hint="eastAsia" w:ascii="Times New Roman" w:hAnsi="Times New Roman" w:cs="Times New Roman"/>
                      <w:strike w:val="0"/>
                      <w:dstrike w:val="0"/>
                      <w:color w:val="auto"/>
                      <w:szCs w:val="21"/>
                      <w:highlight w:val="none"/>
                      <w:lang w:val="en-US" w:eastAsia="zh-CN"/>
                    </w:rPr>
                    <w:t>4.664</w:t>
                  </w:r>
                </w:p>
              </w:tc>
              <w:tc>
                <w:tcPr>
                  <w:tcW w:w="599" w:type="pct"/>
                  <w:vAlign w:val="center"/>
                </w:tcPr>
                <w:p w14:paraId="0CBC89C0">
                  <w:pPr>
                    <w:widowControl/>
                    <w:autoSpaceDE w:val="0"/>
                    <w:autoSpaceDN w:val="0"/>
                    <w:adjustRightInd w:val="0"/>
                    <w:snapToGrid w:val="0"/>
                    <w:jc w:val="center"/>
                    <w:rPr>
                      <w:rFonts w:hint="eastAsia" w:ascii="Times New Roman" w:hAnsi="Times New Roman" w:cs="Times New Roman"/>
                      <w:strike w:val="0"/>
                      <w:dstrike w:val="0"/>
                      <w:color w:val="auto"/>
                      <w:szCs w:val="21"/>
                      <w:highlight w:val="none"/>
                      <w:lang w:val="en-US" w:eastAsia="zh-CN"/>
                    </w:rPr>
                  </w:pPr>
                  <w:r>
                    <w:rPr>
                      <w:rFonts w:hint="eastAsia" w:ascii="Times New Roman" w:hAnsi="Times New Roman" w:cs="Times New Roman"/>
                      <w:strike w:val="0"/>
                      <w:dstrike w:val="0"/>
                      <w:color w:val="auto"/>
                      <w:szCs w:val="21"/>
                      <w:highlight w:val="none"/>
                      <w:lang w:val="en-US" w:eastAsia="zh-CN"/>
                    </w:rPr>
                    <w:t>242.53</w:t>
                  </w:r>
                </w:p>
              </w:tc>
              <w:tc>
                <w:tcPr>
                  <w:tcW w:w="589" w:type="pct"/>
                  <w:vAlign w:val="center"/>
                </w:tcPr>
                <w:p w14:paraId="584B12E0">
                  <w:pPr>
                    <w:widowControl/>
                    <w:jc w:val="center"/>
                    <w:textAlignment w:val="center"/>
                    <w:rPr>
                      <w:strike w:val="0"/>
                      <w:dstrike w:val="0"/>
                      <w:color w:val="auto"/>
                      <w:szCs w:val="21"/>
                      <w:highlight w:val="none"/>
                    </w:rPr>
                  </w:pPr>
                  <w:r>
                    <w:rPr>
                      <w:strike w:val="0"/>
                      <w:dstrike w:val="0"/>
                      <w:color w:val="auto"/>
                      <w:kern w:val="0"/>
                      <w:szCs w:val="21"/>
                      <w:highlight w:val="none"/>
                      <w:lang w:bidi="ar"/>
                    </w:rPr>
                    <w:t>进入三段式隔油池处理</w:t>
                  </w:r>
                </w:p>
              </w:tc>
            </w:tr>
            <w:tr w14:paraId="7692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3" w:type="pct"/>
                  <w:vAlign w:val="center"/>
                </w:tcPr>
                <w:p w14:paraId="660FEA56">
                  <w:pPr>
                    <w:autoSpaceDE w:val="0"/>
                    <w:autoSpaceDN w:val="0"/>
                    <w:adjustRightInd w:val="0"/>
                    <w:snapToGrid w:val="0"/>
                    <w:jc w:val="center"/>
                    <w:textAlignment w:val="center"/>
                    <w:rPr>
                      <w:strike w:val="0"/>
                      <w:dstrike w:val="0"/>
                      <w:color w:val="auto"/>
                      <w:szCs w:val="21"/>
                      <w:highlight w:val="none"/>
                    </w:rPr>
                  </w:pPr>
                  <w:r>
                    <w:rPr>
                      <w:strike w:val="0"/>
                      <w:dstrike w:val="0"/>
                      <w:color w:val="auto"/>
                      <w:szCs w:val="21"/>
                      <w:highlight w:val="none"/>
                    </w:rPr>
                    <w:t>4</w:t>
                  </w:r>
                </w:p>
              </w:tc>
              <w:tc>
                <w:tcPr>
                  <w:tcW w:w="595" w:type="pct"/>
                  <w:vAlign w:val="center"/>
                </w:tcPr>
                <w:p w14:paraId="2B3F265E">
                  <w:pPr>
                    <w:autoSpaceDE w:val="0"/>
                    <w:autoSpaceDN w:val="0"/>
                    <w:adjustRightInd w:val="0"/>
                    <w:snapToGrid w:val="0"/>
                    <w:jc w:val="center"/>
                    <w:textAlignment w:val="center"/>
                    <w:rPr>
                      <w:strike w:val="0"/>
                      <w:dstrike w:val="0"/>
                      <w:color w:val="auto"/>
                      <w:szCs w:val="21"/>
                      <w:highlight w:val="none"/>
                    </w:rPr>
                  </w:pPr>
                  <w:r>
                    <w:rPr>
                      <w:strike w:val="0"/>
                      <w:dstrike w:val="0"/>
                      <w:color w:val="auto"/>
                      <w:szCs w:val="21"/>
                      <w:highlight w:val="none"/>
                    </w:rPr>
                    <w:t>绿化用水</w:t>
                  </w:r>
                </w:p>
              </w:tc>
              <w:tc>
                <w:tcPr>
                  <w:tcW w:w="461" w:type="pct"/>
                  <w:vAlign w:val="center"/>
                </w:tcPr>
                <w:p w14:paraId="01D53255">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w:t>
                  </w:r>
                </w:p>
              </w:tc>
              <w:tc>
                <w:tcPr>
                  <w:tcW w:w="615" w:type="pct"/>
                  <w:vAlign w:val="center"/>
                </w:tcPr>
                <w:p w14:paraId="655FEA6D">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2L/m</w:t>
                  </w:r>
                  <w:r>
                    <w:rPr>
                      <w:strike w:val="0"/>
                      <w:dstrike w:val="0"/>
                      <w:color w:val="auto"/>
                      <w:szCs w:val="21"/>
                      <w:highlight w:val="none"/>
                      <w:vertAlign w:val="superscript"/>
                    </w:rPr>
                    <w:t>2</w:t>
                  </w:r>
                  <w:r>
                    <w:rPr>
                      <w:strike w:val="0"/>
                      <w:dstrike w:val="0"/>
                      <w:color w:val="auto"/>
                      <w:szCs w:val="21"/>
                      <w:highlight w:val="none"/>
                    </w:rPr>
                    <w:t>·次</w:t>
                  </w:r>
                </w:p>
              </w:tc>
              <w:tc>
                <w:tcPr>
                  <w:tcW w:w="654" w:type="pct"/>
                  <w:vAlign w:val="center"/>
                </w:tcPr>
                <w:p w14:paraId="70BF4B62">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0.64</w:t>
                  </w:r>
                </w:p>
              </w:tc>
              <w:tc>
                <w:tcPr>
                  <w:tcW w:w="619" w:type="pct"/>
                  <w:vAlign w:val="center"/>
                </w:tcPr>
                <w:p w14:paraId="0A0FDCA4">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33.28</w:t>
                  </w:r>
                </w:p>
              </w:tc>
              <w:tc>
                <w:tcPr>
                  <w:tcW w:w="591" w:type="pct"/>
                  <w:vAlign w:val="center"/>
                </w:tcPr>
                <w:p w14:paraId="615FFDE9">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w:t>
                  </w:r>
                </w:p>
              </w:tc>
              <w:tc>
                <w:tcPr>
                  <w:tcW w:w="599" w:type="pct"/>
                  <w:vAlign w:val="center"/>
                </w:tcPr>
                <w:p w14:paraId="1F0493BA">
                  <w:pPr>
                    <w:widowControl/>
                    <w:autoSpaceDE w:val="0"/>
                    <w:autoSpaceDN w:val="0"/>
                    <w:adjustRightInd w:val="0"/>
                    <w:snapToGrid w:val="0"/>
                    <w:jc w:val="center"/>
                    <w:rPr>
                      <w:strike w:val="0"/>
                      <w:dstrike w:val="0"/>
                      <w:color w:val="auto"/>
                      <w:szCs w:val="21"/>
                      <w:highlight w:val="none"/>
                    </w:rPr>
                  </w:pPr>
                  <w:r>
                    <w:rPr>
                      <w:strike w:val="0"/>
                      <w:dstrike w:val="0"/>
                      <w:color w:val="auto"/>
                      <w:szCs w:val="21"/>
                      <w:highlight w:val="none"/>
                    </w:rPr>
                    <w:t>/</w:t>
                  </w:r>
                </w:p>
              </w:tc>
              <w:tc>
                <w:tcPr>
                  <w:tcW w:w="589" w:type="pct"/>
                  <w:vAlign w:val="center"/>
                </w:tcPr>
                <w:p w14:paraId="5F77AB78">
                  <w:pPr>
                    <w:widowControl/>
                    <w:jc w:val="center"/>
                    <w:textAlignment w:val="center"/>
                    <w:rPr>
                      <w:strike w:val="0"/>
                      <w:dstrike w:val="0"/>
                      <w:color w:val="auto"/>
                      <w:szCs w:val="21"/>
                      <w:highlight w:val="none"/>
                    </w:rPr>
                  </w:pPr>
                  <w:r>
                    <w:rPr>
                      <w:strike w:val="0"/>
                      <w:dstrike w:val="0"/>
                      <w:color w:val="auto"/>
                      <w:szCs w:val="21"/>
                      <w:highlight w:val="none"/>
                    </w:rPr>
                    <w:t>全部用于绿化</w:t>
                  </w:r>
                </w:p>
              </w:tc>
            </w:tr>
            <w:tr w14:paraId="2D10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946" w:type="pct"/>
                  <w:gridSpan w:val="4"/>
                  <w:vAlign w:val="center"/>
                </w:tcPr>
                <w:p w14:paraId="25D9428E">
                  <w:pPr>
                    <w:widowControl/>
                    <w:autoSpaceDE w:val="0"/>
                    <w:autoSpaceDN w:val="0"/>
                    <w:adjustRightInd w:val="0"/>
                    <w:snapToGrid w:val="0"/>
                    <w:jc w:val="center"/>
                    <w:rPr>
                      <w:strike w:val="0"/>
                      <w:dstrike w:val="0"/>
                      <w:color w:val="auto"/>
                      <w:szCs w:val="21"/>
                      <w:highlight w:val="none"/>
                    </w:rPr>
                  </w:pPr>
                  <w:r>
                    <w:rPr>
                      <w:rFonts w:hint="eastAsia"/>
                      <w:strike w:val="0"/>
                      <w:dstrike w:val="0"/>
                      <w:color w:val="auto"/>
                      <w:szCs w:val="21"/>
                      <w:highlight w:val="none"/>
                    </w:rPr>
                    <w:t>合计</w:t>
                  </w:r>
                </w:p>
              </w:tc>
              <w:tc>
                <w:tcPr>
                  <w:tcW w:w="654" w:type="pct"/>
                  <w:vAlign w:val="center"/>
                </w:tcPr>
                <w:p w14:paraId="0FFEEA26">
                  <w:pPr>
                    <w:keepNext w:val="0"/>
                    <w:keepLines w:val="0"/>
                    <w:widowControl/>
                    <w:suppressLineNumbers w:val="0"/>
                    <w:jc w:val="center"/>
                    <w:textAlignment w:val="center"/>
                    <w:rPr>
                      <w:rFonts w:hint="default"/>
                      <w:strike w:val="0"/>
                      <w:dstrike w:val="0"/>
                      <w:color w:val="auto"/>
                      <w:szCs w:val="21"/>
                      <w:highlight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10.17</w:t>
                  </w:r>
                  <w:r>
                    <w:rPr>
                      <w:rFonts w:hint="eastAsia" w:ascii="Times New Roman" w:hAnsi="Times New Roman" w:cs="Times New Roman"/>
                      <w:i w:val="0"/>
                      <w:iCs w:val="0"/>
                      <w:strike w:val="0"/>
                      <w:dstrike w:val="0"/>
                      <w:color w:val="auto"/>
                      <w:kern w:val="0"/>
                      <w:sz w:val="21"/>
                      <w:szCs w:val="21"/>
                      <w:highlight w:val="none"/>
                      <w:u w:val="none"/>
                      <w:lang w:val="en-US" w:eastAsia="zh-CN" w:bidi="ar"/>
                    </w:rPr>
                    <w:t>0</w:t>
                  </w:r>
                </w:p>
              </w:tc>
              <w:tc>
                <w:tcPr>
                  <w:tcW w:w="619" w:type="pct"/>
                  <w:vAlign w:val="center"/>
                </w:tcPr>
                <w:p w14:paraId="01A9FDF1">
                  <w:pPr>
                    <w:keepNext w:val="0"/>
                    <w:keepLines w:val="0"/>
                    <w:widowControl/>
                    <w:suppressLineNumbers w:val="0"/>
                    <w:jc w:val="center"/>
                    <w:textAlignment w:val="center"/>
                    <w:rPr>
                      <w:strike w:val="0"/>
                      <w:dstrike w:val="0"/>
                      <w:color w:val="auto"/>
                      <w:szCs w:val="21"/>
                      <w:highlight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1686.94</w:t>
                  </w:r>
                </w:p>
              </w:tc>
              <w:tc>
                <w:tcPr>
                  <w:tcW w:w="591" w:type="pct"/>
                  <w:vAlign w:val="center"/>
                </w:tcPr>
                <w:p w14:paraId="7854E652">
                  <w:pPr>
                    <w:keepNext w:val="0"/>
                    <w:keepLines w:val="0"/>
                    <w:widowControl/>
                    <w:suppressLineNumbers w:val="0"/>
                    <w:jc w:val="center"/>
                    <w:textAlignment w:val="center"/>
                    <w:rPr>
                      <w:strike w:val="0"/>
                      <w:dstrike w:val="0"/>
                      <w:color w:val="auto"/>
                      <w:szCs w:val="21"/>
                      <w:highlight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7.994</w:t>
                  </w:r>
                </w:p>
              </w:tc>
              <w:tc>
                <w:tcPr>
                  <w:tcW w:w="599" w:type="pct"/>
                  <w:vAlign w:val="center"/>
                </w:tcPr>
                <w:p w14:paraId="78650D5A">
                  <w:pPr>
                    <w:keepNext w:val="0"/>
                    <w:keepLines w:val="0"/>
                    <w:widowControl/>
                    <w:suppressLineNumbers w:val="0"/>
                    <w:jc w:val="center"/>
                    <w:textAlignment w:val="center"/>
                    <w:rPr>
                      <w:strike w:val="0"/>
                      <w:dstrike w:val="0"/>
                      <w:color w:val="auto"/>
                      <w:szCs w:val="21"/>
                      <w:highlight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1457.98</w:t>
                  </w:r>
                </w:p>
              </w:tc>
              <w:tc>
                <w:tcPr>
                  <w:tcW w:w="589" w:type="pct"/>
                  <w:vAlign w:val="center"/>
                </w:tcPr>
                <w:p w14:paraId="71BA2F9E">
                  <w:pPr>
                    <w:widowControl/>
                    <w:jc w:val="center"/>
                    <w:textAlignment w:val="center"/>
                    <w:rPr>
                      <w:strike w:val="0"/>
                      <w:dstrike w:val="0"/>
                      <w:color w:val="auto"/>
                      <w:szCs w:val="21"/>
                      <w:highlight w:val="none"/>
                    </w:rPr>
                  </w:pPr>
                  <w:r>
                    <w:rPr>
                      <w:rFonts w:hint="eastAsia"/>
                      <w:strike w:val="0"/>
                      <w:dstrike w:val="0"/>
                      <w:color w:val="auto"/>
                      <w:szCs w:val="21"/>
                      <w:highlight w:val="none"/>
                    </w:rPr>
                    <w:t>/</w:t>
                  </w:r>
                </w:p>
              </w:tc>
            </w:tr>
          </w:tbl>
          <w:p w14:paraId="55EB3E2E">
            <w:pPr>
              <w:pStyle w:val="53"/>
              <w:spacing w:line="240" w:lineRule="auto"/>
              <w:ind w:firstLine="0" w:firstLineChars="0"/>
              <w:jc w:val="center"/>
              <w:rPr>
                <w:strike w:val="0"/>
                <w:dstrike w:val="0"/>
                <w:color w:val="auto"/>
                <w:highlight w:val="none"/>
              </w:rPr>
            </w:pPr>
            <w:r>
              <w:rPr>
                <w:strike w:val="0"/>
                <w:dstrike w:val="0"/>
                <w:color w:val="auto"/>
                <w:highlight w:val="none"/>
              </w:rPr>
              <w:object>
                <v:shape id="_x0000_i1025" o:spt="75" type="#_x0000_t75" style="height:179.3pt;width:342.7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p>
          <w:p w14:paraId="04292002">
            <w:pPr>
              <w:jc w:val="center"/>
              <w:rPr>
                <w:strike w:val="0"/>
                <w:dstrike w:val="0"/>
                <w:color w:val="auto"/>
                <w:sz w:val="24"/>
                <w:highlight w:val="none"/>
              </w:rPr>
            </w:pPr>
            <w:r>
              <w:rPr>
                <w:b/>
                <w:bCs/>
                <w:strike w:val="0"/>
                <w:dstrike w:val="0"/>
                <w:color w:val="auto"/>
                <w:sz w:val="24"/>
                <w:highlight w:val="none"/>
                <w:lang w:bidi="ar"/>
              </w:rPr>
              <w:t>图2.1-1  本项目最大日水平衡图（</w:t>
            </w:r>
            <w:r>
              <w:rPr>
                <w:b/>
                <w:bCs/>
                <w:strike w:val="0"/>
                <w:dstrike w:val="0"/>
                <w:color w:val="auto"/>
                <w:sz w:val="24"/>
                <w:highlight w:val="none"/>
              </w:rPr>
              <w:t>m</w:t>
            </w:r>
            <w:r>
              <w:rPr>
                <w:b/>
                <w:bCs/>
                <w:strike w:val="0"/>
                <w:dstrike w:val="0"/>
                <w:color w:val="auto"/>
                <w:sz w:val="24"/>
                <w:highlight w:val="none"/>
                <w:vertAlign w:val="superscript"/>
              </w:rPr>
              <w:t>3</w:t>
            </w:r>
            <w:r>
              <w:rPr>
                <w:b/>
                <w:bCs/>
                <w:strike w:val="0"/>
                <w:dstrike w:val="0"/>
                <w:color w:val="auto"/>
                <w:sz w:val="24"/>
                <w:highlight w:val="none"/>
              </w:rPr>
              <w:t>/d</w:t>
            </w:r>
            <w:r>
              <w:rPr>
                <w:b/>
                <w:bCs/>
                <w:strike w:val="0"/>
                <w:dstrike w:val="0"/>
                <w:color w:val="auto"/>
                <w:sz w:val="24"/>
                <w:highlight w:val="none"/>
                <w:lang w:bidi="ar"/>
              </w:rPr>
              <w:t>）</w:t>
            </w:r>
          </w:p>
          <w:p w14:paraId="3915A406">
            <w:pPr>
              <w:adjustRightInd w:val="0"/>
              <w:snapToGrid w:val="0"/>
              <w:spacing w:line="360" w:lineRule="auto"/>
              <w:rPr>
                <w:b/>
                <w:bCs/>
                <w:strike w:val="0"/>
                <w:dstrike w:val="0"/>
                <w:color w:val="auto"/>
                <w:sz w:val="24"/>
                <w:highlight w:val="none"/>
              </w:rPr>
            </w:pPr>
            <w:r>
              <w:rPr>
                <w:b/>
                <w:bCs/>
                <w:strike w:val="0"/>
                <w:dstrike w:val="0"/>
                <w:color w:val="auto"/>
                <w:sz w:val="24"/>
                <w:highlight w:val="none"/>
              </w:rPr>
              <w:t>2.1.9 公用工程</w:t>
            </w:r>
          </w:p>
          <w:p w14:paraId="371C01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bCs/>
                <w:strike w:val="0"/>
                <w:dstrike w:val="0"/>
                <w:color w:val="auto"/>
                <w:sz w:val="24"/>
                <w:highlight w:val="none"/>
              </w:rPr>
            </w:pPr>
            <w:r>
              <w:rPr>
                <w:strike w:val="0"/>
                <w:dstrike w:val="0"/>
                <w:color w:val="auto"/>
                <w:sz w:val="24"/>
                <w:highlight w:val="none"/>
              </w:rPr>
              <w:t>①供配电</w:t>
            </w:r>
          </w:p>
          <w:p w14:paraId="6BD80EE0">
            <w:pPr>
              <w:spacing w:line="360" w:lineRule="auto"/>
              <w:ind w:firstLine="480" w:firstLineChars="200"/>
              <w:rPr>
                <w:rFonts w:hint="eastAsia" w:ascii="Times New Roman" w:hAnsi="Times New Roman" w:cs="Times New Roman"/>
                <w:bCs/>
                <w:strike w:val="0"/>
                <w:dstrike w:val="0"/>
                <w:color w:val="auto"/>
                <w:sz w:val="24"/>
                <w:szCs w:val="24"/>
                <w:highlight w:val="none"/>
                <w:lang w:val="en-US" w:eastAsia="zh-CN"/>
              </w:rPr>
            </w:pPr>
            <w:r>
              <w:rPr>
                <w:rFonts w:ascii="Times New Roman" w:hAnsi="Times New Roman" w:cs="Times New Roman"/>
                <w:bCs/>
                <w:strike w:val="0"/>
                <w:dstrike w:val="0"/>
                <w:color w:val="auto"/>
                <w:sz w:val="24"/>
                <w:szCs w:val="24"/>
                <w:highlight w:val="none"/>
              </w:rPr>
              <w:t>站内供电电源由10kV 市政电网“T</w:t>
            </w:r>
            <w:r>
              <w:rPr>
                <w:rFonts w:hint="eastAsia" w:ascii="Times New Roman" w:hAnsi="Times New Roman" w:cs="Times New Roman"/>
                <w:bCs/>
                <w:strike w:val="0"/>
                <w:dstrike w:val="0"/>
                <w:color w:val="auto"/>
                <w:sz w:val="24"/>
                <w:szCs w:val="24"/>
                <w:highlight w:val="none"/>
              </w:rPr>
              <w:t>”</w:t>
            </w:r>
            <w:r>
              <w:rPr>
                <w:rFonts w:ascii="Times New Roman" w:hAnsi="Times New Roman" w:cs="Times New Roman"/>
                <w:bCs/>
                <w:strike w:val="0"/>
                <w:dstrike w:val="0"/>
                <w:color w:val="auto"/>
                <w:sz w:val="24"/>
                <w:szCs w:val="24"/>
                <w:highlight w:val="none"/>
              </w:rPr>
              <w:t>接后直埋引入站内箱变高压进线柜，经变压器降压后，通过低压配电柜出线端向站内生产、生活等用电设备供电</w:t>
            </w:r>
            <w:r>
              <w:rPr>
                <w:rFonts w:hint="eastAsia" w:ascii="Times New Roman" w:hAnsi="Times New Roman" w:cs="Times New Roman"/>
                <w:bCs/>
                <w:strike w:val="0"/>
                <w:dstrike w:val="0"/>
                <w:color w:val="auto"/>
                <w:sz w:val="24"/>
                <w:szCs w:val="24"/>
                <w:highlight w:val="none"/>
              </w:rPr>
              <w:t>，配电电压为380V。配电系统接地形式采用TN-S系统，总配电柜内引出的配电线路PE线与N线分开设置；采用放射式供电方式。信息系统配备UPS不间断供电电源。</w:t>
            </w:r>
          </w:p>
          <w:p w14:paraId="5A88986A">
            <w:pPr>
              <w:spacing w:line="360" w:lineRule="auto"/>
              <w:ind w:firstLine="480" w:firstLineChars="200"/>
              <w:rPr>
                <w:rFonts w:hint="eastAsia" w:ascii="Times New Roman" w:hAnsi="Times New Roman" w:cs="Times New Roman"/>
                <w:bCs/>
                <w:strike w:val="0"/>
                <w:dstrike w:val="0"/>
                <w:color w:val="auto"/>
                <w:sz w:val="24"/>
                <w:szCs w:val="24"/>
                <w:highlight w:val="none"/>
                <w:lang w:val="en-US" w:eastAsia="zh-CN"/>
              </w:rPr>
            </w:pPr>
            <w:r>
              <w:rPr>
                <w:rFonts w:ascii="Times New Roman" w:hAnsi="Times New Roman" w:cs="Times New Roman"/>
                <w:bCs/>
                <w:strike w:val="0"/>
                <w:dstrike w:val="0"/>
                <w:color w:val="auto"/>
                <w:sz w:val="24"/>
                <w:szCs w:val="24"/>
                <w:highlight w:val="none"/>
              </w:rPr>
              <w:t>②</w:t>
            </w:r>
            <w:r>
              <w:rPr>
                <w:rFonts w:hint="eastAsia" w:ascii="Times New Roman" w:hAnsi="Times New Roman" w:cs="Times New Roman"/>
                <w:bCs/>
                <w:strike w:val="0"/>
                <w:dstrike w:val="0"/>
                <w:color w:val="auto"/>
                <w:sz w:val="24"/>
                <w:szCs w:val="24"/>
                <w:highlight w:val="none"/>
                <w:lang w:val="en-US" w:eastAsia="zh-CN"/>
              </w:rPr>
              <w:t>照明</w:t>
            </w:r>
          </w:p>
          <w:p w14:paraId="3EB3192C">
            <w:pPr>
              <w:spacing w:line="360" w:lineRule="auto"/>
              <w:ind w:firstLine="480" w:firstLineChars="200"/>
              <w:rPr>
                <w:rFonts w:ascii="Times New Roman" w:hAnsi="Times New Roman" w:cs="Times New Roman"/>
                <w:bCs/>
                <w:strike w:val="0"/>
                <w:dstrike w:val="0"/>
                <w:color w:val="auto"/>
                <w:sz w:val="24"/>
                <w:szCs w:val="24"/>
                <w:highlight w:val="none"/>
              </w:rPr>
            </w:pPr>
            <w:r>
              <w:rPr>
                <w:rFonts w:hint="eastAsia" w:ascii="Times New Roman" w:hAnsi="Times New Roman" w:cs="Times New Roman"/>
                <w:bCs/>
                <w:strike w:val="0"/>
                <w:dstrike w:val="0"/>
                <w:color w:val="auto"/>
                <w:sz w:val="24"/>
                <w:szCs w:val="24"/>
                <w:highlight w:val="none"/>
              </w:rPr>
              <w:t>所有爆炸危险场所，均采用隔爆型电气设备，防爆等级不低于EXd IIAT3；加油罩棚下选用防护等级IP44节能型照明灯具。</w:t>
            </w:r>
          </w:p>
          <w:p w14:paraId="05D4508C">
            <w:pPr>
              <w:spacing w:line="360" w:lineRule="auto"/>
              <w:ind w:firstLine="480" w:firstLineChars="200"/>
              <w:rPr>
                <w:rFonts w:hint="eastAsia" w:ascii="Times New Roman" w:hAnsi="Times New Roman" w:cs="Times New Roman"/>
                <w:bCs/>
                <w:strike w:val="0"/>
                <w:dstrike w:val="0"/>
                <w:color w:val="auto"/>
                <w:sz w:val="24"/>
                <w:szCs w:val="24"/>
                <w:highlight w:val="none"/>
              </w:rPr>
            </w:pPr>
            <w:r>
              <w:rPr>
                <w:rFonts w:hint="eastAsia" w:ascii="Times New Roman" w:hAnsi="Times New Roman" w:cs="Times New Roman"/>
                <w:bCs/>
                <w:strike w:val="0"/>
                <w:dstrike w:val="0"/>
                <w:color w:val="auto"/>
                <w:sz w:val="24"/>
                <w:szCs w:val="24"/>
                <w:highlight w:val="none"/>
              </w:rPr>
              <w:t>所有光源均为节能光源，灯具为高效节能灯具。荧光灯、气体放电灯均配电子</w:t>
            </w:r>
            <w:r>
              <w:rPr>
                <w:rFonts w:hint="eastAsia" w:cs="Times New Roman"/>
                <w:bCs/>
                <w:strike w:val="0"/>
                <w:dstrike w:val="0"/>
                <w:color w:val="auto"/>
                <w:sz w:val="24"/>
                <w:szCs w:val="24"/>
                <w:highlight w:val="none"/>
                <w:lang w:val="en-US" w:eastAsia="zh-CN"/>
              </w:rPr>
              <w:t>镇</w:t>
            </w:r>
            <w:r>
              <w:rPr>
                <w:rFonts w:hint="eastAsia" w:ascii="Times New Roman" w:hAnsi="Times New Roman" w:cs="Times New Roman"/>
                <w:bCs/>
                <w:strike w:val="0"/>
                <w:dstrike w:val="0"/>
                <w:color w:val="auto"/>
                <w:sz w:val="24"/>
                <w:szCs w:val="24"/>
                <w:highlight w:val="none"/>
              </w:rPr>
              <w:t>流器，单灯功率因数不小于0.9。所有应急灯均自带有蓄电池，蓄电池能保证其连续工作时间不低于90min。</w:t>
            </w:r>
          </w:p>
          <w:p w14:paraId="2794D8E9">
            <w:pPr>
              <w:spacing w:line="360" w:lineRule="auto"/>
              <w:ind w:firstLine="480" w:firstLineChars="200"/>
              <w:rPr>
                <w:rFonts w:hint="eastAsia" w:ascii="Times New Roman" w:hAnsi="Times New Roman" w:cs="Times New Roman"/>
                <w:bCs/>
                <w:strike w:val="0"/>
                <w:dstrike w:val="0"/>
                <w:color w:val="auto"/>
                <w:sz w:val="24"/>
                <w:szCs w:val="24"/>
                <w:highlight w:val="none"/>
              </w:rPr>
            </w:pPr>
            <w:r>
              <w:rPr>
                <w:rFonts w:hint="eastAsia" w:ascii="Times New Roman" w:hAnsi="Times New Roman" w:cs="Times New Roman"/>
                <w:bCs/>
                <w:strike w:val="0"/>
                <w:dstrike w:val="0"/>
                <w:color w:val="auto"/>
                <w:sz w:val="24"/>
                <w:szCs w:val="24"/>
                <w:highlight w:val="none"/>
              </w:rPr>
              <w:fldChar w:fldCharType="begin"/>
            </w:r>
            <w:r>
              <w:rPr>
                <w:rFonts w:hint="eastAsia" w:ascii="Times New Roman" w:hAnsi="Times New Roman" w:cs="Times New Roman"/>
                <w:bCs/>
                <w:strike w:val="0"/>
                <w:dstrike w:val="0"/>
                <w:color w:val="auto"/>
                <w:sz w:val="24"/>
                <w:szCs w:val="24"/>
                <w:highlight w:val="none"/>
              </w:rPr>
              <w:instrText xml:space="preserve"> = 3 \* GB3 \* MERGEFORMAT </w:instrText>
            </w:r>
            <w:r>
              <w:rPr>
                <w:rFonts w:hint="eastAsia" w:ascii="Times New Roman" w:hAnsi="Times New Roman" w:cs="Times New Roman"/>
                <w:bCs/>
                <w:strike w:val="0"/>
                <w:dstrike w:val="0"/>
                <w:color w:val="auto"/>
                <w:sz w:val="24"/>
                <w:szCs w:val="24"/>
                <w:highlight w:val="none"/>
              </w:rPr>
              <w:fldChar w:fldCharType="separate"/>
            </w:r>
            <w:r>
              <w:rPr>
                <w:rFonts w:hint="eastAsia" w:ascii="Times New Roman" w:hAnsi="Times New Roman" w:cs="Times New Roman"/>
                <w:bCs/>
                <w:strike w:val="0"/>
                <w:dstrike w:val="0"/>
                <w:color w:val="auto"/>
                <w:sz w:val="24"/>
                <w:szCs w:val="24"/>
                <w:highlight w:val="none"/>
              </w:rPr>
              <w:t>③</w:t>
            </w:r>
            <w:r>
              <w:rPr>
                <w:rFonts w:hint="eastAsia" w:ascii="Times New Roman" w:hAnsi="Times New Roman" w:cs="Times New Roman"/>
                <w:bCs/>
                <w:strike w:val="0"/>
                <w:dstrike w:val="0"/>
                <w:color w:val="auto"/>
                <w:sz w:val="24"/>
                <w:szCs w:val="24"/>
                <w:highlight w:val="none"/>
              </w:rPr>
              <w:fldChar w:fldCharType="end"/>
            </w:r>
            <w:r>
              <w:rPr>
                <w:rFonts w:hint="eastAsia" w:ascii="Times New Roman" w:hAnsi="Times New Roman" w:cs="Times New Roman"/>
                <w:bCs/>
                <w:strike w:val="0"/>
                <w:dstrike w:val="0"/>
                <w:color w:val="auto"/>
                <w:sz w:val="24"/>
                <w:szCs w:val="24"/>
                <w:highlight w:val="none"/>
              </w:rPr>
              <w:t>消防</w:t>
            </w:r>
          </w:p>
          <w:p w14:paraId="3D381C76">
            <w:pPr>
              <w:spacing w:line="360" w:lineRule="auto"/>
              <w:ind w:firstLine="480" w:firstLineChars="200"/>
              <w:rPr>
                <w:rFonts w:hint="eastAsia" w:ascii="Times New Roman" w:hAnsi="Times New Roman" w:cs="Times New Roman"/>
                <w:bCs/>
                <w:strike w:val="0"/>
                <w:dstrike w:val="0"/>
                <w:color w:val="auto"/>
                <w:sz w:val="24"/>
                <w:szCs w:val="24"/>
                <w:highlight w:val="none"/>
              </w:rPr>
            </w:pPr>
            <w:r>
              <w:rPr>
                <w:rFonts w:hint="eastAsia" w:ascii="Times New Roman" w:hAnsi="Times New Roman" w:cs="Times New Roman"/>
                <w:bCs/>
                <w:strike w:val="0"/>
                <w:dstrike w:val="0"/>
                <w:color w:val="auto"/>
                <w:sz w:val="24"/>
                <w:szCs w:val="24"/>
                <w:highlight w:val="none"/>
              </w:rPr>
              <w:t>消防设计符合《汽车加油加气加氢站技术标准》（GB50156-2021）、《建筑物灭火器配置设计规范》（GB50140-2005）等中的相关规定。</w:t>
            </w:r>
          </w:p>
          <w:p w14:paraId="5FB23665">
            <w:pPr>
              <w:spacing w:line="360" w:lineRule="auto"/>
              <w:ind w:firstLine="480" w:firstLineChars="200"/>
              <w:rPr>
                <w:rFonts w:hint="eastAsia" w:ascii="Times New Roman" w:hAnsi="Times New Roman" w:cs="Times New Roman"/>
                <w:bCs/>
                <w:strike w:val="0"/>
                <w:dstrike w:val="0"/>
                <w:color w:val="auto"/>
                <w:sz w:val="24"/>
                <w:szCs w:val="24"/>
                <w:highlight w:val="none"/>
              </w:rPr>
            </w:pPr>
            <w:r>
              <w:rPr>
                <w:rFonts w:hint="eastAsia" w:ascii="Times New Roman" w:hAnsi="Times New Roman" w:cs="Times New Roman"/>
                <w:bCs/>
                <w:strike w:val="0"/>
                <w:dstrike w:val="0"/>
                <w:color w:val="auto"/>
                <w:sz w:val="24"/>
                <w:szCs w:val="24"/>
                <w:highlight w:val="none"/>
                <w:lang w:eastAsia="zh-CN"/>
              </w:rPr>
              <w:t>（</w:t>
            </w:r>
            <w:r>
              <w:rPr>
                <w:rFonts w:hint="eastAsia" w:ascii="Times New Roman" w:hAnsi="Times New Roman" w:cs="Times New Roman"/>
                <w:bCs/>
                <w:strike w:val="0"/>
                <w:dstrike w:val="0"/>
                <w:color w:val="auto"/>
                <w:sz w:val="24"/>
                <w:szCs w:val="24"/>
                <w:highlight w:val="none"/>
                <w:lang w:val="en-US" w:eastAsia="zh-CN"/>
              </w:rPr>
              <w:t>一</w:t>
            </w:r>
            <w:r>
              <w:rPr>
                <w:rFonts w:hint="eastAsia" w:ascii="Times New Roman" w:hAnsi="Times New Roman" w:cs="Times New Roman"/>
                <w:bCs/>
                <w:strike w:val="0"/>
                <w:dstrike w:val="0"/>
                <w:color w:val="auto"/>
                <w:sz w:val="24"/>
                <w:szCs w:val="24"/>
                <w:highlight w:val="none"/>
                <w:lang w:eastAsia="zh-CN"/>
              </w:rPr>
              <w:t>）</w:t>
            </w:r>
            <w:r>
              <w:rPr>
                <w:rFonts w:hint="eastAsia" w:ascii="Times New Roman" w:hAnsi="Times New Roman" w:cs="Times New Roman"/>
                <w:bCs/>
                <w:strike w:val="0"/>
                <w:dstrike w:val="0"/>
                <w:color w:val="auto"/>
                <w:sz w:val="24"/>
                <w:szCs w:val="24"/>
                <w:highlight w:val="none"/>
              </w:rPr>
              <w:t>消防设施配置情况</w:t>
            </w:r>
          </w:p>
          <w:p w14:paraId="02B9DF66">
            <w:pPr>
              <w:spacing w:line="360" w:lineRule="auto"/>
              <w:ind w:firstLine="480" w:firstLineChars="200"/>
              <w:jc w:val="left"/>
              <w:rPr>
                <w:strike w:val="0"/>
                <w:dstrike w:val="0"/>
                <w:color w:val="auto"/>
                <w:sz w:val="24"/>
                <w:highlight w:val="none"/>
              </w:rPr>
            </w:pPr>
            <w:r>
              <w:rPr>
                <w:strike w:val="0"/>
                <w:dstrike w:val="0"/>
                <w:color w:val="auto"/>
                <w:sz w:val="24"/>
                <w:highlight w:val="none"/>
              </w:rPr>
              <w:t>本站为二级加油与L</w:t>
            </w:r>
            <w:r>
              <w:rPr>
                <w:rFonts w:eastAsia="TimesNewRomanPSMT"/>
                <w:strike w:val="0"/>
                <w:dstrike w:val="0"/>
                <w:color w:val="auto"/>
                <w:sz w:val="24"/>
                <w:highlight w:val="none"/>
              </w:rPr>
              <w:t xml:space="preserve">NG </w:t>
            </w:r>
            <w:r>
              <w:rPr>
                <w:strike w:val="0"/>
                <w:dstrike w:val="0"/>
                <w:color w:val="auto"/>
                <w:sz w:val="24"/>
                <w:highlight w:val="none"/>
              </w:rPr>
              <w:t>加气合建站，按《汽车加油加气加氢站技术标准》要求，按规范配置加油站消防灭火器材。具体如下：</w:t>
            </w:r>
          </w:p>
          <w:p w14:paraId="73ED0362">
            <w:pPr>
              <w:spacing w:line="360" w:lineRule="auto"/>
              <w:ind w:firstLine="482" w:firstLineChars="200"/>
              <w:jc w:val="center"/>
              <w:rPr>
                <w:b/>
                <w:bCs/>
                <w:strike w:val="0"/>
                <w:dstrike w:val="0"/>
                <w:color w:val="auto"/>
                <w:sz w:val="24"/>
                <w:highlight w:val="none"/>
              </w:rPr>
            </w:pPr>
            <w:r>
              <w:rPr>
                <w:b/>
                <w:bCs/>
                <w:strike w:val="0"/>
                <w:dstrike w:val="0"/>
                <w:color w:val="auto"/>
                <w:sz w:val="24"/>
                <w:highlight w:val="none"/>
              </w:rPr>
              <w:t>表2.1-</w:t>
            </w:r>
            <w:r>
              <w:rPr>
                <w:rFonts w:hint="eastAsia"/>
                <w:b/>
                <w:bCs/>
                <w:strike w:val="0"/>
                <w:dstrike w:val="0"/>
                <w:color w:val="auto"/>
                <w:sz w:val="24"/>
                <w:highlight w:val="none"/>
                <w:lang w:val="en-US" w:eastAsia="zh-CN"/>
              </w:rPr>
              <w:t>10</w:t>
            </w:r>
            <w:r>
              <w:rPr>
                <w:b/>
                <w:bCs/>
                <w:strike w:val="0"/>
                <w:dstrike w:val="0"/>
                <w:color w:val="auto"/>
                <w:sz w:val="24"/>
                <w:highlight w:val="none"/>
              </w:rPr>
              <w:t xml:space="preserve">  消防器材一览表</w:t>
            </w:r>
          </w:p>
          <w:tbl>
            <w:tblPr>
              <w:tblStyle w:val="23"/>
              <w:tblW w:w="7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1311"/>
              <w:gridCol w:w="3769"/>
            </w:tblGrid>
            <w:tr w14:paraId="5943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65388AB0">
                  <w:pPr>
                    <w:jc w:val="center"/>
                    <w:rPr>
                      <w:b/>
                      <w:bCs/>
                      <w:strike w:val="0"/>
                      <w:dstrike w:val="0"/>
                      <w:color w:val="auto"/>
                      <w:szCs w:val="21"/>
                      <w:highlight w:val="none"/>
                    </w:rPr>
                  </w:pPr>
                  <w:r>
                    <w:rPr>
                      <w:b/>
                      <w:bCs/>
                      <w:strike w:val="0"/>
                      <w:dstrike w:val="0"/>
                      <w:color w:val="auto"/>
                      <w:szCs w:val="21"/>
                      <w:highlight w:val="none"/>
                    </w:rPr>
                    <w:t>消防器材</w:t>
                  </w:r>
                </w:p>
              </w:tc>
              <w:tc>
                <w:tcPr>
                  <w:tcW w:w="1311" w:type="dxa"/>
                  <w:vAlign w:val="center"/>
                </w:tcPr>
                <w:p w14:paraId="3E3BB75D">
                  <w:pPr>
                    <w:jc w:val="center"/>
                    <w:rPr>
                      <w:b/>
                      <w:bCs/>
                      <w:strike w:val="0"/>
                      <w:dstrike w:val="0"/>
                      <w:color w:val="auto"/>
                      <w:szCs w:val="21"/>
                      <w:highlight w:val="none"/>
                    </w:rPr>
                  </w:pPr>
                  <w:r>
                    <w:rPr>
                      <w:b/>
                      <w:bCs/>
                      <w:strike w:val="0"/>
                      <w:dstrike w:val="0"/>
                      <w:color w:val="auto"/>
                      <w:szCs w:val="21"/>
                      <w:highlight w:val="none"/>
                    </w:rPr>
                    <w:t>数量</w:t>
                  </w:r>
                </w:p>
              </w:tc>
              <w:tc>
                <w:tcPr>
                  <w:tcW w:w="3769" w:type="dxa"/>
                  <w:vAlign w:val="center"/>
                </w:tcPr>
                <w:p w14:paraId="4DB882FC">
                  <w:pPr>
                    <w:jc w:val="center"/>
                    <w:rPr>
                      <w:b/>
                      <w:bCs/>
                      <w:strike w:val="0"/>
                      <w:dstrike w:val="0"/>
                      <w:color w:val="auto"/>
                      <w:szCs w:val="21"/>
                      <w:highlight w:val="none"/>
                    </w:rPr>
                  </w:pPr>
                  <w:r>
                    <w:rPr>
                      <w:b/>
                      <w:bCs/>
                      <w:strike w:val="0"/>
                      <w:dstrike w:val="0"/>
                      <w:color w:val="auto"/>
                      <w:szCs w:val="21"/>
                      <w:highlight w:val="none"/>
                    </w:rPr>
                    <w:t>位置</w:t>
                  </w:r>
                </w:p>
              </w:tc>
            </w:tr>
            <w:tr w14:paraId="7B2F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535C022F">
                  <w:pPr>
                    <w:jc w:val="center"/>
                    <w:rPr>
                      <w:strike w:val="0"/>
                      <w:dstrike w:val="0"/>
                      <w:color w:val="auto"/>
                      <w:szCs w:val="21"/>
                      <w:highlight w:val="none"/>
                    </w:rPr>
                  </w:pPr>
                  <w:r>
                    <w:rPr>
                      <w:strike w:val="0"/>
                      <w:dstrike w:val="0"/>
                      <w:color w:val="auto"/>
                      <w:szCs w:val="21"/>
                      <w:highlight w:val="none"/>
                    </w:rPr>
                    <w:t>35kg推车式干粉灭火器</w:t>
                  </w:r>
                </w:p>
              </w:tc>
              <w:tc>
                <w:tcPr>
                  <w:tcW w:w="1311" w:type="dxa"/>
                  <w:vAlign w:val="center"/>
                </w:tcPr>
                <w:p w14:paraId="71AAFB74">
                  <w:pPr>
                    <w:jc w:val="center"/>
                    <w:rPr>
                      <w:strike w:val="0"/>
                      <w:dstrike w:val="0"/>
                      <w:color w:val="auto"/>
                      <w:szCs w:val="21"/>
                      <w:highlight w:val="none"/>
                    </w:rPr>
                  </w:pPr>
                  <w:r>
                    <w:rPr>
                      <w:strike w:val="0"/>
                      <w:dstrike w:val="0"/>
                      <w:color w:val="auto"/>
                      <w:szCs w:val="21"/>
                      <w:highlight w:val="none"/>
                    </w:rPr>
                    <w:t>2</w:t>
                  </w:r>
                </w:p>
              </w:tc>
              <w:tc>
                <w:tcPr>
                  <w:tcW w:w="3769" w:type="dxa"/>
                  <w:shd w:val="clear" w:color="auto" w:fill="auto"/>
                  <w:vAlign w:val="center"/>
                </w:tcPr>
                <w:p w14:paraId="78B0360C">
                  <w:pPr>
                    <w:jc w:val="center"/>
                    <w:rPr>
                      <w:rFonts w:ascii="宋体" w:hAnsi="宋体" w:eastAsia="宋体" w:cs="Times New Roman"/>
                      <w:strike w:val="0"/>
                      <w:dstrike w:val="0"/>
                      <w:color w:val="auto"/>
                      <w:kern w:val="2"/>
                      <w:sz w:val="21"/>
                      <w:szCs w:val="21"/>
                      <w:highlight w:val="none"/>
                      <w:lang w:val="en-US" w:eastAsia="zh-CN" w:bidi="ar-SA"/>
                    </w:rPr>
                  </w:pPr>
                  <w:r>
                    <w:rPr>
                      <w:rFonts w:hint="eastAsia" w:ascii="宋体" w:hAnsi="宋体"/>
                      <w:strike w:val="0"/>
                      <w:dstrike w:val="0"/>
                      <w:color w:val="auto"/>
                      <w:szCs w:val="21"/>
                      <w:highlight w:val="none"/>
                    </w:rPr>
                    <w:t>卸油区、加油区</w:t>
                  </w:r>
                </w:p>
              </w:tc>
            </w:tr>
            <w:tr w14:paraId="7A02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14B4CB28">
                  <w:pPr>
                    <w:jc w:val="center"/>
                    <w:rPr>
                      <w:strike w:val="0"/>
                      <w:dstrike w:val="0"/>
                      <w:color w:val="auto"/>
                      <w:szCs w:val="21"/>
                      <w:highlight w:val="none"/>
                    </w:rPr>
                  </w:pPr>
                  <w:r>
                    <w:rPr>
                      <w:strike w:val="0"/>
                      <w:dstrike w:val="0"/>
                      <w:color w:val="auto"/>
                      <w:szCs w:val="21"/>
                      <w:highlight w:val="none"/>
                    </w:rPr>
                    <w:t>手提式灭火器MF/ABC8</w:t>
                  </w:r>
                </w:p>
              </w:tc>
              <w:tc>
                <w:tcPr>
                  <w:tcW w:w="1311" w:type="dxa"/>
                  <w:vAlign w:val="center"/>
                </w:tcPr>
                <w:p w14:paraId="259EAEF4">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10</w:t>
                  </w:r>
                </w:p>
              </w:tc>
              <w:tc>
                <w:tcPr>
                  <w:tcW w:w="3769" w:type="dxa"/>
                  <w:vAlign w:val="center"/>
                </w:tcPr>
                <w:p w14:paraId="5B1EF5D0">
                  <w:pPr>
                    <w:jc w:val="center"/>
                    <w:rPr>
                      <w:strike w:val="0"/>
                      <w:dstrike w:val="0"/>
                      <w:color w:val="auto"/>
                      <w:szCs w:val="21"/>
                      <w:highlight w:val="none"/>
                    </w:rPr>
                  </w:pPr>
                  <w:r>
                    <w:rPr>
                      <w:rFonts w:hint="eastAsia" w:ascii="宋体" w:hAnsi="宋体"/>
                      <w:strike w:val="0"/>
                      <w:dstrike w:val="0"/>
                      <w:color w:val="auto"/>
                      <w:szCs w:val="21"/>
                      <w:highlight w:val="none"/>
                    </w:rPr>
                    <w:t>加油区、LNG加气区、站房、配电房等</w:t>
                  </w:r>
                </w:p>
              </w:tc>
            </w:tr>
            <w:tr w14:paraId="79C4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54186354">
                  <w:pPr>
                    <w:jc w:val="center"/>
                    <w:rPr>
                      <w:strike w:val="0"/>
                      <w:dstrike w:val="0"/>
                      <w:color w:val="auto"/>
                      <w:szCs w:val="21"/>
                      <w:highlight w:val="none"/>
                    </w:rPr>
                  </w:pPr>
                  <w:r>
                    <w:rPr>
                      <w:strike w:val="0"/>
                      <w:dstrike w:val="0"/>
                      <w:color w:val="auto"/>
                      <w:szCs w:val="21"/>
                      <w:highlight w:val="none"/>
                    </w:rPr>
                    <w:t>手提式灭火器MF/ABC5</w:t>
                  </w:r>
                </w:p>
              </w:tc>
              <w:tc>
                <w:tcPr>
                  <w:tcW w:w="1311" w:type="dxa"/>
                  <w:vAlign w:val="center"/>
                </w:tcPr>
                <w:p w14:paraId="5253BEF6">
                  <w:pPr>
                    <w:jc w:val="center"/>
                    <w:rPr>
                      <w:strike w:val="0"/>
                      <w:dstrike w:val="0"/>
                      <w:color w:val="auto"/>
                      <w:szCs w:val="21"/>
                      <w:highlight w:val="none"/>
                    </w:rPr>
                  </w:pPr>
                  <w:r>
                    <w:rPr>
                      <w:strike w:val="0"/>
                      <w:dstrike w:val="0"/>
                      <w:color w:val="auto"/>
                      <w:szCs w:val="21"/>
                      <w:highlight w:val="none"/>
                    </w:rPr>
                    <w:t>10</w:t>
                  </w:r>
                </w:p>
              </w:tc>
              <w:tc>
                <w:tcPr>
                  <w:tcW w:w="3769" w:type="dxa"/>
                  <w:vAlign w:val="center"/>
                </w:tcPr>
                <w:p w14:paraId="48136DDD">
                  <w:pPr>
                    <w:jc w:val="center"/>
                    <w:rPr>
                      <w:strike w:val="0"/>
                      <w:dstrike w:val="0"/>
                      <w:color w:val="auto"/>
                      <w:szCs w:val="21"/>
                      <w:highlight w:val="none"/>
                    </w:rPr>
                  </w:pPr>
                  <w:r>
                    <w:rPr>
                      <w:rFonts w:hint="eastAsia" w:ascii="宋体" w:hAnsi="宋体"/>
                      <w:strike w:val="0"/>
                      <w:dstrike w:val="0"/>
                      <w:color w:val="auto"/>
                      <w:szCs w:val="21"/>
                      <w:highlight w:val="none"/>
                    </w:rPr>
                    <w:t>加油区、LNG加气区、站房、配电房等</w:t>
                  </w:r>
                </w:p>
              </w:tc>
            </w:tr>
            <w:tr w14:paraId="4515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021580D0">
                  <w:pPr>
                    <w:jc w:val="center"/>
                    <w:rPr>
                      <w:strike w:val="0"/>
                      <w:dstrike w:val="0"/>
                      <w:color w:val="auto"/>
                      <w:szCs w:val="21"/>
                      <w:highlight w:val="none"/>
                    </w:rPr>
                  </w:pPr>
                  <w:r>
                    <w:rPr>
                      <w:strike w:val="0"/>
                      <w:dstrike w:val="0"/>
                      <w:color w:val="auto"/>
                      <w:szCs w:val="21"/>
                      <w:highlight w:val="none"/>
                    </w:rPr>
                    <w:t>手提式灭火器MF/ABC4</w:t>
                  </w:r>
                </w:p>
              </w:tc>
              <w:tc>
                <w:tcPr>
                  <w:tcW w:w="1311" w:type="dxa"/>
                  <w:vAlign w:val="center"/>
                </w:tcPr>
                <w:p w14:paraId="10BEF296">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16</w:t>
                  </w:r>
                </w:p>
              </w:tc>
              <w:tc>
                <w:tcPr>
                  <w:tcW w:w="3769" w:type="dxa"/>
                  <w:vAlign w:val="center"/>
                </w:tcPr>
                <w:p w14:paraId="59C5712E">
                  <w:pPr>
                    <w:jc w:val="center"/>
                    <w:rPr>
                      <w:strike w:val="0"/>
                      <w:dstrike w:val="0"/>
                      <w:color w:val="auto"/>
                      <w:szCs w:val="21"/>
                      <w:highlight w:val="none"/>
                    </w:rPr>
                  </w:pPr>
                  <w:r>
                    <w:rPr>
                      <w:rFonts w:hint="eastAsia" w:ascii="宋体" w:hAnsi="宋体"/>
                      <w:strike w:val="0"/>
                      <w:dstrike w:val="0"/>
                      <w:color w:val="auto"/>
                      <w:szCs w:val="21"/>
                      <w:highlight w:val="none"/>
                    </w:rPr>
                    <w:t>加油区、LNG加气区、站房、配电房等</w:t>
                  </w:r>
                </w:p>
              </w:tc>
            </w:tr>
            <w:tr w14:paraId="55B8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24CD984F">
                  <w:pPr>
                    <w:jc w:val="center"/>
                    <w:rPr>
                      <w:strike w:val="0"/>
                      <w:dstrike w:val="0"/>
                      <w:color w:val="auto"/>
                      <w:szCs w:val="21"/>
                      <w:highlight w:val="none"/>
                    </w:rPr>
                  </w:pPr>
                  <w:r>
                    <w:rPr>
                      <w:strike w:val="0"/>
                      <w:dstrike w:val="0"/>
                      <w:color w:val="auto"/>
                      <w:szCs w:val="21"/>
                      <w:highlight w:val="none"/>
                    </w:rPr>
                    <w:t>灭火毯</w:t>
                  </w:r>
                </w:p>
              </w:tc>
              <w:tc>
                <w:tcPr>
                  <w:tcW w:w="1311" w:type="dxa"/>
                  <w:vAlign w:val="center"/>
                </w:tcPr>
                <w:p w14:paraId="34D38FEE">
                  <w:pPr>
                    <w:jc w:val="center"/>
                    <w:rPr>
                      <w:strike w:val="0"/>
                      <w:dstrike w:val="0"/>
                      <w:color w:val="auto"/>
                      <w:szCs w:val="21"/>
                      <w:highlight w:val="none"/>
                    </w:rPr>
                  </w:pPr>
                  <w:r>
                    <w:rPr>
                      <w:strike w:val="0"/>
                      <w:dstrike w:val="0"/>
                      <w:color w:val="auto"/>
                      <w:szCs w:val="21"/>
                      <w:highlight w:val="none"/>
                    </w:rPr>
                    <w:t>5</w:t>
                  </w:r>
                </w:p>
              </w:tc>
              <w:tc>
                <w:tcPr>
                  <w:tcW w:w="3769" w:type="dxa"/>
                  <w:vAlign w:val="center"/>
                </w:tcPr>
                <w:p w14:paraId="26B8B230">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加油区</w:t>
                  </w:r>
                </w:p>
              </w:tc>
            </w:tr>
            <w:tr w14:paraId="75CD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67174C6B">
                  <w:pPr>
                    <w:jc w:val="center"/>
                    <w:rPr>
                      <w:strike w:val="0"/>
                      <w:dstrike w:val="0"/>
                      <w:color w:val="auto"/>
                      <w:szCs w:val="21"/>
                      <w:highlight w:val="none"/>
                    </w:rPr>
                  </w:pPr>
                  <w:r>
                    <w:rPr>
                      <w:strike w:val="0"/>
                      <w:dstrike w:val="0"/>
                      <w:color w:val="auto"/>
                      <w:szCs w:val="21"/>
                      <w:highlight w:val="none"/>
                    </w:rPr>
                    <w:t>2m</w:t>
                  </w:r>
                  <w:r>
                    <w:rPr>
                      <w:strike w:val="0"/>
                      <w:dstrike w:val="0"/>
                      <w:color w:val="auto"/>
                      <w:szCs w:val="21"/>
                      <w:highlight w:val="none"/>
                      <w:vertAlign w:val="superscript"/>
                    </w:rPr>
                    <w:t>3</w:t>
                  </w:r>
                  <w:r>
                    <w:rPr>
                      <w:strike w:val="0"/>
                      <w:dstrike w:val="0"/>
                      <w:color w:val="auto"/>
                      <w:szCs w:val="21"/>
                      <w:highlight w:val="none"/>
                    </w:rPr>
                    <w:t>消防沙箱</w:t>
                  </w:r>
                </w:p>
              </w:tc>
              <w:tc>
                <w:tcPr>
                  <w:tcW w:w="1311" w:type="dxa"/>
                  <w:vAlign w:val="center"/>
                </w:tcPr>
                <w:p w14:paraId="323CC426">
                  <w:pPr>
                    <w:jc w:val="center"/>
                    <w:rPr>
                      <w:strike w:val="0"/>
                      <w:dstrike w:val="0"/>
                      <w:color w:val="auto"/>
                      <w:szCs w:val="21"/>
                      <w:highlight w:val="none"/>
                    </w:rPr>
                  </w:pPr>
                  <w:r>
                    <w:rPr>
                      <w:strike w:val="0"/>
                      <w:dstrike w:val="0"/>
                      <w:color w:val="auto"/>
                      <w:szCs w:val="21"/>
                      <w:highlight w:val="none"/>
                    </w:rPr>
                    <w:t>1</w:t>
                  </w:r>
                </w:p>
              </w:tc>
              <w:tc>
                <w:tcPr>
                  <w:tcW w:w="3769" w:type="dxa"/>
                  <w:vAlign w:val="center"/>
                </w:tcPr>
                <w:p w14:paraId="6E41057B">
                  <w:pPr>
                    <w:jc w:val="center"/>
                    <w:rPr>
                      <w:strike w:val="0"/>
                      <w:dstrike w:val="0"/>
                      <w:color w:val="auto"/>
                      <w:szCs w:val="21"/>
                      <w:highlight w:val="none"/>
                    </w:rPr>
                  </w:pPr>
                  <w:r>
                    <w:rPr>
                      <w:rFonts w:hint="eastAsia" w:ascii="宋体" w:hAnsi="宋体"/>
                      <w:strike w:val="0"/>
                      <w:dstrike w:val="0"/>
                      <w:color w:val="auto"/>
                      <w:szCs w:val="21"/>
                      <w:highlight w:val="none"/>
                    </w:rPr>
                    <w:t>消防器材箱</w:t>
                  </w:r>
                </w:p>
              </w:tc>
            </w:tr>
            <w:tr w14:paraId="7819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5936D997">
                  <w:pPr>
                    <w:jc w:val="center"/>
                    <w:rPr>
                      <w:strike w:val="0"/>
                      <w:dstrike w:val="0"/>
                      <w:color w:val="auto"/>
                      <w:szCs w:val="21"/>
                      <w:highlight w:val="none"/>
                    </w:rPr>
                  </w:pPr>
                  <w:r>
                    <w:rPr>
                      <w:strike w:val="0"/>
                      <w:dstrike w:val="0"/>
                      <w:color w:val="auto"/>
                      <w:szCs w:val="21"/>
                      <w:highlight w:val="none"/>
                    </w:rPr>
                    <w:t>消防锹</w:t>
                  </w:r>
                </w:p>
              </w:tc>
              <w:tc>
                <w:tcPr>
                  <w:tcW w:w="1311" w:type="dxa"/>
                  <w:vAlign w:val="center"/>
                </w:tcPr>
                <w:p w14:paraId="1C74A63F">
                  <w:pPr>
                    <w:jc w:val="center"/>
                    <w:rPr>
                      <w:strike w:val="0"/>
                      <w:dstrike w:val="0"/>
                      <w:color w:val="auto"/>
                      <w:szCs w:val="21"/>
                      <w:highlight w:val="none"/>
                    </w:rPr>
                  </w:pPr>
                  <w:r>
                    <w:rPr>
                      <w:strike w:val="0"/>
                      <w:dstrike w:val="0"/>
                      <w:color w:val="auto"/>
                      <w:szCs w:val="21"/>
                      <w:highlight w:val="none"/>
                    </w:rPr>
                    <w:t>2</w:t>
                  </w:r>
                </w:p>
              </w:tc>
              <w:tc>
                <w:tcPr>
                  <w:tcW w:w="3769" w:type="dxa"/>
                  <w:vAlign w:val="center"/>
                </w:tcPr>
                <w:p w14:paraId="2095E2EB">
                  <w:pPr>
                    <w:jc w:val="center"/>
                    <w:rPr>
                      <w:strike w:val="0"/>
                      <w:dstrike w:val="0"/>
                      <w:color w:val="auto"/>
                      <w:szCs w:val="21"/>
                      <w:highlight w:val="none"/>
                    </w:rPr>
                  </w:pPr>
                  <w:r>
                    <w:rPr>
                      <w:rFonts w:hint="eastAsia" w:ascii="宋体" w:hAnsi="宋体"/>
                      <w:strike w:val="0"/>
                      <w:dstrike w:val="0"/>
                      <w:color w:val="auto"/>
                      <w:szCs w:val="21"/>
                      <w:highlight w:val="none"/>
                    </w:rPr>
                    <w:t>消防器材箱</w:t>
                  </w:r>
                </w:p>
              </w:tc>
            </w:tr>
            <w:tr w14:paraId="61E6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vAlign w:val="center"/>
                </w:tcPr>
                <w:p w14:paraId="793C3A86">
                  <w:pPr>
                    <w:jc w:val="center"/>
                    <w:rPr>
                      <w:strike w:val="0"/>
                      <w:dstrike w:val="0"/>
                      <w:color w:val="auto"/>
                      <w:szCs w:val="21"/>
                      <w:highlight w:val="none"/>
                    </w:rPr>
                  </w:pPr>
                  <w:r>
                    <w:rPr>
                      <w:strike w:val="0"/>
                      <w:dstrike w:val="0"/>
                      <w:color w:val="auto"/>
                      <w:szCs w:val="21"/>
                      <w:highlight w:val="none"/>
                    </w:rPr>
                    <w:t>消防桶</w:t>
                  </w:r>
                </w:p>
              </w:tc>
              <w:tc>
                <w:tcPr>
                  <w:tcW w:w="1311" w:type="dxa"/>
                  <w:vAlign w:val="center"/>
                </w:tcPr>
                <w:p w14:paraId="7E9EB137">
                  <w:pPr>
                    <w:jc w:val="center"/>
                    <w:rPr>
                      <w:strike w:val="0"/>
                      <w:dstrike w:val="0"/>
                      <w:color w:val="auto"/>
                      <w:szCs w:val="21"/>
                      <w:highlight w:val="none"/>
                    </w:rPr>
                  </w:pPr>
                  <w:r>
                    <w:rPr>
                      <w:strike w:val="0"/>
                      <w:dstrike w:val="0"/>
                      <w:color w:val="auto"/>
                      <w:szCs w:val="21"/>
                      <w:highlight w:val="none"/>
                    </w:rPr>
                    <w:t>2</w:t>
                  </w:r>
                </w:p>
              </w:tc>
              <w:tc>
                <w:tcPr>
                  <w:tcW w:w="3769" w:type="dxa"/>
                  <w:vAlign w:val="center"/>
                </w:tcPr>
                <w:p w14:paraId="4D6E8D42">
                  <w:pPr>
                    <w:jc w:val="center"/>
                    <w:rPr>
                      <w:strike w:val="0"/>
                      <w:dstrike w:val="0"/>
                      <w:color w:val="auto"/>
                      <w:szCs w:val="21"/>
                      <w:highlight w:val="none"/>
                    </w:rPr>
                  </w:pPr>
                  <w:r>
                    <w:rPr>
                      <w:rFonts w:hint="eastAsia" w:ascii="宋体" w:hAnsi="宋体"/>
                      <w:strike w:val="0"/>
                      <w:dstrike w:val="0"/>
                      <w:color w:val="auto"/>
                      <w:szCs w:val="21"/>
                      <w:highlight w:val="none"/>
                    </w:rPr>
                    <w:t>消防器材箱</w:t>
                  </w:r>
                </w:p>
              </w:tc>
            </w:tr>
          </w:tbl>
          <w:p w14:paraId="29E5FDC5">
            <w:pPr>
              <w:spacing w:line="360" w:lineRule="auto"/>
              <w:ind w:firstLine="480" w:firstLineChars="200"/>
              <w:rPr>
                <w:rFonts w:hint="eastAsia" w:ascii="Times New Roman" w:hAnsi="Times New Roman" w:cs="Times New Roman"/>
                <w:bCs/>
                <w:strike w:val="0"/>
                <w:dstrike w:val="0"/>
                <w:color w:val="auto"/>
                <w:sz w:val="24"/>
                <w:szCs w:val="24"/>
                <w:highlight w:val="none"/>
              </w:rPr>
            </w:pPr>
            <w:r>
              <w:rPr>
                <w:rFonts w:hint="eastAsia" w:ascii="Times New Roman" w:hAnsi="Times New Roman" w:cs="Times New Roman"/>
                <w:bCs/>
                <w:strike w:val="0"/>
                <w:dstrike w:val="0"/>
                <w:color w:val="auto"/>
                <w:sz w:val="24"/>
                <w:szCs w:val="24"/>
                <w:highlight w:val="none"/>
                <w:lang w:eastAsia="zh-CN"/>
              </w:rPr>
              <w:t>（</w:t>
            </w:r>
            <w:r>
              <w:rPr>
                <w:rFonts w:hint="eastAsia" w:ascii="Times New Roman" w:hAnsi="Times New Roman" w:cs="Times New Roman"/>
                <w:bCs/>
                <w:strike w:val="0"/>
                <w:dstrike w:val="0"/>
                <w:color w:val="auto"/>
                <w:sz w:val="24"/>
                <w:szCs w:val="24"/>
                <w:highlight w:val="none"/>
                <w:lang w:val="en-US" w:eastAsia="zh-CN"/>
              </w:rPr>
              <w:t>二</w:t>
            </w:r>
            <w:r>
              <w:rPr>
                <w:rFonts w:hint="eastAsia" w:ascii="Times New Roman" w:hAnsi="Times New Roman" w:cs="Times New Roman"/>
                <w:bCs/>
                <w:strike w:val="0"/>
                <w:dstrike w:val="0"/>
                <w:color w:val="auto"/>
                <w:sz w:val="24"/>
                <w:szCs w:val="24"/>
                <w:highlight w:val="none"/>
                <w:lang w:eastAsia="zh-CN"/>
              </w:rPr>
              <w:t>）</w:t>
            </w:r>
            <w:r>
              <w:rPr>
                <w:rFonts w:hint="eastAsia" w:ascii="Times New Roman" w:hAnsi="Times New Roman" w:cs="Times New Roman"/>
                <w:bCs/>
                <w:strike w:val="0"/>
                <w:dstrike w:val="0"/>
                <w:color w:val="auto"/>
                <w:sz w:val="24"/>
                <w:szCs w:val="24"/>
                <w:highlight w:val="none"/>
              </w:rPr>
              <w:t>消防道路</w:t>
            </w:r>
          </w:p>
          <w:p w14:paraId="053840D5">
            <w:pPr>
              <w:spacing w:line="360" w:lineRule="auto"/>
              <w:ind w:firstLine="480" w:firstLineChars="200"/>
              <w:rPr>
                <w:rFonts w:hint="eastAsia" w:ascii="Times New Roman" w:hAnsi="Times New Roman" w:cs="Times New Roman"/>
                <w:bCs/>
                <w:strike w:val="0"/>
                <w:dstrike w:val="0"/>
                <w:color w:val="auto"/>
                <w:sz w:val="24"/>
                <w:szCs w:val="24"/>
                <w:highlight w:val="none"/>
                <w:lang w:eastAsia="zh-CN"/>
              </w:rPr>
            </w:pPr>
            <w:r>
              <w:rPr>
                <w:rFonts w:hint="eastAsia" w:ascii="Times New Roman" w:hAnsi="Times New Roman" w:cs="Times New Roman"/>
                <w:bCs/>
                <w:strike w:val="0"/>
                <w:dstrike w:val="0"/>
                <w:color w:val="auto"/>
                <w:sz w:val="24"/>
                <w:szCs w:val="24"/>
                <w:highlight w:val="none"/>
              </w:rPr>
              <w:t>该站临城市道路侧开敞，其余方向均设高度为2.2m的实体围墙，加油加气站车辆出入口分别独立设置；该项目消防车道的设置使各建、构筑物都有足够的消防扑救面。车行道路最小转弯半径9m，消防车通道车行宽均大于5m，能够满足消防车辆通行。</w:t>
            </w:r>
          </w:p>
          <w:p w14:paraId="326802E5">
            <w:pPr>
              <w:spacing w:line="360" w:lineRule="auto"/>
              <w:ind w:firstLine="480" w:firstLineChars="200"/>
              <w:rPr>
                <w:rFonts w:hint="default" w:ascii="Times New Roman" w:hAnsi="Times New Roman" w:cs="Times New Roman"/>
                <w:bCs/>
                <w:strike w:val="0"/>
                <w:dstrike w:val="0"/>
                <w:color w:val="auto"/>
                <w:sz w:val="24"/>
                <w:szCs w:val="24"/>
                <w:highlight w:val="none"/>
                <w:lang w:val="en-US" w:eastAsia="zh-CN"/>
              </w:rPr>
            </w:pPr>
            <w:r>
              <w:rPr>
                <w:rFonts w:hint="eastAsia" w:ascii="Times New Roman" w:hAnsi="Times New Roman" w:cs="Times New Roman"/>
                <w:bCs/>
                <w:strike w:val="0"/>
                <w:dstrike w:val="0"/>
                <w:color w:val="auto"/>
                <w:sz w:val="24"/>
                <w:szCs w:val="24"/>
                <w:highlight w:val="none"/>
              </w:rPr>
              <w:fldChar w:fldCharType="begin"/>
            </w:r>
            <w:r>
              <w:rPr>
                <w:rFonts w:hint="eastAsia" w:ascii="Times New Roman" w:hAnsi="Times New Roman" w:cs="Times New Roman"/>
                <w:bCs/>
                <w:strike w:val="0"/>
                <w:dstrike w:val="0"/>
                <w:color w:val="auto"/>
                <w:sz w:val="24"/>
                <w:szCs w:val="24"/>
                <w:highlight w:val="none"/>
              </w:rPr>
              <w:instrText xml:space="preserve"> = 4 \* GB3 \* MERGEFORMAT </w:instrText>
            </w:r>
            <w:r>
              <w:rPr>
                <w:rFonts w:hint="eastAsia" w:ascii="Times New Roman" w:hAnsi="Times New Roman" w:cs="Times New Roman"/>
                <w:bCs/>
                <w:strike w:val="0"/>
                <w:dstrike w:val="0"/>
                <w:color w:val="auto"/>
                <w:sz w:val="24"/>
                <w:szCs w:val="24"/>
                <w:highlight w:val="none"/>
              </w:rPr>
              <w:fldChar w:fldCharType="separate"/>
            </w:r>
            <w:r>
              <w:rPr>
                <w:rFonts w:hint="eastAsia" w:ascii="Times New Roman" w:hAnsi="Times New Roman" w:cs="Times New Roman"/>
                <w:bCs/>
                <w:strike w:val="0"/>
                <w:dstrike w:val="0"/>
                <w:color w:val="auto"/>
                <w:sz w:val="24"/>
                <w:szCs w:val="24"/>
                <w:highlight w:val="none"/>
              </w:rPr>
              <w:t>④</w:t>
            </w:r>
            <w:r>
              <w:rPr>
                <w:rFonts w:hint="eastAsia" w:ascii="Times New Roman" w:hAnsi="Times New Roman" w:cs="Times New Roman"/>
                <w:bCs/>
                <w:strike w:val="0"/>
                <w:dstrike w:val="0"/>
                <w:color w:val="auto"/>
                <w:sz w:val="24"/>
                <w:szCs w:val="24"/>
                <w:highlight w:val="none"/>
              </w:rPr>
              <w:fldChar w:fldCharType="end"/>
            </w:r>
            <w:r>
              <w:rPr>
                <w:rFonts w:hint="eastAsia" w:ascii="Times New Roman" w:hAnsi="Times New Roman" w:cs="Times New Roman"/>
                <w:bCs/>
                <w:strike w:val="0"/>
                <w:dstrike w:val="0"/>
                <w:color w:val="auto"/>
                <w:sz w:val="24"/>
                <w:szCs w:val="24"/>
                <w:highlight w:val="none"/>
                <w:lang w:val="en-US" w:eastAsia="zh-CN"/>
              </w:rPr>
              <w:t>接地与防雷</w:t>
            </w:r>
          </w:p>
          <w:p w14:paraId="1D79CC9B">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color w:val="auto"/>
                <w:sz w:val="24"/>
                <w:szCs w:val="24"/>
                <w:highlight w:val="none"/>
              </w:rPr>
              <w:t>防雷、防静电接地、电气设备的工作接地、保护接地及信息系统接地等共用接地装置，其接地电阻</w:t>
            </w:r>
            <w:r>
              <w:rPr>
                <w:rFonts w:hint="default" w:ascii="Times New Roman" w:hAnsi="Times New Roman" w:eastAsia="TimesNewRomanPSMT" w:cs="Times New Roman"/>
                <w:strike w:val="0"/>
                <w:dstrike w:val="0"/>
                <w:color w:val="auto"/>
                <w:sz w:val="24"/>
                <w:szCs w:val="24"/>
                <w:highlight w:val="none"/>
              </w:rPr>
              <w:t>≤</w:t>
            </w:r>
            <w:r>
              <w:rPr>
                <w:rFonts w:hint="default" w:ascii="Times New Roman" w:hAnsi="Times New Roman" w:eastAsia="TimesNewRomanPSMT" w:cs="Times New Roman"/>
                <w:strike w:val="0"/>
                <w:dstrike w:val="0"/>
                <w:color w:val="auto"/>
                <w:sz w:val="24"/>
                <w:szCs w:val="24"/>
                <w:highlight w:val="none"/>
                <w:lang w:val="en-US" w:eastAsia="zh-CN"/>
              </w:rPr>
              <w:t>4</w:t>
            </w:r>
            <w:r>
              <w:rPr>
                <w:rFonts w:hint="default" w:ascii="Times New Roman" w:hAnsi="Times New Roman" w:eastAsia="TimesNewRomanPSMT" w:cs="Times New Roman"/>
                <w:strike w:val="0"/>
                <w:dstrike w:val="0"/>
                <w:color w:val="auto"/>
                <w:sz w:val="24"/>
                <w:szCs w:val="24"/>
                <w:highlight w:val="none"/>
              </w:rPr>
              <w:t>Ω</w:t>
            </w:r>
            <w:r>
              <w:rPr>
                <w:rFonts w:hint="default" w:ascii="Times New Roman" w:hAnsi="Times New Roman" w:cs="Times New Roman"/>
                <w:strike w:val="0"/>
                <w:dstrike w:val="0"/>
                <w:color w:val="auto"/>
                <w:sz w:val="24"/>
                <w:szCs w:val="24"/>
                <w:highlight w:val="none"/>
              </w:rPr>
              <w:t>。</w:t>
            </w:r>
          </w:p>
          <w:p w14:paraId="4F346F74">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color w:val="auto"/>
                <w:sz w:val="24"/>
                <w:szCs w:val="24"/>
                <w:highlight w:val="none"/>
              </w:rPr>
              <w:t>罩棚防雷：</w:t>
            </w:r>
            <w:r>
              <w:rPr>
                <w:rFonts w:hint="default" w:ascii="Times New Roman" w:hAnsi="Times New Roman" w:cs="Times New Roman"/>
                <w:strike w:val="0"/>
                <w:dstrike w:val="0"/>
                <w:snapToGrid w:val="0"/>
                <w:color w:val="auto"/>
                <w:kern w:val="0"/>
                <w:sz w:val="24"/>
                <w:szCs w:val="24"/>
                <w:highlight w:val="none"/>
              </w:rPr>
              <w:t>按二类防雷构筑物设防雷保护措施，在罩棚屋面敷设避雷带作为接闪器，利用罩棚钢柱作引下线，加接地测试卡与站内接地网焊接相连</w:t>
            </w:r>
            <w:r>
              <w:rPr>
                <w:rFonts w:hint="default" w:ascii="Times New Roman" w:hAnsi="Times New Roman" w:cs="Times New Roman"/>
                <w:strike w:val="0"/>
                <w:dstrike w:val="0"/>
                <w:color w:val="auto"/>
                <w:sz w:val="24"/>
                <w:szCs w:val="24"/>
                <w:highlight w:val="none"/>
              </w:rPr>
              <w:t>。</w:t>
            </w:r>
          </w:p>
          <w:p w14:paraId="19D100AF">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color w:val="auto"/>
                <w:sz w:val="24"/>
                <w:szCs w:val="24"/>
                <w:highlight w:val="none"/>
              </w:rPr>
              <w:t>站房防雷：</w:t>
            </w:r>
            <w:r>
              <w:rPr>
                <w:rFonts w:hint="default" w:ascii="Times New Roman" w:hAnsi="Times New Roman" w:cs="Times New Roman"/>
                <w:strike w:val="0"/>
                <w:dstrike w:val="0"/>
                <w:snapToGrid w:val="0"/>
                <w:color w:val="auto"/>
                <w:kern w:val="0"/>
                <w:sz w:val="24"/>
                <w:szCs w:val="24"/>
                <w:highlight w:val="none"/>
              </w:rPr>
              <w:t>按二类防雷建筑物设防雷保护措施，接闪器利用屋面结构金属物，并在屋顶明敷φ12热镀锌圆钢；引下线尽可能利用结构柱内钢筋，被利用结构钢筋混凝土中钢筋作引下线处上连接闪网，下连基础钢筋，在室外地坪下1.0m处焊出一根-40</w:t>
            </w:r>
            <w:r>
              <w:rPr>
                <w:rFonts w:hint="default" w:ascii="Times New Roman" w:hAnsi="Times New Roman" w:cs="Times New Roman"/>
                <w:strike w:val="0"/>
                <w:dstrike w:val="0"/>
                <w:color w:val="auto"/>
                <w:sz w:val="24"/>
                <w:szCs w:val="24"/>
                <w:highlight w:val="none"/>
              </w:rPr>
              <w:t>×</w:t>
            </w:r>
            <w:r>
              <w:rPr>
                <w:rFonts w:hint="default" w:ascii="Times New Roman" w:hAnsi="Times New Roman" w:cs="Times New Roman"/>
                <w:strike w:val="0"/>
                <w:dstrike w:val="0"/>
                <w:snapToGrid w:val="0"/>
                <w:color w:val="auto"/>
                <w:kern w:val="0"/>
                <w:sz w:val="24"/>
                <w:szCs w:val="24"/>
                <w:highlight w:val="none"/>
              </w:rPr>
              <w:t>4热镀锌扁钢作为水平接地体</w:t>
            </w:r>
            <w:r>
              <w:rPr>
                <w:rFonts w:hint="default" w:ascii="Times New Roman" w:hAnsi="Times New Roman" w:cs="Times New Roman"/>
                <w:strike w:val="0"/>
                <w:dstrike w:val="0"/>
                <w:color w:val="auto"/>
                <w:sz w:val="24"/>
                <w:szCs w:val="24"/>
                <w:highlight w:val="none"/>
              </w:rPr>
              <w:t>。</w:t>
            </w:r>
          </w:p>
          <w:p w14:paraId="61E1D762">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snapToGrid w:val="0"/>
                <w:color w:val="auto"/>
                <w:kern w:val="0"/>
                <w:sz w:val="24"/>
                <w:szCs w:val="24"/>
                <w:highlight w:val="none"/>
              </w:rPr>
              <w:t>橇装内设备接地</w:t>
            </w:r>
            <w:r>
              <w:rPr>
                <w:rFonts w:hint="default" w:ascii="Times New Roman" w:hAnsi="Times New Roman" w:cs="Times New Roman"/>
                <w:strike w:val="0"/>
                <w:dstrike w:val="0"/>
                <w:snapToGrid w:val="0"/>
                <w:color w:val="auto"/>
                <w:kern w:val="0"/>
                <w:sz w:val="24"/>
                <w:szCs w:val="24"/>
                <w:highlight w:val="none"/>
                <w:lang w:eastAsia="zh-CN"/>
              </w:rPr>
              <w:t>：</w:t>
            </w:r>
            <w:r>
              <w:rPr>
                <w:rFonts w:hint="default" w:ascii="Times New Roman" w:hAnsi="Times New Roman" w:cs="Times New Roman"/>
                <w:strike w:val="0"/>
                <w:dstrike w:val="0"/>
                <w:snapToGrid w:val="0"/>
                <w:color w:val="auto"/>
                <w:kern w:val="0"/>
                <w:sz w:val="24"/>
                <w:szCs w:val="24"/>
                <w:highlight w:val="none"/>
              </w:rPr>
              <w:t>橇体内的所有电气设备的外接地点都</w:t>
            </w:r>
            <w:r>
              <w:rPr>
                <w:rFonts w:hint="default" w:ascii="Times New Roman" w:hAnsi="Times New Roman" w:cs="Times New Roman"/>
                <w:strike w:val="0"/>
                <w:dstrike w:val="0"/>
                <w:color w:val="auto"/>
                <w:sz w:val="24"/>
                <w:szCs w:val="24"/>
                <w:highlight w:val="none"/>
              </w:rPr>
              <w:t>必须通过专用连接线和橇体连接。总接地点要和控制柜总接地点相连接。</w:t>
            </w:r>
          </w:p>
          <w:p w14:paraId="3F94EA0A">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color w:val="auto"/>
                <w:sz w:val="24"/>
                <w:szCs w:val="24"/>
                <w:highlight w:val="none"/>
              </w:rPr>
              <w:t>加油机接地：</w:t>
            </w:r>
            <w:r>
              <w:rPr>
                <w:rFonts w:hint="default" w:ascii="Times New Roman" w:hAnsi="Times New Roman" w:cs="Times New Roman"/>
                <w:strike w:val="0"/>
                <w:dstrike w:val="0"/>
                <w:snapToGrid w:val="0"/>
                <w:color w:val="auto"/>
                <w:kern w:val="0"/>
                <w:sz w:val="24"/>
                <w:szCs w:val="24"/>
                <w:highlight w:val="none"/>
              </w:rPr>
              <w:t>接地支线引至加气机箱内，地坪上留200mm。机体和其内设备，气、油管及电线管都与接地支线电气连接，连接线为BVR-16mm</w:t>
            </w:r>
            <w:r>
              <w:rPr>
                <w:rFonts w:hint="eastAsia" w:cs="Times New Roman"/>
                <w:strike w:val="0"/>
                <w:dstrike w:val="0"/>
                <w:snapToGrid w:val="0"/>
                <w:color w:val="auto"/>
                <w:kern w:val="0"/>
                <w:sz w:val="24"/>
                <w:szCs w:val="24"/>
                <w:highlight w:val="none"/>
                <w:vertAlign w:val="superscript"/>
                <w:lang w:val="en-US" w:eastAsia="zh-CN"/>
              </w:rPr>
              <w:t>2</w:t>
            </w:r>
            <w:r>
              <w:rPr>
                <w:rFonts w:hint="default" w:ascii="Times New Roman" w:hAnsi="Times New Roman" w:cs="Times New Roman"/>
                <w:strike w:val="0"/>
                <w:dstrike w:val="0"/>
                <w:color w:val="auto"/>
                <w:sz w:val="24"/>
                <w:szCs w:val="24"/>
                <w:highlight w:val="none"/>
              </w:rPr>
              <w:t>。</w:t>
            </w:r>
          </w:p>
          <w:p w14:paraId="16E716AB">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snapToGrid w:val="0"/>
                <w:color w:val="auto"/>
                <w:kern w:val="0"/>
                <w:sz w:val="24"/>
                <w:szCs w:val="24"/>
                <w:highlight w:val="none"/>
              </w:rPr>
              <w:t>电缆保护管两端、电缆金属外皮等均应接地，R≤10Ω。进入防爆区域的电缆（线）保护管用防爆胶泥密封。</w:t>
            </w:r>
          </w:p>
          <w:p w14:paraId="0B8C1472">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snapToGrid w:val="0"/>
                <w:color w:val="auto"/>
                <w:kern w:val="0"/>
                <w:sz w:val="24"/>
                <w:szCs w:val="24"/>
                <w:highlight w:val="none"/>
              </w:rPr>
              <w:t>总等电位联结箱MEB设于电源进户箱侧</w:t>
            </w:r>
            <w:r>
              <w:rPr>
                <w:rFonts w:hint="eastAsia" w:cs="Times New Roman"/>
                <w:strike w:val="0"/>
                <w:dstrike w:val="0"/>
                <w:snapToGrid w:val="0"/>
                <w:color w:val="auto"/>
                <w:kern w:val="0"/>
                <w:sz w:val="24"/>
                <w:szCs w:val="24"/>
                <w:highlight w:val="none"/>
                <w:lang w:eastAsia="zh-CN"/>
              </w:rPr>
              <w:t>，</w:t>
            </w:r>
            <w:r>
              <w:rPr>
                <w:rFonts w:hint="default" w:ascii="Times New Roman" w:hAnsi="Times New Roman" w:cs="Times New Roman"/>
                <w:strike w:val="0"/>
                <w:dstrike w:val="0"/>
                <w:snapToGrid w:val="0"/>
                <w:color w:val="auto"/>
                <w:kern w:val="0"/>
                <w:sz w:val="24"/>
                <w:szCs w:val="24"/>
                <w:highlight w:val="none"/>
              </w:rPr>
              <w:t>各金属管道如给水管、排水管</w:t>
            </w:r>
            <w:bookmarkStart w:id="67" w:name="OfficeAI_Add_9_34"/>
            <w:r>
              <w:rPr>
                <w:rFonts w:hint="eastAsia" w:cs="Times New Roman"/>
                <w:strike w:val="0"/>
                <w:dstrike w:val="0"/>
                <w:snapToGrid w:val="0"/>
                <w:color w:val="auto"/>
                <w:kern w:val="0"/>
                <w:sz w:val="24"/>
                <w:szCs w:val="24"/>
                <w:highlight w:val="none"/>
                <w:lang w:eastAsia="zh-CN"/>
              </w:rPr>
              <w:t>，</w:t>
            </w:r>
            <w:bookmarkEnd w:id="67"/>
            <w:r>
              <w:rPr>
                <w:rFonts w:hint="default" w:ascii="Times New Roman" w:hAnsi="Times New Roman" w:cs="Times New Roman"/>
                <w:strike w:val="0"/>
                <w:dstrike w:val="0"/>
                <w:snapToGrid w:val="0"/>
                <w:color w:val="auto"/>
                <w:kern w:val="0"/>
                <w:sz w:val="24"/>
                <w:szCs w:val="24"/>
                <w:highlight w:val="none"/>
              </w:rPr>
              <w:t>用-25</w:t>
            </w:r>
            <w:r>
              <w:rPr>
                <w:rFonts w:hint="default" w:ascii="Times New Roman" w:hAnsi="Times New Roman" w:cs="Times New Roman"/>
                <w:strike w:val="0"/>
                <w:dstrike w:val="0"/>
                <w:color w:val="auto"/>
                <w:sz w:val="24"/>
                <w:szCs w:val="24"/>
                <w:highlight w:val="none"/>
              </w:rPr>
              <w:t>×</w:t>
            </w:r>
            <w:r>
              <w:rPr>
                <w:rFonts w:hint="default" w:ascii="Times New Roman" w:hAnsi="Times New Roman" w:cs="Times New Roman"/>
                <w:strike w:val="0"/>
                <w:dstrike w:val="0"/>
                <w:snapToGrid w:val="0"/>
                <w:color w:val="auto"/>
                <w:kern w:val="0"/>
                <w:sz w:val="24"/>
                <w:szCs w:val="24"/>
                <w:highlight w:val="none"/>
              </w:rPr>
              <w:t>4热镀锌扁钢与总等电位箱的接地母排相连。</w:t>
            </w:r>
          </w:p>
          <w:p w14:paraId="0F6ABE05">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snapToGrid w:val="0"/>
                <w:color w:val="auto"/>
                <w:kern w:val="0"/>
                <w:sz w:val="24"/>
                <w:szCs w:val="24"/>
                <w:highlight w:val="none"/>
              </w:rPr>
              <w:t>接地装置：接地极采用∠50</w:t>
            </w:r>
            <w:r>
              <w:rPr>
                <w:rFonts w:hint="default" w:ascii="Times New Roman" w:hAnsi="Times New Roman" w:cs="Times New Roman"/>
                <w:strike w:val="0"/>
                <w:dstrike w:val="0"/>
                <w:color w:val="auto"/>
                <w:sz w:val="24"/>
                <w:szCs w:val="24"/>
                <w:highlight w:val="none"/>
              </w:rPr>
              <w:t>×</w:t>
            </w:r>
            <w:r>
              <w:rPr>
                <w:rFonts w:hint="default" w:ascii="Times New Roman" w:hAnsi="Times New Roman" w:cs="Times New Roman"/>
                <w:strike w:val="0"/>
                <w:dstrike w:val="0"/>
                <w:snapToGrid w:val="0"/>
                <w:color w:val="auto"/>
                <w:kern w:val="0"/>
                <w:sz w:val="24"/>
                <w:szCs w:val="24"/>
                <w:highlight w:val="none"/>
              </w:rPr>
              <w:t>50</w:t>
            </w:r>
            <w:r>
              <w:rPr>
                <w:rFonts w:hint="default" w:ascii="Times New Roman" w:hAnsi="Times New Roman" w:cs="Times New Roman"/>
                <w:strike w:val="0"/>
                <w:dstrike w:val="0"/>
                <w:color w:val="auto"/>
                <w:sz w:val="24"/>
                <w:szCs w:val="24"/>
                <w:highlight w:val="none"/>
              </w:rPr>
              <w:t>×</w:t>
            </w:r>
            <w:r>
              <w:rPr>
                <w:rFonts w:hint="default" w:ascii="Times New Roman" w:hAnsi="Times New Roman" w:cs="Times New Roman"/>
                <w:strike w:val="0"/>
                <w:dstrike w:val="0"/>
                <w:snapToGrid w:val="0"/>
                <w:color w:val="auto"/>
                <w:kern w:val="0"/>
                <w:sz w:val="24"/>
                <w:szCs w:val="24"/>
                <w:highlight w:val="none"/>
              </w:rPr>
              <w:t>5热镀锌角钢，接地干线、支线采用-40</w:t>
            </w:r>
            <w:r>
              <w:rPr>
                <w:rFonts w:hint="default" w:ascii="Times New Roman" w:hAnsi="Times New Roman" w:cs="Times New Roman"/>
                <w:strike w:val="0"/>
                <w:dstrike w:val="0"/>
                <w:color w:val="auto"/>
                <w:sz w:val="24"/>
                <w:szCs w:val="24"/>
                <w:highlight w:val="none"/>
              </w:rPr>
              <w:t>×</w:t>
            </w:r>
            <w:r>
              <w:rPr>
                <w:rFonts w:hint="default" w:ascii="Times New Roman" w:hAnsi="Times New Roman" w:cs="Times New Roman"/>
                <w:strike w:val="0"/>
                <w:dstrike w:val="0"/>
                <w:snapToGrid w:val="0"/>
                <w:color w:val="auto"/>
                <w:kern w:val="0"/>
                <w:sz w:val="24"/>
                <w:szCs w:val="24"/>
                <w:highlight w:val="none"/>
              </w:rPr>
              <w:t>4、-25</w:t>
            </w:r>
            <w:r>
              <w:rPr>
                <w:rFonts w:hint="default" w:ascii="Times New Roman" w:hAnsi="Times New Roman" w:cs="Times New Roman"/>
                <w:strike w:val="0"/>
                <w:dstrike w:val="0"/>
                <w:color w:val="auto"/>
                <w:sz w:val="24"/>
                <w:szCs w:val="24"/>
                <w:highlight w:val="none"/>
              </w:rPr>
              <w:t>×</w:t>
            </w:r>
            <w:r>
              <w:rPr>
                <w:rFonts w:hint="default" w:ascii="Times New Roman" w:hAnsi="Times New Roman" w:cs="Times New Roman"/>
                <w:strike w:val="0"/>
                <w:dstrike w:val="0"/>
                <w:snapToGrid w:val="0"/>
                <w:color w:val="auto"/>
                <w:kern w:val="0"/>
                <w:sz w:val="24"/>
                <w:szCs w:val="24"/>
                <w:highlight w:val="none"/>
              </w:rPr>
              <w:t>4热镀锌扁钢，焊接连接，埋深1.0m。焊接处做防腐。接地处做测试点</w:t>
            </w:r>
            <w:r>
              <w:rPr>
                <w:rFonts w:hint="default" w:ascii="Times New Roman" w:hAnsi="Times New Roman" w:cs="Times New Roman"/>
                <w:strike w:val="0"/>
                <w:dstrike w:val="0"/>
                <w:color w:val="auto"/>
                <w:sz w:val="24"/>
                <w:szCs w:val="24"/>
                <w:highlight w:val="none"/>
              </w:rPr>
              <w:t>。</w:t>
            </w:r>
          </w:p>
          <w:p w14:paraId="2A6D8156">
            <w:pPr>
              <w:keepNext w:val="0"/>
              <w:keepLines w:val="0"/>
              <w:pageBreakBefore w:val="0"/>
              <w:widowControl w:val="0"/>
              <w:numPr>
                <w:ilvl w:val="0"/>
                <w:numId w:val="7"/>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cs="Times New Roman"/>
                <w:strike w:val="0"/>
                <w:dstrike w:val="0"/>
                <w:snapToGrid w:val="0"/>
                <w:color w:val="auto"/>
                <w:kern w:val="0"/>
                <w:sz w:val="24"/>
                <w:szCs w:val="24"/>
                <w:highlight w:val="none"/>
              </w:rPr>
              <w:t>连接螺栓少于5根的工艺管线法兰均用TRJ-10mm</w:t>
            </w:r>
            <w:r>
              <w:rPr>
                <w:rFonts w:hint="eastAsia" w:cs="Times New Roman"/>
                <w:strike w:val="0"/>
                <w:dstrike w:val="0"/>
                <w:snapToGrid w:val="0"/>
                <w:color w:val="auto"/>
                <w:kern w:val="0"/>
                <w:sz w:val="24"/>
                <w:szCs w:val="24"/>
                <w:highlight w:val="none"/>
                <w:vertAlign w:val="superscript"/>
                <w:lang w:val="en-US" w:eastAsia="zh-CN"/>
              </w:rPr>
              <w:t>2</w:t>
            </w:r>
            <w:r>
              <w:rPr>
                <w:rFonts w:hint="default" w:ascii="Times New Roman" w:hAnsi="Times New Roman" w:cs="Times New Roman"/>
                <w:strike w:val="0"/>
                <w:dstrike w:val="0"/>
                <w:snapToGrid w:val="0"/>
                <w:color w:val="auto"/>
                <w:kern w:val="0"/>
                <w:sz w:val="24"/>
                <w:szCs w:val="24"/>
                <w:highlight w:val="none"/>
              </w:rPr>
              <w:t>跨接</w:t>
            </w:r>
            <w:r>
              <w:rPr>
                <w:rFonts w:hint="default" w:ascii="Times New Roman" w:hAnsi="Times New Roman" w:cs="Times New Roman"/>
                <w:strike w:val="0"/>
                <w:dstrike w:val="0"/>
                <w:color w:val="auto"/>
                <w:sz w:val="24"/>
                <w:szCs w:val="24"/>
                <w:highlight w:val="none"/>
              </w:rPr>
              <w:t>。</w:t>
            </w:r>
          </w:p>
          <w:p w14:paraId="6113D1D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eastAsia="TimesNewRomanPSMT" w:cs="Times New Roman"/>
                <w:strike w:val="0"/>
                <w:dstrike w:val="0"/>
                <w:color w:val="auto"/>
                <w:sz w:val="24"/>
                <w:szCs w:val="24"/>
                <w:highlight w:val="none"/>
              </w:rPr>
              <w:t>10</w:t>
            </w:r>
            <w:r>
              <w:rPr>
                <w:rFonts w:hint="default" w:ascii="Times New Roman" w:hAnsi="Times New Roman" w:cs="Times New Roman"/>
                <w:strike w:val="0"/>
                <w:dstrike w:val="0"/>
                <w:color w:val="auto"/>
                <w:sz w:val="24"/>
                <w:szCs w:val="24"/>
                <w:highlight w:val="none"/>
              </w:rPr>
              <w:t>、</w:t>
            </w:r>
            <w:r>
              <w:rPr>
                <w:rFonts w:hint="default" w:ascii="Times New Roman" w:hAnsi="Times New Roman" w:cs="Times New Roman"/>
                <w:strike w:val="0"/>
                <w:dstrike w:val="0"/>
                <w:snapToGrid w:val="0"/>
                <w:color w:val="auto"/>
                <w:kern w:val="0"/>
                <w:sz w:val="24"/>
                <w:szCs w:val="24"/>
                <w:highlight w:val="none"/>
              </w:rPr>
              <w:t>项目在卸车处设置静电接地报警仪及人体静电释放装置</w:t>
            </w:r>
            <w:r>
              <w:rPr>
                <w:rFonts w:hint="default" w:ascii="Times New Roman" w:hAnsi="Times New Roman" w:cs="Times New Roman"/>
                <w:strike w:val="0"/>
                <w:dstrike w:val="0"/>
                <w:color w:val="auto"/>
                <w:sz w:val="24"/>
                <w:szCs w:val="24"/>
                <w:highlight w:val="none"/>
              </w:rPr>
              <w:t>。</w:t>
            </w:r>
          </w:p>
          <w:p w14:paraId="584DA83D">
            <w:pPr>
              <w:adjustRightInd w:val="0"/>
              <w:snapToGrid w:val="0"/>
              <w:spacing w:line="360" w:lineRule="auto"/>
              <w:rPr>
                <w:b/>
                <w:bCs/>
                <w:strike w:val="0"/>
                <w:dstrike w:val="0"/>
                <w:color w:val="auto"/>
                <w:sz w:val="24"/>
                <w:highlight w:val="none"/>
              </w:rPr>
            </w:pPr>
            <w:r>
              <w:rPr>
                <w:b/>
                <w:bCs/>
                <w:strike w:val="0"/>
                <w:dstrike w:val="0"/>
                <w:color w:val="auto"/>
                <w:sz w:val="24"/>
                <w:highlight w:val="none"/>
              </w:rPr>
              <w:t>2.1.1</w:t>
            </w:r>
            <w:r>
              <w:rPr>
                <w:rFonts w:hint="eastAsia"/>
                <w:b/>
                <w:bCs/>
                <w:strike w:val="0"/>
                <w:dstrike w:val="0"/>
                <w:color w:val="auto"/>
                <w:sz w:val="24"/>
                <w:highlight w:val="none"/>
                <w:lang w:val="en-US" w:eastAsia="zh-CN"/>
              </w:rPr>
              <w:t>0</w:t>
            </w:r>
            <w:r>
              <w:rPr>
                <w:b/>
                <w:bCs/>
                <w:strike w:val="0"/>
                <w:dstrike w:val="0"/>
                <w:color w:val="auto"/>
                <w:sz w:val="24"/>
                <w:highlight w:val="none"/>
              </w:rPr>
              <w:t xml:space="preserve"> 总平面布置</w:t>
            </w:r>
          </w:p>
          <w:p w14:paraId="0547CA59">
            <w:pPr>
              <w:pStyle w:val="47"/>
              <w:tabs>
                <w:tab w:val="left" w:pos="5573"/>
              </w:tabs>
              <w:spacing w:before="0" w:line="360" w:lineRule="auto"/>
              <w:ind w:firstLine="480"/>
              <w:rPr>
                <w:strike w:val="0"/>
                <w:dstrike w:val="0"/>
                <w:color w:val="auto"/>
                <w:sz w:val="24"/>
                <w:szCs w:val="24"/>
                <w:highlight w:val="none"/>
                <w:lang w:bidi="ar"/>
              </w:rPr>
            </w:pPr>
            <w:r>
              <w:rPr>
                <w:strike w:val="0"/>
                <w:dstrike w:val="0"/>
                <w:color w:val="auto"/>
                <w:sz w:val="24"/>
                <w:szCs w:val="24"/>
                <w:highlight w:val="none"/>
                <w:lang w:bidi="ar"/>
              </w:rPr>
              <w:t>本项目为</w:t>
            </w:r>
            <w:r>
              <w:rPr>
                <w:strike w:val="0"/>
                <w:dstrike w:val="0"/>
                <w:color w:val="auto"/>
                <w:sz w:val="24"/>
                <w:szCs w:val="24"/>
                <w:highlight w:val="none"/>
              </w:rPr>
              <w:t>二级加油与L</w:t>
            </w:r>
            <w:r>
              <w:rPr>
                <w:rFonts w:eastAsia="TimesNewRomanPSMT"/>
                <w:strike w:val="0"/>
                <w:dstrike w:val="0"/>
                <w:color w:val="auto"/>
                <w:sz w:val="24"/>
                <w:szCs w:val="24"/>
                <w:highlight w:val="none"/>
              </w:rPr>
              <w:t xml:space="preserve">NG </w:t>
            </w:r>
            <w:r>
              <w:rPr>
                <w:strike w:val="0"/>
                <w:dstrike w:val="0"/>
                <w:color w:val="auto"/>
                <w:sz w:val="24"/>
                <w:szCs w:val="24"/>
                <w:highlight w:val="none"/>
              </w:rPr>
              <w:t>加气合建站，所在地块呈矩形，地块东侧为中微大道，北面、南面均为荒地，西面为耕地。</w:t>
            </w:r>
          </w:p>
          <w:p w14:paraId="058BCF12">
            <w:pPr>
              <w:spacing w:line="360" w:lineRule="auto"/>
              <w:ind w:firstLine="480" w:firstLineChars="200"/>
              <w:jc w:val="left"/>
              <w:rPr>
                <w:strike w:val="0"/>
                <w:dstrike w:val="0"/>
                <w:color w:val="auto"/>
                <w:sz w:val="24"/>
                <w:szCs w:val="24"/>
                <w:highlight w:val="none"/>
              </w:rPr>
            </w:pPr>
            <w:r>
              <w:rPr>
                <w:strike w:val="0"/>
                <w:dstrike w:val="0"/>
                <w:color w:val="auto"/>
                <w:sz w:val="24"/>
                <w:szCs w:val="24"/>
                <w:highlight w:val="none"/>
              </w:rPr>
              <w:t>加油站内总体分为加油罩棚区、埋地油罐区、站房、储气加气区等。加油罩棚区位于站区内东侧，设置1座轻钢板加油罩棚，设置1列4座加油岛，设</w:t>
            </w:r>
            <w:r>
              <w:rPr>
                <w:rFonts w:hint="eastAsia"/>
                <w:strike w:val="0"/>
                <w:dstrike w:val="0"/>
                <w:color w:val="auto"/>
                <w:sz w:val="24"/>
                <w:szCs w:val="24"/>
                <w:highlight w:val="none"/>
              </w:rPr>
              <w:t>2台4枪加油机、2台6枪加油机</w:t>
            </w:r>
            <w:r>
              <w:rPr>
                <w:strike w:val="0"/>
                <w:dstrike w:val="0"/>
                <w:color w:val="auto"/>
                <w:sz w:val="24"/>
                <w:szCs w:val="24"/>
                <w:highlight w:val="none"/>
              </w:rPr>
              <w:t>；埋地油罐位于站区西北侧，设</w:t>
            </w:r>
            <w:r>
              <w:rPr>
                <w:strike w:val="0"/>
                <w:dstrike w:val="0"/>
                <w:color w:val="auto"/>
                <w:kern w:val="0"/>
                <w:sz w:val="24"/>
                <w:szCs w:val="24"/>
                <w:highlight w:val="none"/>
                <w:lang w:bidi="ar"/>
              </w:rPr>
              <w:t>1个30m</w:t>
            </w:r>
            <w:r>
              <w:rPr>
                <w:rFonts w:hint="eastAsia"/>
                <w:strike w:val="0"/>
                <w:dstrike w:val="0"/>
                <w:color w:val="auto"/>
                <w:kern w:val="0"/>
                <w:sz w:val="24"/>
                <w:szCs w:val="24"/>
                <w:highlight w:val="none"/>
                <w:vertAlign w:val="superscript"/>
                <w:lang w:val="en-US" w:eastAsia="zh-CN" w:bidi="ar"/>
              </w:rPr>
              <w:t>3</w:t>
            </w:r>
            <w:r>
              <w:rPr>
                <w:strike w:val="0"/>
                <w:dstrike w:val="0"/>
                <w:color w:val="auto"/>
                <w:kern w:val="0"/>
                <w:sz w:val="24"/>
                <w:szCs w:val="24"/>
                <w:highlight w:val="none"/>
                <w:lang w:bidi="ar"/>
              </w:rPr>
              <w:t>的92#汽油罐、1个30m</w:t>
            </w:r>
            <w:r>
              <w:rPr>
                <w:rFonts w:hint="eastAsia"/>
                <w:strike w:val="0"/>
                <w:dstrike w:val="0"/>
                <w:color w:val="auto"/>
                <w:kern w:val="0"/>
                <w:sz w:val="24"/>
                <w:szCs w:val="24"/>
                <w:highlight w:val="none"/>
                <w:vertAlign w:val="superscript"/>
                <w:lang w:val="en-US" w:eastAsia="zh-CN" w:bidi="ar"/>
              </w:rPr>
              <w:t>3</w:t>
            </w:r>
            <w:r>
              <w:rPr>
                <w:strike w:val="0"/>
                <w:dstrike w:val="0"/>
                <w:color w:val="auto"/>
                <w:kern w:val="0"/>
                <w:sz w:val="24"/>
                <w:szCs w:val="24"/>
                <w:highlight w:val="none"/>
                <w:lang w:bidi="ar"/>
              </w:rPr>
              <w:t>的95#汽油罐、2个30m</w:t>
            </w:r>
            <w:r>
              <w:rPr>
                <w:rFonts w:hint="eastAsia"/>
                <w:strike w:val="0"/>
                <w:dstrike w:val="0"/>
                <w:color w:val="auto"/>
                <w:kern w:val="0"/>
                <w:sz w:val="24"/>
                <w:szCs w:val="24"/>
                <w:highlight w:val="none"/>
                <w:vertAlign w:val="superscript"/>
                <w:lang w:val="en-US" w:eastAsia="zh-CN" w:bidi="ar"/>
              </w:rPr>
              <w:t>3</w:t>
            </w:r>
            <w:r>
              <w:rPr>
                <w:strike w:val="0"/>
                <w:dstrike w:val="0"/>
                <w:color w:val="auto"/>
                <w:kern w:val="0"/>
                <w:sz w:val="24"/>
                <w:szCs w:val="24"/>
                <w:highlight w:val="none"/>
                <w:lang w:bidi="ar"/>
              </w:rPr>
              <w:t>的0#柴油罐</w:t>
            </w:r>
            <w:r>
              <w:rPr>
                <w:strike w:val="0"/>
                <w:dstrike w:val="0"/>
                <w:color w:val="auto"/>
                <w:sz w:val="24"/>
                <w:szCs w:val="24"/>
                <w:highlight w:val="none"/>
              </w:rPr>
              <w:t>，卸油区位于油罐东北侧，通气立管位于油罐西侧。西侧为储气加气区，设1个60m³LNG卧式撬装储罐，设置LNG单枪加气机2台。站房位于站区南侧，</w:t>
            </w:r>
            <w:r>
              <w:rPr>
                <w:rFonts w:eastAsia="TimesNewRomanPSMT"/>
                <w:strike w:val="0"/>
                <w:dstrike w:val="0"/>
                <w:color w:val="auto"/>
                <w:sz w:val="24"/>
                <w:szCs w:val="24"/>
                <w:highlight w:val="none"/>
              </w:rPr>
              <w:t>1F</w:t>
            </w:r>
            <w:r>
              <w:rPr>
                <w:strike w:val="0"/>
                <w:dstrike w:val="0"/>
                <w:color w:val="auto"/>
                <w:sz w:val="24"/>
                <w:szCs w:val="24"/>
                <w:highlight w:val="none"/>
              </w:rPr>
              <w:t>布置便利店、办公室及卫生间等，</w:t>
            </w:r>
            <w:r>
              <w:rPr>
                <w:rFonts w:eastAsia="TimesNewRomanPSMT"/>
                <w:strike w:val="0"/>
                <w:dstrike w:val="0"/>
                <w:color w:val="auto"/>
                <w:sz w:val="24"/>
                <w:szCs w:val="24"/>
                <w:highlight w:val="none"/>
              </w:rPr>
              <w:t>2F</w:t>
            </w:r>
            <w:r>
              <w:rPr>
                <w:strike w:val="0"/>
                <w:dstrike w:val="0"/>
                <w:color w:val="auto"/>
                <w:sz w:val="24"/>
                <w:szCs w:val="24"/>
                <w:highlight w:val="none"/>
              </w:rPr>
              <w:t>布置值班室、储藏室及卫生间等。</w:t>
            </w:r>
          </w:p>
          <w:p w14:paraId="6E37F8E5">
            <w:pPr>
              <w:pStyle w:val="47"/>
              <w:tabs>
                <w:tab w:val="left" w:pos="5573"/>
              </w:tabs>
              <w:spacing w:before="0" w:line="360" w:lineRule="auto"/>
              <w:ind w:firstLine="480"/>
              <w:rPr>
                <w:strike w:val="0"/>
                <w:dstrike w:val="0"/>
                <w:color w:val="auto"/>
                <w:sz w:val="24"/>
                <w:szCs w:val="24"/>
                <w:highlight w:val="none"/>
              </w:rPr>
            </w:pPr>
            <w:r>
              <w:rPr>
                <w:strike w:val="0"/>
                <w:dstrike w:val="0"/>
                <w:color w:val="auto"/>
                <w:sz w:val="24"/>
                <w:szCs w:val="24"/>
                <w:highlight w:val="none"/>
                <w:lang w:bidi="ar"/>
              </w:rPr>
              <w:t>加油站入口位于站区东北侧，出口位于站区东南侧，出入口与主干道中微大道相连，</w:t>
            </w:r>
            <w:r>
              <w:rPr>
                <w:strike w:val="0"/>
                <w:dstrike w:val="0"/>
                <w:color w:val="auto"/>
                <w:sz w:val="24"/>
                <w:szCs w:val="24"/>
                <w:highlight w:val="none"/>
              </w:rPr>
              <w:t>交通便利，便于车辆进出加油。</w:t>
            </w:r>
          </w:p>
          <w:p w14:paraId="5464FAC9">
            <w:pPr>
              <w:spacing w:line="360" w:lineRule="auto"/>
              <w:ind w:firstLine="480" w:firstLineChars="200"/>
              <w:jc w:val="left"/>
              <w:rPr>
                <w:strike w:val="0"/>
                <w:dstrike w:val="0"/>
                <w:color w:val="auto"/>
                <w:sz w:val="24"/>
                <w:szCs w:val="24"/>
                <w:highlight w:val="none"/>
              </w:rPr>
            </w:pPr>
            <w:r>
              <w:rPr>
                <w:strike w:val="0"/>
                <w:dstrike w:val="0"/>
                <w:color w:val="auto"/>
                <w:sz w:val="24"/>
                <w:szCs w:val="24"/>
                <w:highlight w:val="none"/>
              </w:rPr>
              <w:t>本项目生化池位于站房外东北侧，便于收集处理生活污水；三段式隔油池位于</w:t>
            </w:r>
            <w:r>
              <w:rPr>
                <w:rFonts w:hint="eastAsia"/>
                <w:strike w:val="0"/>
                <w:dstrike w:val="0"/>
                <w:color w:val="auto"/>
                <w:sz w:val="24"/>
                <w:szCs w:val="24"/>
                <w:highlight w:val="none"/>
              </w:rPr>
              <w:t>站场北侧</w:t>
            </w:r>
            <w:r>
              <w:rPr>
                <w:strike w:val="0"/>
                <w:dstrike w:val="0"/>
                <w:color w:val="auto"/>
                <w:sz w:val="24"/>
                <w:szCs w:val="24"/>
                <w:highlight w:val="none"/>
              </w:rPr>
              <w:t>，收集处理场地清洗废水和含油雨水。站场中部设置</w:t>
            </w:r>
            <w:r>
              <w:rPr>
                <w:rFonts w:hint="eastAsia"/>
                <w:strike w:val="0"/>
                <w:dstrike w:val="0"/>
                <w:color w:val="auto"/>
                <w:sz w:val="24"/>
                <w:szCs w:val="24"/>
                <w:highlight w:val="none"/>
              </w:rPr>
              <w:t>危废贮存点</w:t>
            </w:r>
            <w:r>
              <w:rPr>
                <w:strike w:val="0"/>
                <w:dstrike w:val="0"/>
                <w:color w:val="auto"/>
                <w:sz w:val="24"/>
                <w:szCs w:val="24"/>
                <w:highlight w:val="none"/>
              </w:rPr>
              <w:t>，便于危废的收集转运，站场各处设生活垃圾收集桶，便于生活垃圾的收运处置。</w:t>
            </w:r>
          </w:p>
          <w:p w14:paraId="46A78397">
            <w:pPr>
              <w:spacing w:line="360" w:lineRule="auto"/>
              <w:ind w:firstLine="480" w:firstLineChars="200"/>
              <w:jc w:val="left"/>
              <w:rPr>
                <w:strike w:val="0"/>
                <w:dstrike w:val="0"/>
                <w:color w:val="auto"/>
                <w:sz w:val="24"/>
                <w:highlight w:val="none"/>
              </w:rPr>
            </w:pPr>
            <w:r>
              <w:rPr>
                <w:strike w:val="0"/>
                <w:dstrike w:val="0"/>
                <w:color w:val="auto"/>
                <w:sz w:val="24"/>
                <w:szCs w:val="24"/>
                <w:highlight w:val="none"/>
              </w:rPr>
              <w:t>项目平面布置功能分区明确，工艺布置顺畅、紧凑合理，环保设施布置合理。本项目平面布置图详见附图2。</w:t>
            </w:r>
          </w:p>
        </w:tc>
      </w:tr>
      <w:tr w14:paraId="723A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trHeight w:val="680" w:hRule="atLeast"/>
        </w:trPr>
        <w:tc>
          <w:tcPr>
            <w:tcW w:w="635" w:type="dxa"/>
            <w:vAlign w:val="center"/>
          </w:tcPr>
          <w:p w14:paraId="33239467">
            <w:pPr>
              <w:pStyle w:val="18"/>
              <w:adjustRightInd w:val="0"/>
              <w:snapToGrid w:val="0"/>
              <w:spacing w:before="0" w:beforeAutospacing="0" w:after="0" w:afterAutospacing="0"/>
              <w:jc w:val="center"/>
              <w:rPr>
                <w:rFonts w:ascii="Times New Roman" w:hAnsi="Times New Roman"/>
                <w:strike w:val="0"/>
                <w:dstrike w:val="0"/>
                <w:color w:val="auto"/>
                <w:highlight w:val="none"/>
              </w:rPr>
            </w:pPr>
            <w:r>
              <w:rPr>
                <w:rFonts w:ascii="Times New Roman" w:hAnsi="Times New Roman"/>
                <w:b/>
                <w:bCs/>
                <w:strike w:val="0"/>
                <w:dstrike w:val="0"/>
                <w:color w:val="auto"/>
                <w:highlight w:val="none"/>
              </w:rPr>
              <w:t>工艺流程和产排污环节</w:t>
            </w:r>
          </w:p>
        </w:tc>
        <w:tc>
          <w:tcPr>
            <w:tcW w:w="7838" w:type="dxa"/>
          </w:tcPr>
          <w:p w14:paraId="49D0B6CB">
            <w:pPr>
              <w:pStyle w:val="13"/>
              <w:spacing w:after="0" w:line="360" w:lineRule="auto"/>
              <w:ind w:left="0" w:leftChars="0"/>
              <w:jc w:val="left"/>
              <w:rPr>
                <w:b/>
                <w:bCs/>
                <w:strike w:val="0"/>
                <w:dstrike w:val="0"/>
                <w:color w:val="auto"/>
                <w:kern w:val="0"/>
                <w:sz w:val="24"/>
                <w:szCs w:val="20"/>
                <w:highlight w:val="none"/>
              </w:rPr>
            </w:pPr>
            <w:r>
              <w:rPr>
                <w:b/>
                <w:bCs/>
                <w:strike w:val="0"/>
                <w:dstrike w:val="0"/>
                <w:color w:val="auto"/>
                <w:kern w:val="0"/>
                <w:sz w:val="24"/>
                <w:szCs w:val="20"/>
                <w:highlight w:val="none"/>
              </w:rPr>
              <w:t>2.2工艺流程和产排污环节</w:t>
            </w:r>
          </w:p>
          <w:p w14:paraId="59F70ECA">
            <w:pPr>
              <w:pStyle w:val="13"/>
              <w:spacing w:after="0" w:line="360" w:lineRule="auto"/>
              <w:ind w:left="0" w:leftChars="0"/>
              <w:jc w:val="left"/>
              <w:rPr>
                <w:b/>
                <w:bCs/>
                <w:strike w:val="0"/>
                <w:dstrike w:val="0"/>
                <w:color w:val="auto"/>
                <w:kern w:val="0"/>
                <w:sz w:val="24"/>
                <w:szCs w:val="20"/>
                <w:highlight w:val="none"/>
              </w:rPr>
            </w:pPr>
            <w:r>
              <w:rPr>
                <w:b/>
                <w:bCs/>
                <w:strike w:val="0"/>
                <w:dstrike w:val="0"/>
                <w:color w:val="auto"/>
                <w:kern w:val="0"/>
                <w:sz w:val="24"/>
                <w:szCs w:val="20"/>
                <w:highlight w:val="none"/>
              </w:rPr>
              <w:t>2.2.1施工期工艺流程及产污环节</w:t>
            </w:r>
          </w:p>
          <w:p w14:paraId="275C4DDF">
            <w:pPr>
              <w:spacing w:line="360" w:lineRule="auto"/>
              <w:ind w:firstLine="480" w:firstLineChars="200"/>
              <w:jc w:val="left"/>
              <w:rPr>
                <w:b/>
                <w:strike w:val="0"/>
                <w:dstrike w:val="0"/>
                <w:color w:val="auto"/>
                <w:szCs w:val="21"/>
                <w:highlight w:val="none"/>
              </w:rPr>
            </w:pPr>
            <w:r>
              <w:rPr>
                <w:strike w:val="0"/>
                <w:dstrike w:val="0"/>
                <w:color w:val="auto"/>
                <w:sz w:val="24"/>
                <w:highlight w:val="none"/>
              </w:rPr>
              <w:t>项目为加油加气站项目，包含新建埋地油罐、站房、罩棚、设备安装等。建设期污染主要产生于场地平整、主体工程、装修、管线设备安装、场地清理等阶段。</w:t>
            </w:r>
            <w:r>
              <w:rPr>
                <w:bCs/>
                <w:strike w:val="0"/>
                <w:dstrike w:val="0"/>
                <w:color w:val="auto"/>
                <w:sz w:val="24"/>
                <w:highlight w:val="none"/>
              </w:rPr>
              <w:t>施工期的产污环节见图2.2-1。</w:t>
            </w:r>
          </w:p>
          <w:p w14:paraId="64B196A5">
            <w:pPr>
              <w:jc w:val="center"/>
              <w:outlineLvl w:val="1"/>
              <w:rPr>
                <w:b/>
                <w:bCs/>
                <w:strike w:val="0"/>
                <w:dstrike w:val="0"/>
                <w:color w:val="auto"/>
                <w:sz w:val="24"/>
                <w:highlight w:val="none"/>
              </w:rPr>
            </w:pPr>
            <w:r>
              <w:rPr>
                <w:strike w:val="0"/>
                <w:dstrike w:val="0"/>
                <w:color w:val="auto"/>
                <w:highlight w:val="none"/>
              </w:rPr>
              <w:drawing>
                <wp:anchor distT="0" distB="0" distL="114300" distR="114300" simplePos="0" relativeHeight="251659264" behindDoc="0" locked="0" layoutInCell="1" allowOverlap="1">
                  <wp:simplePos x="0" y="0"/>
                  <wp:positionH relativeFrom="column">
                    <wp:posOffset>-5080</wp:posOffset>
                  </wp:positionH>
                  <wp:positionV relativeFrom="paragraph">
                    <wp:posOffset>20320</wp:posOffset>
                  </wp:positionV>
                  <wp:extent cx="4837430" cy="1174750"/>
                  <wp:effectExtent l="0" t="0" r="1270" b="635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4837430" cy="1174750"/>
                          </a:xfrm>
                          <a:prstGeom prst="rect">
                            <a:avLst/>
                          </a:prstGeom>
                          <a:noFill/>
                          <a:ln>
                            <a:noFill/>
                          </a:ln>
                        </pic:spPr>
                      </pic:pic>
                    </a:graphicData>
                  </a:graphic>
                </wp:anchor>
              </w:drawing>
            </w:r>
            <w:r>
              <w:rPr>
                <w:b/>
                <w:bCs/>
                <w:strike w:val="0"/>
                <w:dstrike w:val="0"/>
                <w:color w:val="auto"/>
                <w:sz w:val="24"/>
                <w:highlight w:val="none"/>
              </w:rPr>
              <w:t>图2.2-1  项目施工期工艺流程及产物环节示意图</w:t>
            </w:r>
          </w:p>
          <w:p w14:paraId="4CDD3D20">
            <w:pPr>
              <w:spacing w:line="360" w:lineRule="auto"/>
              <w:ind w:firstLine="480" w:firstLineChars="200"/>
              <w:jc w:val="left"/>
              <w:rPr>
                <w:strike w:val="0"/>
                <w:dstrike w:val="0"/>
                <w:color w:val="auto"/>
                <w:sz w:val="24"/>
                <w:highlight w:val="none"/>
              </w:rPr>
            </w:pPr>
            <w:r>
              <w:rPr>
                <w:rFonts w:hint="eastAsia"/>
                <w:strike w:val="0"/>
                <w:dstrike w:val="0"/>
                <w:color w:val="auto"/>
                <w:sz w:val="24"/>
                <w:highlight w:val="none"/>
              </w:rPr>
              <w:t>施工期产污：</w:t>
            </w:r>
          </w:p>
          <w:p w14:paraId="145ECD07">
            <w:pPr>
              <w:spacing w:line="360" w:lineRule="auto"/>
              <w:ind w:firstLine="480" w:firstLineChars="200"/>
              <w:jc w:val="left"/>
              <w:rPr>
                <w:strike w:val="0"/>
                <w:dstrike w:val="0"/>
                <w:color w:val="auto"/>
                <w:sz w:val="24"/>
                <w:highlight w:val="none"/>
              </w:rPr>
            </w:pPr>
            <w:r>
              <w:rPr>
                <w:rFonts w:hint="eastAsia"/>
                <w:strike w:val="0"/>
                <w:dstrike w:val="0"/>
                <w:color w:val="auto"/>
                <w:sz w:val="24"/>
                <w:highlight w:val="none"/>
              </w:rPr>
              <w:t>废气：施工粉尘、各种燃油动力机械在施工过程中产生的燃油废气和装饰废气。</w:t>
            </w:r>
          </w:p>
          <w:p w14:paraId="551376F0">
            <w:pPr>
              <w:spacing w:line="360" w:lineRule="auto"/>
              <w:ind w:firstLine="480" w:firstLineChars="200"/>
              <w:jc w:val="left"/>
              <w:rPr>
                <w:strike w:val="0"/>
                <w:dstrike w:val="0"/>
                <w:color w:val="auto"/>
                <w:sz w:val="24"/>
                <w:highlight w:val="none"/>
              </w:rPr>
            </w:pPr>
            <w:r>
              <w:rPr>
                <w:rFonts w:hint="eastAsia"/>
                <w:strike w:val="0"/>
                <w:dstrike w:val="0"/>
                <w:color w:val="auto"/>
                <w:sz w:val="24"/>
                <w:highlight w:val="none"/>
              </w:rPr>
              <w:t>废水：施工废水和施工人员生活污水。</w:t>
            </w:r>
          </w:p>
          <w:p w14:paraId="4EE3A9B6">
            <w:pPr>
              <w:spacing w:line="360" w:lineRule="auto"/>
              <w:ind w:firstLine="480" w:firstLineChars="200"/>
              <w:jc w:val="left"/>
              <w:rPr>
                <w:strike w:val="0"/>
                <w:dstrike w:val="0"/>
                <w:color w:val="auto"/>
                <w:sz w:val="24"/>
                <w:highlight w:val="none"/>
              </w:rPr>
            </w:pPr>
            <w:r>
              <w:rPr>
                <w:rFonts w:hint="eastAsia"/>
                <w:strike w:val="0"/>
                <w:dstrike w:val="0"/>
                <w:color w:val="auto"/>
                <w:sz w:val="24"/>
                <w:highlight w:val="none"/>
              </w:rPr>
              <w:t>固体废物：废包装材料、石材、木材、金属材料等建筑垃圾，少量生活垃圾。</w:t>
            </w:r>
          </w:p>
          <w:p w14:paraId="7DDA921D">
            <w:pPr>
              <w:spacing w:line="360" w:lineRule="auto"/>
              <w:ind w:firstLine="480" w:firstLineChars="200"/>
              <w:jc w:val="left"/>
              <w:rPr>
                <w:strike w:val="0"/>
                <w:dstrike w:val="0"/>
                <w:color w:val="auto"/>
                <w:sz w:val="24"/>
                <w:highlight w:val="none"/>
              </w:rPr>
            </w:pPr>
            <w:r>
              <w:rPr>
                <w:rFonts w:hint="eastAsia"/>
                <w:strike w:val="0"/>
                <w:dstrike w:val="0"/>
                <w:color w:val="auto"/>
                <w:sz w:val="24"/>
                <w:highlight w:val="none"/>
              </w:rPr>
              <w:t>噪声：施工机械噪声、运输车辆噪声。</w:t>
            </w:r>
          </w:p>
          <w:p w14:paraId="7C8D4CBE">
            <w:pPr>
              <w:pStyle w:val="13"/>
              <w:spacing w:after="0" w:line="360" w:lineRule="auto"/>
              <w:ind w:left="0" w:leftChars="0"/>
              <w:jc w:val="left"/>
              <w:rPr>
                <w:b/>
                <w:bCs/>
                <w:strike w:val="0"/>
                <w:dstrike w:val="0"/>
                <w:color w:val="auto"/>
                <w:kern w:val="0"/>
                <w:sz w:val="24"/>
                <w:szCs w:val="20"/>
                <w:highlight w:val="none"/>
              </w:rPr>
            </w:pPr>
            <w:r>
              <w:rPr>
                <w:b/>
                <w:bCs/>
                <w:strike w:val="0"/>
                <w:dstrike w:val="0"/>
                <w:color w:val="auto"/>
                <w:kern w:val="0"/>
                <w:sz w:val="24"/>
                <w:szCs w:val="20"/>
                <w:highlight w:val="none"/>
              </w:rPr>
              <w:t>2.2.2运营期工艺流程及产污环节</w:t>
            </w:r>
          </w:p>
          <w:p w14:paraId="3DE36781">
            <w:pPr>
              <w:spacing w:line="360" w:lineRule="auto"/>
              <w:ind w:firstLine="480" w:firstLineChars="200"/>
              <w:jc w:val="left"/>
              <w:rPr>
                <w:strike w:val="0"/>
                <w:dstrike w:val="0"/>
                <w:color w:val="auto"/>
                <w:sz w:val="24"/>
                <w:highlight w:val="none"/>
              </w:rPr>
            </w:pPr>
            <w:r>
              <w:rPr>
                <w:strike w:val="0"/>
                <w:dstrike w:val="0"/>
                <w:color w:val="auto"/>
                <w:sz w:val="24"/>
                <w:highlight w:val="none"/>
              </w:rPr>
              <w:t>本项目为加油加气站项目，营运期为过往车辆加油、加气。</w:t>
            </w:r>
          </w:p>
          <w:p w14:paraId="48F01368">
            <w:pPr>
              <w:spacing w:line="360" w:lineRule="auto"/>
              <w:ind w:firstLine="480" w:firstLineChars="200"/>
              <w:jc w:val="left"/>
              <w:rPr>
                <w:strike w:val="0"/>
                <w:dstrike w:val="0"/>
                <w:color w:val="auto"/>
                <w:sz w:val="24"/>
                <w:highlight w:val="none"/>
              </w:rPr>
            </w:pPr>
            <w:r>
              <w:rPr>
                <w:strike w:val="0"/>
                <w:dstrike w:val="0"/>
                <w:color w:val="auto"/>
                <w:sz w:val="24"/>
                <w:highlight w:val="none"/>
              </w:rPr>
              <w:t>加油工艺成熟，主要包括成品油进站卸油、储油和给过往车辆加油等过程。采用的工艺流程是常规的自吸流程：成品油罐车将来油通过卸油管道先卸到地埋式储油罐中，再由潜油泵将油品从储油罐中经输油管道送入加油机中，然后给汽车加油，每个加油枪设单独管线吸油。柴油、汽油工艺流程类似，由于柴油挥发性较小，不设油气回收系统；汽油设油气回收系统。</w:t>
            </w:r>
          </w:p>
          <w:p w14:paraId="46BAF645">
            <w:pPr>
              <w:numPr>
                <w:ilvl w:val="0"/>
                <w:numId w:val="8"/>
              </w:numPr>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t>柴油加油工艺流程及产污环节</w:t>
            </w:r>
          </w:p>
          <w:p w14:paraId="35F22482">
            <w:pPr>
              <w:jc w:val="center"/>
              <w:rPr>
                <w:b/>
                <w:strike w:val="0"/>
                <w:dstrike w:val="0"/>
                <w:color w:val="auto"/>
                <w:sz w:val="24"/>
                <w:highlight w:val="none"/>
              </w:rPr>
            </w:pPr>
            <w:r>
              <w:rPr>
                <w:b/>
                <w:strike w:val="0"/>
                <w:dstrike w:val="0"/>
                <w:color w:val="auto"/>
                <w:sz w:val="24"/>
                <w:highlight w:val="none"/>
              </w:rPr>
              <w:object>
                <v:shape id="_x0000_i1026" o:spt="75" type="#_x0000_t75" style="height:126.4pt;width:351.05pt;" o:ole="t" filled="f" o:preferrelative="t" stroked="f" coordsize="21600,21600">
                  <v:path/>
                  <v:fill on="f" focussize="0,0"/>
                  <v:stroke on="f" joinstyle="miter"/>
                  <v:imagedata r:id="rId16" o:title=""/>
                  <o:lock v:ext="edit" aspectratio="f"/>
                  <w10:wrap type="none"/>
                  <w10:anchorlock/>
                </v:shape>
                <o:OLEObject Type="Embed" ProgID="Visio.Drawing.15" ShapeID="_x0000_i1026" DrawAspect="Content" ObjectID="_1468075726" r:id="rId15">
                  <o:LockedField>false</o:LockedField>
                </o:OLEObject>
              </w:object>
            </w:r>
          </w:p>
          <w:p w14:paraId="32EDF0A5">
            <w:pPr>
              <w:jc w:val="center"/>
              <w:rPr>
                <w:strike w:val="0"/>
                <w:dstrike w:val="0"/>
                <w:color w:val="auto"/>
                <w:sz w:val="24"/>
                <w:highlight w:val="none"/>
              </w:rPr>
            </w:pPr>
            <w:r>
              <w:rPr>
                <w:b/>
                <w:strike w:val="0"/>
                <w:dstrike w:val="0"/>
                <w:color w:val="auto"/>
                <w:sz w:val="24"/>
                <w:highlight w:val="none"/>
              </w:rPr>
              <w:t>图2.2-2  柴油加油工艺流程及产污环节图</w:t>
            </w:r>
          </w:p>
          <w:p w14:paraId="18607582">
            <w:pPr>
              <w:pStyle w:val="11"/>
              <w:adjustRightInd w:val="0"/>
              <w:snapToGrid w:val="0"/>
              <w:spacing w:line="360" w:lineRule="auto"/>
              <w:ind w:firstLine="482" w:firstLineChars="200"/>
              <w:rPr>
                <w:rFonts w:ascii="Times New Roman" w:hAnsi="Times New Roman"/>
                <w:b/>
                <w:bCs/>
                <w:strike w:val="0"/>
                <w:dstrike w:val="0"/>
                <w:color w:val="auto"/>
                <w:sz w:val="24"/>
                <w:szCs w:val="24"/>
                <w:highlight w:val="none"/>
              </w:rPr>
            </w:pPr>
            <w:r>
              <w:rPr>
                <w:rFonts w:ascii="Times New Roman" w:hAnsi="Times New Roman"/>
                <w:b/>
                <w:bCs/>
                <w:strike w:val="0"/>
                <w:dstrike w:val="0"/>
                <w:color w:val="auto"/>
                <w:sz w:val="24"/>
                <w:szCs w:val="24"/>
                <w:highlight w:val="none"/>
              </w:rPr>
              <w:t>工艺流程简述：</w:t>
            </w:r>
          </w:p>
          <w:p w14:paraId="5577FB65">
            <w:pPr>
              <w:spacing w:line="360" w:lineRule="auto"/>
              <w:ind w:firstLine="482" w:firstLineChars="200"/>
              <w:rPr>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1 \* GB3 \* MERGEFORMAT </w:instrText>
            </w:r>
            <w:r>
              <w:rPr>
                <w:b/>
                <w:bCs/>
                <w:strike w:val="0"/>
                <w:dstrike w:val="0"/>
                <w:color w:val="auto"/>
                <w:sz w:val="24"/>
                <w:highlight w:val="none"/>
              </w:rPr>
              <w:fldChar w:fldCharType="separate"/>
            </w:r>
            <w:r>
              <w:rPr>
                <w:b/>
                <w:bCs/>
                <w:strike w:val="0"/>
                <w:dstrike w:val="0"/>
                <w:color w:val="auto"/>
                <w:sz w:val="24"/>
                <w:highlight w:val="none"/>
              </w:rPr>
              <w:t>①</w:t>
            </w:r>
            <w:r>
              <w:rPr>
                <w:b/>
                <w:bCs/>
                <w:strike w:val="0"/>
                <w:dstrike w:val="0"/>
                <w:color w:val="auto"/>
                <w:sz w:val="24"/>
                <w:highlight w:val="none"/>
              </w:rPr>
              <w:fldChar w:fldCharType="end"/>
            </w:r>
            <w:r>
              <w:rPr>
                <w:b/>
                <w:bCs/>
                <w:strike w:val="0"/>
                <w:dstrike w:val="0"/>
                <w:color w:val="auto"/>
                <w:sz w:val="24"/>
                <w:highlight w:val="none"/>
              </w:rPr>
              <w:t>卸油过程：</w:t>
            </w:r>
            <w:r>
              <w:rPr>
                <w:strike w:val="0"/>
                <w:dstrike w:val="0"/>
                <w:color w:val="auto"/>
                <w:sz w:val="24"/>
                <w:highlight w:val="none"/>
              </w:rPr>
              <w:t>油罐车将柴油运至场地内</w:t>
            </w:r>
            <w:r>
              <w:rPr>
                <w:rFonts w:hint="eastAsia"/>
                <w:strike w:val="0"/>
                <w:dstrike w:val="0"/>
                <w:color w:val="auto"/>
                <w:sz w:val="24"/>
                <w:highlight w:val="none"/>
                <w:lang w:eastAsia="zh-CN"/>
              </w:rPr>
              <w:t>，</w:t>
            </w:r>
            <w:r>
              <w:rPr>
                <w:strike w:val="0"/>
                <w:dstrike w:val="0"/>
                <w:color w:val="auto"/>
                <w:sz w:val="24"/>
                <w:highlight w:val="none"/>
              </w:rPr>
              <w:t>再通过密闭卸油点把柴油卸至埋地油罐。在油罐车卸油过程中，储油车内压力减小，地下储罐内压力增加，地下储罐与油罐车内的压力差，使卸油过程中地下油罐内产生的油气通过立管排放，油罐车内产生的油气通过呼吸控制阀挥发油气。柴油卸油过程产生卸油废气G1-1和噪声。</w:t>
            </w:r>
          </w:p>
          <w:p w14:paraId="00BC4AC1">
            <w:pPr>
              <w:spacing w:line="360" w:lineRule="auto"/>
              <w:ind w:firstLine="482" w:firstLineChars="200"/>
              <w:rPr>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2 \* GB3 \* MERGEFORMAT </w:instrText>
            </w:r>
            <w:r>
              <w:rPr>
                <w:b/>
                <w:bCs/>
                <w:strike w:val="0"/>
                <w:dstrike w:val="0"/>
                <w:color w:val="auto"/>
                <w:sz w:val="24"/>
                <w:highlight w:val="none"/>
              </w:rPr>
              <w:fldChar w:fldCharType="separate"/>
            </w:r>
            <w:r>
              <w:rPr>
                <w:b/>
                <w:bCs/>
                <w:strike w:val="0"/>
                <w:dstrike w:val="0"/>
                <w:color w:val="auto"/>
                <w:sz w:val="24"/>
                <w:highlight w:val="none"/>
              </w:rPr>
              <w:t>②</w:t>
            </w:r>
            <w:r>
              <w:rPr>
                <w:b/>
                <w:bCs/>
                <w:strike w:val="0"/>
                <w:dstrike w:val="0"/>
                <w:color w:val="auto"/>
                <w:sz w:val="24"/>
                <w:highlight w:val="none"/>
              </w:rPr>
              <w:fldChar w:fldCharType="end"/>
            </w:r>
            <w:r>
              <w:rPr>
                <w:b/>
                <w:bCs/>
                <w:strike w:val="0"/>
                <w:dstrike w:val="0"/>
                <w:color w:val="auto"/>
                <w:sz w:val="24"/>
                <w:highlight w:val="none"/>
              </w:rPr>
              <w:t>储油过程：</w:t>
            </w:r>
            <w:r>
              <w:rPr>
                <w:strike w:val="0"/>
                <w:dstrike w:val="0"/>
                <w:color w:val="auto"/>
                <w:sz w:val="24"/>
                <w:highlight w:val="none"/>
              </w:rPr>
              <w:t>储油罐采用地埋式储存，油罐车送来接卸后的油品在相应的油罐内储存。油罐在静止储存的情况下，随着外界气温、压力周期变化，罐内气体空间温度、油品蒸发速度、油气浓度和蒸汽压力也随之变化，少量油气通过立管排放。储油罐一般5年清理一次，清罐时将产生废油、含油废渣、伴生污染物、清洗废液，统称清罐废物。储油过程产生少量储油废气G2和清罐废物S1。</w:t>
            </w:r>
          </w:p>
          <w:p w14:paraId="7A5F735C">
            <w:pPr>
              <w:spacing w:line="360" w:lineRule="auto"/>
              <w:ind w:firstLine="482" w:firstLineChars="200"/>
              <w:rPr>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3 \* GB3 \* MERGEFORMAT </w:instrText>
            </w:r>
            <w:r>
              <w:rPr>
                <w:b/>
                <w:bCs/>
                <w:strike w:val="0"/>
                <w:dstrike w:val="0"/>
                <w:color w:val="auto"/>
                <w:sz w:val="24"/>
                <w:highlight w:val="none"/>
              </w:rPr>
              <w:fldChar w:fldCharType="separate"/>
            </w:r>
            <w:r>
              <w:rPr>
                <w:b/>
                <w:bCs/>
                <w:strike w:val="0"/>
                <w:dstrike w:val="0"/>
                <w:color w:val="auto"/>
                <w:sz w:val="24"/>
                <w:highlight w:val="none"/>
              </w:rPr>
              <w:t>③</w:t>
            </w:r>
            <w:r>
              <w:rPr>
                <w:b/>
                <w:bCs/>
                <w:strike w:val="0"/>
                <w:dstrike w:val="0"/>
                <w:color w:val="auto"/>
                <w:sz w:val="24"/>
                <w:highlight w:val="none"/>
              </w:rPr>
              <w:fldChar w:fldCharType="end"/>
            </w:r>
            <w:r>
              <w:rPr>
                <w:b/>
                <w:bCs/>
                <w:strike w:val="0"/>
                <w:dstrike w:val="0"/>
                <w:color w:val="auto"/>
                <w:sz w:val="24"/>
                <w:highlight w:val="none"/>
              </w:rPr>
              <w:t>加油过程：</w:t>
            </w:r>
            <w:r>
              <w:rPr>
                <w:strike w:val="0"/>
                <w:dstrike w:val="0"/>
                <w:color w:val="auto"/>
                <w:sz w:val="24"/>
                <w:highlight w:val="none"/>
              </w:rPr>
              <w:t>加油机通过加油枪给汽车油罐加油，油通过潜污泵从埋地油罐输送至加油机。加油过程中通过计量器进行计量，加油车辆油罐随着柴油的注入，车辆油罐内产生的油气逸散至大气中。加油过程产生加油机的运行噪声。加油机设备一般3个月检修一次，检修时产生废油、含油废渣、伴生污染物、清洗废液，统称检修废物。加油过程产生加油废气G3-1、噪声和检修废物S2。</w:t>
            </w:r>
          </w:p>
          <w:p w14:paraId="163B5DE1">
            <w:pPr>
              <w:pStyle w:val="11"/>
              <w:numPr>
                <w:ilvl w:val="0"/>
                <w:numId w:val="8"/>
              </w:numPr>
              <w:adjustRightInd w:val="0"/>
              <w:snapToGrid w:val="0"/>
              <w:spacing w:line="360" w:lineRule="auto"/>
              <w:ind w:left="0" w:leftChars="0" w:firstLine="482" w:firstLineChars="200"/>
              <w:rPr>
                <w:strike w:val="0"/>
                <w:dstrike w:val="0"/>
                <w:color w:val="auto"/>
                <w:highlight w:val="none"/>
              </w:rPr>
            </w:pPr>
            <w:r>
              <w:rPr>
                <w:rFonts w:ascii="Times New Roman" w:hAnsi="Times New Roman"/>
                <w:b/>
                <w:strike w:val="0"/>
                <w:dstrike w:val="0"/>
                <w:color w:val="auto"/>
                <w:sz w:val="24"/>
                <w:szCs w:val="24"/>
                <w:highlight w:val="none"/>
              </w:rPr>
              <w:t>汽油加油工艺流程</w:t>
            </w:r>
            <w:r>
              <w:rPr>
                <w:rFonts w:ascii="Times New Roman" w:hAnsi="Times New Roman"/>
                <w:b/>
                <w:bCs/>
                <w:strike w:val="0"/>
                <w:dstrike w:val="0"/>
                <w:color w:val="auto"/>
                <w:sz w:val="24"/>
                <w:szCs w:val="24"/>
                <w:highlight w:val="none"/>
              </w:rPr>
              <w:t>及</w:t>
            </w:r>
            <w:r>
              <w:rPr>
                <w:rFonts w:ascii="Times New Roman" w:hAnsi="Times New Roman"/>
                <w:b/>
                <w:strike w:val="0"/>
                <w:dstrike w:val="0"/>
                <w:color w:val="auto"/>
                <w:sz w:val="24"/>
                <w:szCs w:val="24"/>
                <w:highlight w:val="none"/>
              </w:rPr>
              <w:t>产污环节</w:t>
            </w:r>
          </w:p>
          <w:p w14:paraId="720E9E64">
            <w:pPr>
              <w:pStyle w:val="11"/>
              <w:adjustRightInd w:val="0"/>
              <w:snapToGrid w:val="0"/>
              <w:jc w:val="center"/>
              <w:rPr>
                <w:rFonts w:ascii="Times New Roman" w:hAnsi="Times New Roman"/>
                <w:b/>
                <w:bCs/>
                <w:strike w:val="0"/>
                <w:dstrike w:val="0"/>
                <w:color w:val="auto"/>
                <w:sz w:val="21"/>
                <w:szCs w:val="21"/>
                <w:highlight w:val="none"/>
              </w:rPr>
            </w:pPr>
            <w:r>
              <w:rPr>
                <w:rFonts w:ascii="Times New Roman" w:hAnsi="Times New Roman"/>
                <w:bCs/>
                <w:strike w:val="0"/>
                <w:dstrike w:val="0"/>
                <w:color w:val="auto"/>
                <w:sz w:val="24"/>
                <w:szCs w:val="24"/>
                <w:highlight w:val="none"/>
              </w:rPr>
              <w:object>
                <v:shape id="_x0000_i1027" o:spt="75" type="#_x0000_t75" style="height:160.7pt;width:380.7pt;" o:ole="t" filled="f" o:preferrelative="t" stroked="f" coordsize="21600,21600">
                  <v:path/>
                  <v:fill on="f" focussize="0,0"/>
                  <v:stroke on="f" joinstyle="miter"/>
                  <v:imagedata r:id="rId18" o:title=""/>
                  <o:lock v:ext="edit" aspectratio="f"/>
                  <w10:wrap type="none"/>
                  <w10:anchorlock/>
                </v:shape>
                <o:OLEObject Type="Embed" ProgID="Visio.Drawing.15" ShapeID="_x0000_i1027" DrawAspect="Content" ObjectID="_1468075727" r:id="rId17">
                  <o:LockedField>false</o:LockedField>
                </o:OLEObject>
              </w:object>
            </w:r>
            <w:r>
              <w:rPr>
                <w:rFonts w:ascii="Times New Roman" w:hAnsi="Times New Roman"/>
                <w:b/>
                <w:strike w:val="0"/>
                <w:dstrike w:val="0"/>
                <w:color w:val="auto"/>
                <w:sz w:val="24"/>
                <w:szCs w:val="24"/>
                <w:highlight w:val="none"/>
              </w:rPr>
              <w:t>图2.2-3  汽油加油工艺流程及产污环节图</w:t>
            </w:r>
          </w:p>
          <w:p w14:paraId="3935FEE8">
            <w:pPr>
              <w:pStyle w:val="11"/>
              <w:adjustRightInd w:val="0"/>
              <w:snapToGrid w:val="0"/>
              <w:spacing w:line="360" w:lineRule="auto"/>
              <w:ind w:firstLine="482" w:firstLineChars="200"/>
              <w:rPr>
                <w:rFonts w:ascii="Times New Roman" w:hAnsi="Times New Roman"/>
                <w:strike w:val="0"/>
                <w:dstrike w:val="0"/>
                <w:color w:val="auto"/>
                <w:sz w:val="24"/>
                <w:szCs w:val="24"/>
                <w:highlight w:val="none"/>
              </w:rPr>
            </w:pPr>
            <w:r>
              <w:rPr>
                <w:rFonts w:ascii="Times New Roman" w:hAnsi="Times New Roman"/>
                <w:b/>
                <w:bCs/>
                <w:strike w:val="0"/>
                <w:dstrike w:val="0"/>
                <w:color w:val="auto"/>
                <w:sz w:val="24"/>
                <w:szCs w:val="24"/>
                <w:highlight w:val="none"/>
              </w:rPr>
              <w:t>工艺流程简述：</w:t>
            </w:r>
          </w:p>
          <w:p w14:paraId="4C1D25E1">
            <w:pPr>
              <w:spacing w:line="360" w:lineRule="auto"/>
              <w:ind w:firstLine="482" w:firstLineChars="200"/>
              <w:jc w:val="left"/>
              <w:rPr>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1 \* GB3 \* MERGEFORMAT </w:instrText>
            </w:r>
            <w:r>
              <w:rPr>
                <w:b/>
                <w:bCs/>
                <w:strike w:val="0"/>
                <w:dstrike w:val="0"/>
                <w:color w:val="auto"/>
                <w:sz w:val="24"/>
                <w:highlight w:val="none"/>
              </w:rPr>
              <w:fldChar w:fldCharType="separate"/>
            </w:r>
            <w:r>
              <w:rPr>
                <w:b/>
                <w:bCs/>
                <w:strike w:val="0"/>
                <w:dstrike w:val="0"/>
                <w:color w:val="auto"/>
                <w:sz w:val="24"/>
                <w:highlight w:val="none"/>
              </w:rPr>
              <w:t>①</w:t>
            </w:r>
            <w:r>
              <w:rPr>
                <w:b/>
                <w:bCs/>
                <w:strike w:val="0"/>
                <w:dstrike w:val="0"/>
                <w:color w:val="auto"/>
                <w:sz w:val="24"/>
                <w:highlight w:val="none"/>
              </w:rPr>
              <w:fldChar w:fldCharType="end"/>
            </w:r>
            <w:r>
              <w:rPr>
                <w:b/>
                <w:bCs/>
                <w:strike w:val="0"/>
                <w:dstrike w:val="0"/>
                <w:color w:val="auto"/>
                <w:sz w:val="24"/>
                <w:highlight w:val="none"/>
              </w:rPr>
              <w:t>卸油过程：</w:t>
            </w:r>
            <w:r>
              <w:rPr>
                <w:strike w:val="0"/>
                <w:dstrike w:val="0"/>
                <w:color w:val="auto"/>
                <w:sz w:val="24"/>
                <w:highlight w:val="none"/>
              </w:rPr>
              <w:t>汽油首先通过油罐车将汽油运至场地内，再通过密闭卸油点把汽油卸至埋地卧式油罐。站内采用分散式油气回收，总体分为二次油气回收。一次油气回收主要是加油站卸油时的油气回收，槽车为自流卸油，汽油进入油罐，槽车内压力减小，油罐内油气通过ND100 主管回收至槽车内，对油气进行回收。二次油气回收是加油机给汽车加油时的油气回收，加油机发油时，油箱内油气经油气分离阀、油气过滤器后，通过油气回收真空泵做动力，把加油时挥发的油气</w:t>
            </w:r>
            <w:r>
              <w:rPr>
                <w:rFonts w:hint="eastAsia"/>
                <w:strike w:val="0"/>
                <w:dstrike w:val="0"/>
                <w:color w:val="auto"/>
                <w:sz w:val="24"/>
                <w:highlight w:val="none"/>
                <w:lang w:val="en-US" w:eastAsia="zh-CN"/>
              </w:rPr>
              <w:t>分别</w:t>
            </w:r>
            <w:r>
              <w:rPr>
                <w:strike w:val="0"/>
                <w:dstrike w:val="0"/>
                <w:color w:val="auto"/>
                <w:sz w:val="24"/>
                <w:highlight w:val="none"/>
              </w:rPr>
              <w:t>收集到</w:t>
            </w:r>
            <w:r>
              <w:rPr>
                <w:rFonts w:hint="eastAsia"/>
                <w:strike w:val="0"/>
                <w:dstrike w:val="0"/>
                <w:color w:val="auto"/>
                <w:sz w:val="24"/>
                <w:highlight w:val="none"/>
                <w:lang w:val="en-US" w:eastAsia="zh-CN"/>
              </w:rPr>
              <w:t>对应的</w:t>
            </w:r>
            <w:r>
              <w:rPr>
                <w:strike w:val="0"/>
                <w:dstrike w:val="0"/>
                <w:color w:val="auto"/>
                <w:sz w:val="24"/>
                <w:highlight w:val="none"/>
              </w:rPr>
              <w:t>储油罐内。卸油油气回收系统原理示意图见图</w:t>
            </w:r>
            <w:r>
              <w:rPr>
                <w:rFonts w:eastAsia="TimesNewRomanPSMT"/>
                <w:strike w:val="0"/>
                <w:dstrike w:val="0"/>
                <w:color w:val="auto"/>
                <w:sz w:val="24"/>
                <w:highlight w:val="none"/>
              </w:rPr>
              <w:t>2.2-4</w:t>
            </w:r>
            <w:r>
              <w:rPr>
                <w:strike w:val="0"/>
                <w:dstrike w:val="0"/>
                <w:color w:val="auto"/>
                <w:sz w:val="24"/>
                <w:highlight w:val="none"/>
              </w:rPr>
              <w:t>。</w:t>
            </w:r>
          </w:p>
          <w:p w14:paraId="3178630E">
            <w:pPr>
              <w:spacing w:line="360" w:lineRule="auto"/>
              <w:ind w:firstLine="480" w:firstLineChars="200"/>
              <w:jc w:val="left"/>
              <w:rPr>
                <w:rFonts w:ascii="Times New Roman"/>
                <w:strike w:val="0"/>
                <w:dstrike w:val="0"/>
                <w:color w:val="auto"/>
                <w:highlight w:val="none"/>
              </w:rPr>
            </w:pPr>
            <w:r>
              <w:rPr>
                <w:strike w:val="0"/>
                <w:dstrike w:val="0"/>
                <w:color w:val="auto"/>
                <w:sz w:val="24"/>
                <w:highlight w:val="none"/>
              </w:rPr>
              <w:t>加油站和油罐车均安装卸油回气快速接头，油罐车同时配备带快速接头的软管。卸油过程罐车与埋地油罐内油气气压基本平衡，气液等体积置换，卸油过程管道密闭，卸油油气回收效率可达</w:t>
            </w:r>
            <w:r>
              <w:rPr>
                <w:rFonts w:eastAsia="TimesNewRomanPSMT"/>
                <w:strike w:val="0"/>
                <w:dstrike w:val="0"/>
                <w:color w:val="auto"/>
                <w:sz w:val="24"/>
                <w:highlight w:val="none"/>
              </w:rPr>
              <w:t>95%</w:t>
            </w:r>
            <w:r>
              <w:rPr>
                <w:strike w:val="0"/>
                <w:dstrike w:val="0"/>
                <w:color w:val="auto"/>
                <w:sz w:val="24"/>
                <w:highlight w:val="none"/>
              </w:rPr>
              <w:t>。卸油过程产生卸油废气</w:t>
            </w:r>
            <w:r>
              <w:rPr>
                <w:rFonts w:eastAsia="TimesNewRomanPSMT"/>
                <w:strike w:val="0"/>
                <w:dstrike w:val="0"/>
                <w:color w:val="auto"/>
                <w:sz w:val="24"/>
                <w:highlight w:val="none"/>
              </w:rPr>
              <w:t>G</w:t>
            </w:r>
            <w:r>
              <w:rPr>
                <w:strike w:val="0"/>
                <w:dstrike w:val="0"/>
                <w:color w:val="auto"/>
                <w:sz w:val="24"/>
                <w:highlight w:val="none"/>
              </w:rPr>
              <w:t>1</w:t>
            </w:r>
            <w:r>
              <w:rPr>
                <w:rFonts w:eastAsia="TimesNewRomanPSMT"/>
                <w:strike w:val="0"/>
                <w:dstrike w:val="0"/>
                <w:color w:val="auto"/>
                <w:sz w:val="24"/>
                <w:highlight w:val="none"/>
              </w:rPr>
              <w:t>-</w:t>
            </w:r>
            <w:r>
              <w:rPr>
                <w:strike w:val="0"/>
                <w:dstrike w:val="0"/>
                <w:color w:val="auto"/>
                <w:sz w:val="24"/>
                <w:highlight w:val="none"/>
              </w:rPr>
              <w:t>2</w:t>
            </w:r>
            <w:r>
              <w:rPr>
                <w:rFonts w:eastAsia="TimesNewRomanPSMT"/>
                <w:strike w:val="0"/>
                <w:dstrike w:val="0"/>
                <w:color w:val="auto"/>
                <w:sz w:val="24"/>
                <w:highlight w:val="none"/>
              </w:rPr>
              <w:t xml:space="preserve"> </w:t>
            </w:r>
            <w:r>
              <w:rPr>
                <w:strike w:val="0"/>
                <w:dstrike w:val="0"/>
                <w:color w:val="auto"/>
                <w:sz w:val="24"/>
                <w:highlight w:val="none"/>
              </w:rPr>
              <w:t>和噪声。</w:t>
            </w:r>
          </w:p>
          <w:p w14:paraId="0E2C8E31">
            <w:pPr>
              <w:widowControl/>
              <w:jc w:val="center"/>
              <w:rPr>
                <w:b/>
                <w:bCs/>
                <w:strike w:val="0"/>
                <w:dstrike w:val="0"/>
                <w:color w:val="auto"/>
                <w:sz w:val="24"/>
                <w:highlight w:val="none"/>
              </w:rPr>
            </w:pPr>
            <w:r>
              <w:rPr>
                <w:b/>
                <w:bCs/>
                <w:strike w:val="0"/>
                <w:dstrike w:val="0"/>
                <w:color w:val="auto"/>
                <w:sz w:val="24"/>
                <w:highlight w:val="none"/>
              </w:rPr>
              <w:drawing>
                <wp:inline distT="0" distB="0" distL="114300" distR="114300">
                  <wp:extent cx="3503295" cy="1466215"/>
                  <wp:effectExtent l="0" t="0" r="1905" b="635"/>
                  <wp:docPr id="2" name="图片 19" descr="渝北区加油加气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渝北区加油加气站"/>
                          <pic:cNvPicPr>
                            <a:picLocks noChangeAspect="1"/>
                          </pic:cNvPicPr>
                        </pic:nvPicPr>
                        <pic:blipFill>
                          <a:blip r:embed="rId19"/>
                          <a:stretch>
                            <a:fillRect/>
                          </a:stretch>
                        </pic:blipFill>
                        <pic:spPr>
                          <a:xfrm>
                            <a:off x="0" y="0"/>
                            <a:ext cx="3503295" cy="1466215"/>
                          </a:xfrm>
                          <a:prstGeom prst="rect">
                            <a:avLst/>
                          </a:prstGeom>
                          <a:noFill/>
                          <a:ln>
                            <a:noFill/>
                          </a:ln>
                        </pic:spPr>
                      </pic:pic>
                    </a:graphicData>
                  </a:graphic>
                </wp:inline>
              </w:drawing>
            </w:r>
          </w:p>
          <w:p w14:paraId="4A947B7B">
            <w:pPr>
              <w:widowControl/>
              <w:spacing w:line="360" w:lineRule="auto"/>
              <w:jc w:val="center"/>
              <w:rPr>
                <w:b/>
                <w:strike w:val="0"/>
                <w:dstrike w:val="0"/>
                <w:color w:val="auto"/>
                <w:kern w:val="0"/>
                <w:sz w:val="24"/>
                <w:highlight w:val="none"/>
              </w:rPr>
            </w:pPr>
            <w:r>
              <w:rPr>
                <w:b/>
                <w:strike w:val="0"/>
                <w:dstrike w:val="0"/>
                <w:color w:val="auto"/>
                <w:kern w:val="0"/>
                <w:sz w:val="24"/>
                <w:highlight w:val="none"/>
              </w:rPr>
              <w:t>图2.2-4  卸油油气回收系统原理示意图</w:t>
            </w:r>
          </w:p>
          <w:p w14:paraId="57A88327">
            <w:pPr>
              <w:spacing w:line="360" w:lineRule="auto"/>
              <w:ind w:firstLine="482" w:firstLineChars="200"/>
              <w:rPr>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2 \* GB3 \* MERGEFORMAT </w:instrText>
            </w:r>
            <w:r>
              <w:rPr>
                <w:b/>
                <w:bCs/>
                <w:strike w:val="0"/>
                <w:dstrike w:val="0"/>
                <w:color w:val="auto"/>
                <w:sz w:val="24"/>
                <w:highlight w:val="none"/>
              </w:rPr>
              <w:fldChar w:fldCharType="separate"/>
            </w:r>
            <w:r>
              <w:rPr>
                <w:b/>
                <w:bCs/>
                <w:strike w:val="0"/>
                <w:dstrike w:val="0"/>
                <w:color w:val="auto"/>
                <w:sz w:val="24"/>
                <w:highlight w:val="none"/>
              </w:rPr>
              <w:t>②</w:t>
            </w:r>
            <w:r>
              <w:rPr>
                <w:b/>
                <w:bCs/>
                <w:strike w:val="0"/>
                <w:dstrike w:val="0"/>
                <w:color w:val="auto"/>
                <w:sz w:val="24"/>
                <w:highlight w:val="none"/>
              </w:rPr>
              <w:fldChar w:fldCharType="end"/>
            </w:r>
            <w:r>
              <w:rPr>
                <w:b/>
                <w:bCs/>
                <w:strike w:val="0"/>
                <w:dstrike w:val="0"/>
                <w:color w:val="auto"/>
                <w:sz w:val="24"/>
                <w:highlight w:val="none"/>
              </w:rPr>
              <w:t>储油过程：</w:t>
            </w:r>
            <w:r>
              <w:rPr>
                <w:strike w:val="0"/>
                <w:dstrike w:val="0"/>
                <w:color w:val="auto"/>
                <w:sz w:val="24"/>
                <w:highlight w:val="none"/>
              </w:rPr>
              <w:t>储油罐采用地埋式储存，油罐车送来接卸后的油品在相应的油罐内储存。油罐在静止储存的情况下，随着外界气温、压力周期变化，罐内气体空间温度、油品蒸发速度、油气</w:t>
            </w:r>
            <w:r>
              <w:rPr>
                <w:rFonts w:hint="eastAsia"/>
                <w:strike w:val="0"/>
                <w:dstrike w:val="0"/>
                <w:color w:val="auto"/>
                <w:sz w:val="24"/>
                <w:highlight w:val="none"/>
                <w:lang w:val="en-US" w:eastAsia="zh-CN"/>
              </w:rPr>
              <w:t>浓</w:t>
            </w:r>
            <w:r>
              <w:rPr>
                <w:strike w:val="0"/>
                <w:dstrike w:val="0"/>
                <w:color w:val="auto"/>
                <w:sz w:val="24"/>
                <w:highlight w:val="none"/>
              </w:rPr>
              <w:t>度和蒸汽压力也随之变化，少量油气通过立管排放。储油罐一般</w:t>
            </w:r>
            <w:r>
              <w:rPr>
                <w:rFonts w:eastAsia="TimesNewRomanPSMT"/>
                <w:strike w:val="0"/>
                <w:dstrike w:val="0"/>
                <w:color w:val="auto"/>
                <w:sz w:val="24"/>
                <w:highlight w:val="none"/>
              </w:rPr>
              <w:t xml:space="preserve">5 </w:t>
            </w:r>
            <w:r>
              <w:rPr>
                <w:strike w:val="0"/>
                <w:dstrike w:val="0"/>
                <w:color w:val="auto"/>
                <w:sz w:val="24"/>
                <w:highlight w:val="none"/>
              </w:rPr>
              <w:t>年清理一次，清</w:t>
            </w:r>
            <w:r>
              <w:rPr>
                <w:rFonts w:hint="eastAsia"/>
                <w:strike w:val="0"/>
                <w:dstrike w:val="0"/>
                <w:color w:val="auto"/>
                <w:sz w:val="24"/>
                <w:highlight w:val="none"/>
                <w:lang w:val="en-US" w:eastAsia="zh-CN"/>
              </w:rPr>
              <w:t>罐时将产生废油、</w:t>
            </w:r>
            <w:r>
              <w:rPr>
                <w:strike w:val="0"/>
                <w:dstrike w:val="0"/>
                <w:color w:val="auto"/>
                <w:sz w:val="24"/>
                <w:highlight w:val="none"/>
              </w:rPr>
              <w:t>含油废渣、伴生污染物、清洗</w:t>
            </w:r>
            <w:r>
              <w:rPr>
                <w:rFonts w:hint="eastAsia"/>
                <w:strike w:val="0"/>
                <w:dstrike w:val="0"/>
                <w:color w:val="auto"/>
                <w:sz w:val="24"/>
                <w:highlight w:val="none"/>
                <w:lang w:val="en-US" w:eastAsia="zh-CN"/>
              </w:rPr>
              <w:t>废</w:t>
            </w:r>
            <w:r>
              <w:rPr>
                <w:strike w:val="0"/>
                <w:dstrike w:val="0"/>
                <w:color w:val="auto"/>
                <w:sz w:val="24"/>
                <w:highlight w:val="none"/>
              </w:rPr>
              <w:t>液，统称清罐废物，统称为清罐废物。储油过程产生储油废气G2</w:t>
            </w:r>
            <w:r>
              <w:rPr>
                <w:rFonts w:eastAsia="TimesNewRomanPSMT"/>
                <w:strike w:val="0"/>
                <w:dstrike w:val="0"/>
                <w:color w:val="auto"/>
                <w:sz w:val="24"/>
                <w:highlight w:val="none"/>
              </w:rPr>
              <w:t xml:space="preserve"> </w:t>
            </w:r>
            <w:r>
              <w:rPr>
                <w:strike w:val="0"/>
                <w:dstrike w:val="0"/>
                <w:color w:val="auto"/>
                <w:sz w:val="24"/>
                <w:highlight w:val="none"/>
              </w:rPr>
              <w:t>和清罐废物</w:t>
            </w:r>
            <w:r>
              <w:rPr>
                <w:rFonts w:eastAsia="TimesNewRomanPSMT"/>
                <w:strike w:val="0"/>
                <w:dstrike w:val="0"/>
                <w:color w:val="auto"/>
                <w:sz w:val="24"/>
                <w:highlight w:val="none"/>
              </w:rPr>
              <w:t>S1</w:t>
            </w:r>
            <w:r>
              <w:rPr>
                <w:strike w:val="0"/>
                <w:dstrike w:val="0"/>
                <w:color w:val="auto"/>
                <w:sz w:val="24"/>
                <w:highlight w:val="none"/>
              </w:rPr>
              <w:t>。</w:t>
            </w:r>
          </w:p>
          <w:p w14:paraId="7312A152">
            <w:pPr>
              <w:spacing w:line="360" w:lineRule="auto"/>
              <w:ind w:firstLine="482" w:firstLineChars="200"/>
              <w:rPr>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3 \* GB3 \* MERGEFORMAT </w:instrText>
            </w:r>
            <w:r>
              <w:rPr>
                <w:b/>
                <w:bCs/>
                <w:strike w:val="0"/>
                <w:dstrike w:val="0"/>
                <w:color w:val="auto"/>
                <w:sz w:val="24"/>
                <w:highlight w:val="none"/>
              </w:rPr>
              <w:fldChar w:fldCharType="separate"/>
            </w:r>
            <w:r>
              <w:rPr>
                <w:b/>
                <w:bCs/>
                <w:strike w:val="0"/>
                <w:dstrike w:val="0"/>
                <w:color w:val="auto"/>
                <w:sz w:val="24"/>
                <w:highlight w:val="none"/>
              </w:rPr>
              <w:t>③</w:t>
            </w:r>
            <w:r>
              <w:rPr>
                <w:b/>
                <w:bCs/>
                <w:strike w:val="0"/>
                <w:dstrike w:val="0"/>
                <w:color w:val="auto"/>
                <w:sz w:val="24"/>
                <w:highlight w:val="none"/>
              </w:rPr>
              <w:fldChar w:fldCharType="end"/>
            </w:r>
            <w:r>
              <w:rPr>
                <w:b/>
                <w:bCs/>
                <w:strike w:val="0"/>
                <w:dstrike w:val="0"/>
                <w:color w:val="auto"/>
                <w:sz w:val="24"/>
                <w:highlight w:val="none"/>
              </w:rPr>
              <w:t>加油过程：</w:t>
            </w:r>
            <w:r>
              <w:rPr>
                <w:strike w:val="0"/>
                <w:dstrike w:val="0"/>
                <w:color w:val="auto"/>
                <w:sz w:val="24"/>
                <w:highlight w:val="none"/>
              </w:rPr>
              <w:t>加油包括加油和油气回收两个过程。</w:t>
            </w:r>
          </w:p>
          <w:p w14:paraId="0AB4FEEE">
            <w:pPr>
              <w:spacing w:line="360" w:lineRule="auto"/>
              <w:ind w:firstLine="480" w:firstLineChars="200"/>
              <w:rPr>
                <w:strike w:val="0"/>
                <w:dstrike w:val="0"/>
                <w:color w:val="auto"/>
                <w:sz w:val="24"/>
                <w:highlight w:val="none"/>
              </w:rPr>
            </w:pPr>
            <w:r>
              <w:rPr>
                <w:strike w:val="0"/>
                <w:dstrike w:val="0"/>
                <w:color w:val="auto"/>
                <w:sz w:val="24"/>
                <w:highlight w:val="none"/>
              </w:rPr>
              <w:t>加油：待加油车辆进入指定场地后，通过潜油泵将油从埋地卧式油罐抽出，通过加油机给车辆油箱加油。加油车辆油箱随着汽油的注入，车辆油箱内产生的油气逸散至大气中。加油过程产生加油机的运行噪声。加油机设备一般</w:t>
            </w:r>
            <w:r>
              <w:rPr>
                <w:rFonts w:eastAsia="TimesNewRomanPSMT"/>
                <w:strike w:val="0"/>
                <w:dstrike w:val="0"/>
                <w:color w:val="auto"/>
                <w:sz w:val="24"/>
                <w:highlight w:val="none"/>
              </w:rPr>
              <w:t xml:space="preserve">3 </w:t>
            </w:r>
            <w:r>
              <w:rPr>
                <w:strike w:val="0"/>
                <w:dstrike w:val="0"/>
                <w:color w:val="auto"/>
                <w:sz w:val="24"/>
                <w:highlight w:val="none"/>
              </w:rPr>
              <w:t>个月检修一次，检修时产生废油、含油废渣、伴生污染物、清洗废液，统称检修废物。加油过程产生加油废气</w:t>
            </w:r>
            <w:r>
              <w:rPr>
                <w:rFonts w:eastAsia="TimesNewRomanPSMT"/>
                <w:strike w:val="0"/>
                <w:dstrike w:val="0"/>
                <w:color w:val="auto"/>
                <w:sz w:val="24"/>
                <w:highlight w:val="none"/>
              </w:rPr>
              <w:t>G3-</w:t>
            </w:r>
            <w:r>
              <w:rPr>
                <w:strike w:val="0"/>
                <w:dstrike w:val="0"/>
                <w:color w:val="auto"/>
                <w:sz w:val="24"/>
                <w:highlight w:val="none"/>
              </w:rPr>
              <w:t>2、噪声和检修废物</w:t>
            </w:r>
            <w:r>
              <w:rPr>
                <w:rFonts w:eastAsia="TimesNewRomanPSMT"/>
                <w:strike w:val="0"/>
                <w:dstrike w:val="0"/>
                <w:color w:val="auto"/>
                <w:sz w:val="24"/>
                <w:highlight w:val="none"/>
              </w:rPr>
              <w:t>S2</w:t>
            </w:r>
            <w:r>
              <w:rPr>
                <w:strike w:val="0"/>
                <w:dstrike w:val="0"/>
                <w:color w:val="auto"/>
                <w:sz w:val="24"/>
                <w:highlight w:val="none"/>
              </w:rPr>
              <w:t>。</w:t>
            </w:r>
          </w:p>
          <w:p w14:paraId="160CE188">
            <w:pPr>
              <w:spacing w:line="360" w:lineRule="auto"/>
              <w:ind w:firstLine="480" w:firstLineChars="200"/>
              <w:rPr>
                <w:strike w:val="0"/>
                <w:dstrike w:val="0"/>
                <w:color w:val="auto"/>
                <w:sz w:val="24"/>
                <w:highlight w:val="none"/>
              </w:rPr>
            </w:pPr>
            <w:r>
              <w:rPr>
                <w:strike w:val="0"/>
                <w:dstrike w:val="0"/>
                <w:color w:val="auto"/>
                <w:sz w:val="24"/>
                <w:highlight w:val="none"/>
              </w:rPr>
              <w:t>油气回收：在加油枪加油过程中，通过真空泵产生一定真空度，经过油气回收油枪和同轴皮管、油气回收管等油气回收设备</w:t>
            </w:r>
            <w:bookmarkStart w:id="68" w:name="OfficeAI_Add_3_54"/>
            <w:r>
              <w:rPr>
                <w:rFonts w:hint="eastAsia"/>
                <w:strike w:val="0"/>
                <w:dstrike w:val="0"/>
                <w:color w:val="auto"/>
                <w:sz w:val="24"/>
                <w:highlight w:val="none"/>
                <w:lang w:eastAsia="zh-CN"/>
              </w:rPr>
              <w:t>对</w:t>
            </w:r>
            <w:bookmarkEnd w:id="68"/>
            <w:r>
              <w:rPr>
                <w:strike w:val="0"/>
                <w:dstrike w:val="0"/>
                <w:color w:val="auto"/>
                <w:sz w:val="24"/>
                <w:highlight w:val="none"/>
              </w:rPr>
              <w:t>汽车油箱油气进行回收，即二次油气回收系统。加油油气回收系统对汽油进行回收，加油机回收的汽油全部回收至地下储油罐内。加油油气经</w:t>
            </w:r>
            <w:r>
              <w:rPr>
                <w:rFonts w:eastAsia="TimesNewRomanPSMT"/>
                <w:strike w:val="0"/>
                <w:dstrike w:val="0"/>
                <w:color w:val="auto"/>
                <w:sz w:val="24"/>
                <w:highlight w:val="none"/>
              </w:rPr>
              <w:t>1.2:1</w:t>
            </w:r>
            <w:r>
              <w:rPr>
                <w:strike w:val="0"/>
                <w:dstrike w:val="0"/>
                <w:color w:val="auto"/>
                <w:sz w:val="24"/>
                <w:highlight w:val="none"/>
              </w:rPr>
              <w:t>的汽液比进行回收，回收效率可达</w:t>
            </w:r>
            <w:r>
              <w:rPr>
                <w:rFonts w:eastAsia="TimesNewRomanPSMT"/>
                <w:strike w:val="0"/>
                <w:dstrike w:val="0"/>
                <w:color w:val="auto"/>
                <w:sz w:val="24"/>
                <w:highlight w:val="none"/>
              </w:rPr>
              <w:t>90%</w:t>
            </w:r>
            <w:r>
              <w:rPr>
                <w:strike w:val="0"/>
                <w:dstrike w:val="0"/>
                <w:color w:val="auto"/>
                <w:sz w:val="24"/>
                <w:highlight w:val="none"/>
              </w:rPr>
              <w:t>，回收后使油罐内平衡后多余油气经通气立管外排，加油油气回收系统原理示意图见图</w:t>
            </w:r>
            <w:r>
              <w:rPr>
                <w:rFonts w:eastAsia="TimesNewRomanPSMT"/>
                <w:strike w:val="0"/>
                <w:dstrike w:val="0"/>
                <w:color w:val="auto"/>
                <w:sz w:val="24"/>
                <w:highlight w:val="none"/>
              </w:rPr>
              <w:t>2.2-5</w:t>
            </w:r>
            <w:r>
              <w:rPr>
                <w:strike w:val="0"/>
                <w:dstrike w:val="0"/>
                <w:color w:val="auto"/>
                <w:sz w:val="24"/>
                <w:highlight w:val="none"/>
              </w:rPr>
              <w:t>。</w:t>
            </w:r>
          </w:p>
          <w:p w14:paraId="228834C7">
            <w:pPr>
              <w:widowControl/>
              <w:jc w:val="center"/>
              <w:rPr>
                <w:b/>
                <w:bCs/>
                <w:strike w:val="0"/>
                <w:dstrike w:val="0"/>
                <w:color w:val="auto"/>
                <w:sz w:val="24"/>
                <w:highlight w:val="none"/>
              </w:rPr>
            </w:pPr>
            <w:r>
              <w:rPr>
                <w:b/>
                <w:bCs/>
                <w:strike w:val="0"/>
                <w:dstrike w:val="0"/>
                <w:color w:val="auto"/>
                <w:sz w:val="24"/>
                <w:highlight w:val="none"/>
              </w:rPr>
              <w:drawing>
                <wp:inline distT="0" distB="0" distL="114300" distR="114300">
                  <wp:extent cx="3530600" cy="1600200"/>
                  <wp:effectExtent l="0" t="0" r="12700" b="0"/>
                  <wp:docPr id="3" name="图片 21" descr="加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加油"/>
                          <pic:cNvPicPr>
                            <a:picLocks noChangeAspect="1"/>
                          </pic:cNvPicPr>
                        </pic:nvPicPr>
                        <pic:blipFill>
                          <a:blip r:embed="rId20"/>
                          <a:stretch>
                            <a:fillRect/>
                          </a:stretch>
                        </pic:blipFill>
                        <pic:spPr>
                          <a:xfrm>
                            <a:off x="0" y="0"/>
                            <a:ext cx="3530600" cy="1600200"/>
                          </a:xfrm>
                          <a:prstGeom prst="rect">
                            <a:avLst/>
                          </a:prstGeom>
                          <a:noFill/>
                          <a:ln>
                            <a:noFill/>
                          </a:ln>
                        </pic:spPr>
                      </pic:pic>
                    </a:graphicData>
                  </a:graphic>
                </wp:inline>
              </w:drawing>
            </w:r>
          </w:p>
          <w:p w14:paraId="66B2B0A1">
            <w:pPr>
              <w:widowControl/>
              <w:spacing w:line="360" w:lineRule="auto"/>
              <w:jc w:val="center"/>
              <w:rPr>
                <w:b/>
                <w:strike w:val="0"/>
                <w:dstrike w:val="0"/>
                <w:color w:val="auto"/>
                <w:kern w:val="0"/>
                <w:sz w:val="24"/>
                <w:highlight w:val="none"/>
              </w:rPr>
            </w:pPr>
            <w:r>
              <w:rPr>
                <w:b/>
                <w:strike w:val="0"/>
                <w:dstrike w:val="0"/>
                <w:color w:val="auto"/>
                <w:kern w:val="0"/>
                <w:sz w:val="24"/>
                <w:highlight w:val="none"/>
              </w:rPr>
              <w:t>图2.2-5  加油油气回收系统原理示意图</w:t>
            </w:r>
          </w:p>
          <w:p w14:paraId="054DF880">
            <w:pPr>
              <w:widowControl/>
              <w:numPr>
                <w:ilvl w:val="0"/>
                <w:numId w:val="8"/>
              </w:numPr>
              <w:spacing w:line="360" w:lineRule="auto"/>
              <w:ind w:left="0" w:leftChars="0" w:firstLine="482" w:firstLineChars="200"/>
              <w:jc w:val="left"/>
              <w:rPr>
                <w:b/>
                <w:bCs/>
                <w:strike w:val="0"/>
                <w:dstrike w:val="0"/>
                <w:color w:val="auto"/>
                <w:sz w:val="24"/>
                <w:highlight w:val="none"/>
              </w:rPr>
            </w:pPr>
            <w:r>
              <w:rPr>
                <w:b/>
                <w:bCs/>
                <w:strike w:val="0"/>
                <w:dstrike w:val="0"/>
                <w:color w:val="auto"/>
                <w:sz w:val="24"/>
                <w:highlight w:val="none"/>
              </w:rPr>
              <w:t>清罐工艺流程及产污环节</w:t>
            </w:r>
          </w:p>
          <w:p w14:paraId="2C04F28A">
            <w:pPr>
              <w:widowControl/>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object>
                <v:shape id="_x0000_i1028" o:spt="75" type="#_x0000_t75" style="height:147.15pt;width:345pt;" o:ole="t" filled="f" o:preferrelative="t" stroked="f" coordsize="21600,21600">
                  <v:path/>
                  <v:fill on="f" focussize="0,0"/>
                  <v:stroke on="f" joinstyle="miter"/>
                  <v:imagedata r:id="rId22" o:title=""/>
                  <o:lock v:ext="edit" aspectratio="f"/>
                  <w10:wrap type="none"/>
                  <w10:anchorlock/>
                </v:shape>
                <o:OLEObject Type="Embed" ProgID="Visio.Drawing.15" ShapeID="_x0000_i1028" DrawAspect="Content" ObjectID="_1468075728" r:id="rId21">
                  <o:LockedField>false</o:LockedField>
                </o:OLEObject>
              </w:object>
            </w:r>
          </w:p>
          <w:p w14:paraId="29ABDB72">
            <w:pPr>
              <w:widowControl/>
              <w:spacing w:line="360" w:lineRule="auto"/>
              <w:jc w:val="center"/>
              <w:rPr>
                <w:b/>
                <w:bCs/>
                <w:strike w:val="0"/>
                <w:dstrike w:val="0"/>
                <w:color w:val="auto"/>
                <w:sz w:val="24"/>
                <w:highlight w:val="none"/>
              </w:rPr>
            </w:pPr>
            <w:r>
              <w:rPr>
                <w:b/>
                <w:strike w:val="0"/>
                <w:dstrike w:val="0"/>
                <w:color w:val="auto"/>
                <w:sz w:val="24"/>
                <w:highlight w:val="none"/>
              </w:rPr>
              <w:t>图2.2-6  清罐工艺流程及产污环节图</w:t>
            </w:r>
          </w:p>
          <w:p w14:paraId="53437EB2">
            <w:pPr>
              <w:widowControl/>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t>工艺流程简述：</w:t>
            </w:r>
          </w:p>
          <w:p w14:paraId="142E0BF0">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根据加油站实际清罐情况，油罐一般每</w:t>
            </w:r>
            <w:r>
              <w:rPr>
                <w:rFonts w:eastAsia="TimesNewRomanPSMT"/>
                <w:strike w:val="0"/>
                <w:dstrike w:val="0"/>
                <w:color w:val="auto"/>
                <w:sz w:val="24"/>
                <w:szCs w:val="32"/>
                <w:highlight w:val="none"/>
              </w:rPr>
              <w:t>5</w:t>
            </w:r>
            <w:r>
              <w:rPr>
                <w:strike w:val="0"/>
                <w:dstrike w:val="0"/>
                <w:color w:val="auto"/>
                <w:sz w:val="24"/>
                <w:szCs w:val="32"/>
                <w:highlight w:val="none"/>
              </w:rPr>
              <w:t>年清洗一次，油罐检修之前，先尽量将油体排空，排出的清罐废物主要为废油，由清罐公司收集交给有资质的专业单位处理；然后拆卸输油管线，脱离开油罐与其他罐、管的连接，并加盲板封堵，将阀门关闭，防止油气进入；打开人孔、通气孔和排污口，使罐内充分通风；使用化学清洗剂清洗油罐，最后将检修场地清理干净。化学清洗剂由专业的检修单位提供，评价要求尽量使用能满足工艺要求的不燃或难燃性化学清洗剂。</w:t>
            </w:r>
          </w:p>
          <w:p w14:paraId="3467C2E8">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清罐过程产生清罐废物</w:t>
            </w:r>
            <w:r>
              <w:rPr>
                <w:rFonts w:eastAsia="TimesNewRomanPSMT"/>
                <w:strike w:val="0"/>
                <w:dstrike w:val="0"/>
                <w:color w:val="auto"/>
                <w:sz w:val="24"/>
                <w:szCs w:val="32"/>
                <w:highlight w:val="none"/>
              </w:rPr>
              <w:t>S1</w:t>
            </w:r>
            <w:r>
              <w:rPr>
                <w:strike w:val="0"/>
                <w:dstrike w:val="0"/>
                <w:color w:val="auto"/>
                <w:sz w:val="24"/>
                <w:szCs w:val="32"/>
                <w:highlight w:val="none"/>
              </w:rPr>
              <w:t>，主要包括废油、含油废渣、伴生污染物、清洗废液等，由清罐公司收集后交由有危废处置资质的单位处理。</w:t>
            </w:r>
          </w:p>
          <w:p w14:paraId="2D1DE835">
            <w:pPr>
              <w:widowControl/>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t>（4）LNG加气工艺流程及产污环节</w:t>
            </w:r>
          </w:p>
          <w:p w14:paraId="70D49541">
            <w:pPr>
              <w:spacing w:line="360" w:lineRule="auto"/>
              <w:ind w:firstLine="480" w:firstLineChars="200"/>
              <w:rPr>
                <w:strike w:val="0"/>
                <w:dstrike w:val="0"/>
                <w:color w:val="auto"/>
                <w:highlight w:val="none"/>
              </w:rPr>
            </w:pPr>
            <w:r>
              <w:rPr>
                <w:strike w:val="0"/>
                <w:dstrike w:val="0"/>
                <w:color w:val="auto"/>
                <w:sz w:val="24"/>
                <w:szCs w:val="32"/>
                <w:highlight w:val="none"/>
              </w:rPr>
              <w:t>本项目LNG服务以区域工业、物流企业的大中型货车及重卡为主，兼顾区域未来发展的城市公交、环卫车辆、出租车、城际大巴等。</w:t>
            </w:r>
          </w:p>
          <w:p w14:paraId="0D9FBEBE">
            <w:pPr>
              <w:pStyle w:val="12"/>
              <w:numPr>
                <w:ilvl w:val="0"/>
                <w:numId w:val="0"/>
              </w:numPr>
              <w:spacing w:line="360" w:lineRule="auto"/>
              <w:jc w:val="center"/>
              <w:rPr>
                <w:b/>
                <w:strike w:val="0"/>
                <w:dstrike w:val="0"/>
                <w:color w:val="auto"/>
                <w:sz w:val="24"/>
                <w:highlight w:val="none"/>
              </w:rPr>
            </w:pPr>
            <w:r>
              <w:rPr>
                <w:b/>
                <w:strike w:val="0"/>
                <w:dstrike w:val="0"/>
                <w:color w:val="auto"/>
                <w:sz w:val="24"/>
                <w:highlight w:val="none"/>
              </w:rPr>
              <w:object>
                <v:shape id="_x0000_i1029" o:spt="75" type="#_x0000_t75" style="height:300.45pt;width:354.3pt;" o:ole="t" filled="f" o:preferrelative="t" stroked="f" coordsize="21600,21600">
                  <v:path/>
                  <v:fill on="f" focussize="0,0"/>
                  <v:stroke on="f"/>
                  <v:imagedata r:id="rId24" o:title=""/>
                  <o:lock v:ext="edit" aspectratio="f"/>
                  <w10:wrap type="none"/>
                  <w10:anchorlock/>
                </v:shape>
                <o:OLEObject Type="Embed" ProgID="Visio.Drawing.15" ShapeID="_x0000_i1029" DrawAspect="Content" ObjectID="_1468075729" r:id="rId23">
                  <o:LockedField>false</o:LockedField>
                </o:OLEObject>
              </w:object>
            </w:r>
          </w:p>
          <w:p w14:paraId="5E610E53">
            <w:pPr>
              <w:pStyle w:val="12"/>
              <w:numPr>
                <w:ilvl w:val="0"/>
                <w:numId w:val="0"/>
              </w:numPr>
              <w:spacing w:line="360" w:lineRule="auto"/>
              <w:jc w:val="center"/>
              <w:rPr>
                <w:rFonts w:hint="default" w:eastAsia="宋体"/>
                <w:strike w:val="0"/>
                <w:dstrike w:val="0"/>
                <w:color w:val="auto"/>
                <w:sz w:val="24"/>
                <w:highlight w:val="none"/>
                <w:lang w:val="en-US" w:eastAsia="zh-CN"/>
              </w:rPr>
            </w:pPr>
            <w:r>
              <w:rPr>
                <w:b/>
                <w:strike w:val="0"/>
                <w:dstrike w:val="0"/>
                <w:color w:val="auto"/>
                <w:sz w:val="24"/>
                <w:highlight w:val="none"/>
              </w:rPr>
              <w:t>图2.2-7  LNG加气工艺流程及产污环节图</w:t>
            </w:r>
          </w:p>
          <w:p w14:paraId="19D9C2B5">
            <w:pPr>
              <w:pStyle w:val="12"/>
              <w:numPr>
                <w:ilvl w:val="0"/>
                <w:numId w:val="0"/>
              </w:numPr>
              <w:spacing w:line="360" w:lineRule="auto"/>
              <w:ind w:firstLine="482" w:firstLineChars="200"/>
              <w:rPr>
                <w:strike w:val="0"/>
                <w:dstrike w:val="0"/>
                <w:color w:val="auto"/>
                <w:sz w:val="24"/>
                <w:highlight w:val="none"/>
              </w:rPr>
            </w:pPr>
            <w:r>
              <w:rPr>
                <w:b/>
                <w:bCs/>
                <w:strike w:val="0"/>
                <w:dstrike w:val="0"/>
                <w:color w:val="auto"/>
                <w:sz w:val="24"/>
                <w:highlight w:val="none"/>
              </w:rPr>
              <w:t>工艺流程简述：</w:t>
            </w:r>
          </w:p>
          <w:p w14:paraId="71AA660D">
            <w:pPr>
              <w:pStyle w:val="12"/>
              <w:numPr>
                <w:ilvl w:val="0"/>
                <w:numId w:val="0"/>
              </w:numPr>
              <w:spacing w:line="360" w:lineRule="auto"/>
              <w:ind w:firstLine="482" w:firstLineChars="200"/>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1 \* GB3 \* MERGEFORMAT </w:instrText>
            </w:r>
            <w:r>
              <w:rPr>
                <w:b/>
                <w:bCs/>
                <w:strike w:val="0"/>
                <w:dstrike w:val="0"/>
                <w:color w:val="auto"/>
                <w:sz w:val="24"/>
                <w:highlight w:val="none"/>
              </w:rPr>
              <w:fldChar w:fldCharType="separate"/>
            </w:r>
            <w:r>
              <w:rPr>
                <w:b/>
                <w:bCs/>
                <w:strike w:val="0"/>
                <w:dstrike w:val="0"/>
                <w:color w:val="auto"/>
                <w:sz w:val="24"/>
                <w:highlight w:val="none"/>
              </w:rPr>
              <w:t>①</w:t>
            </w:r>
            <w:r>
              <w:rPr>
                <w:b/>
                <w:bCs/>
                <w:strike w:val="0"/>
                <w:dstrike w:val="0"/>
                <w:color w:val="auto"/>
                <w:sz w:val="24"/>
                <w:highlight w:val="none"/>
              </w:rPr>
              <w:fldChar w:fldCharType="end"/>
            </w:r>
            <w:r>
              <w:rPr>
                <w:b/>
                <w:bCs/>
                <w:strike w:val="0"/>
                <w:dstrike w:val="0"/>
                <w:color w:val="auto"/>
                <w:sz w:val="24"/>
                <w:highlight w:val="none"/>
              </w:rPr>
              <w:t>卸车过程：</w:t>
            </w:r>
          </w:p>
          <w:p w14:paraId="00F92A20">
            <w:pPr>
              <w:pStyle w:val="12"/>
              <w:numPr>
                <w:ilvl w:val="0"/>
                <w:numId w:val="0"/>
              </w:num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卸车有3种方式：增压器卸车、泵卸车、增压器和泵联合卸车。本项目采用增压器和泵联合卸车方式。</w:t>
            </w:r>
          </w:p>
          <w:p w14:paraId="07780CAB">
            <w:pPr>
              <w:widowControl/>
              <w:spacing w:line="360" w:lineRule="auto"/>
              <w:ind w:firstLine="482" w:firstLineChars="200"/>
              <w:rPr>
                <w:strike w:val="0"/>
                <w:dstrike w:val="0"/>
                <w:color w:val="auto"/>
                <w:kern w:val="0"/>
                <w:sz w:val="24"/>
                <w:highlight w:val="none"/>
                <w:lang w:bidi="ar"/>
              </w:rPr>
            </w:pPr>
            <w:r>
              <w:rPr>
                <w:b/>
                <w:bCs/>
                <w:strike w:val="0"/>
                <w:dstrike w:val="0"/>
                <w:color w:val="auto"/>
                <w:kern w:val="0"/>
                <w:sz w:val="24"/>
                <w:highlight w:val="none"/>
                <w:lang w:bidi="ar"/>
              </w:rPr>
              <w:t>增压器和泵联合卸车：</w:t>
            </w:r>
            <w:r>
              <w:rPr>
                <w:strike w:val="0"/>
                <w:dstrike w:val="0"/>
                <w:color w:val="auto"/>
                <w:kern w:val="0"/>
                <w:sz w:val="24"/>
                <w:highlight w:val="none"/>
                <w:lang w:bidi="ar"/>
              </w:rPr>
              <w:t>为</w:t>
            </w:r>
            <w:bookmarkStart w:id="69" w:name="OfficeAI_Add_2_13"/>
            <w:r>
              <w:rPr>
                <w:rFonts w:hint="eastAsia"/>
                <w:strike w:val="0"/>
                <w:dstrike w:val="0"/>
                <w:color w:val="auto"/>
                <w:kern w:val="0"/>
                <w:sz w:val="24"/>
                <w:highlight w:val="none"/>
                <w:lang w:eastAsia="zh-CN" w:bidi="ar"/>
              </w:rPr>
              <w:t>提高</w:t>
            </w:r>
            <w:bookmarkEnd w:id="69"/>
            <w:r>
              <w:rPr>
                <w:strike w:val="0"/>
                <w:dstrike w:val="0"/>
                <w:color w:val="auto"/>
                <w:kern w:val="0"/>
                <w:sz w:val="24"/>
                <w:highlight w:val="none"/>
                <w:lang w:bidi="ar"/>
              </w:rPr>
              <w:t>卸车速度，可采取与低温潜液泵联合卸车。先将LNG槽车和LNG储罐的气相空间连通，然后断开，在卸车的过程中通过增压器增大槽车的气相压力，用泵将槽车内的LNG卸入储罐，卸完车后需要给槽车降压。</w:t>
            </w:r>
          </w:p>
          <w:p w14:paraId="7FC54ECB">
            <w:pPr>
              <w:keepNext w:val="0"/>
              <w:keepLines w:val="0"/>
              <w:pageBreakBefore w:val="0"/>
              <w:widowControl/>
              <w:tabs>
                <w:tab w:val="left" w:pos="3360"/>
              </w:tabs>
              <w:kinsoku/>
              <w:wordWrap/>
              <w:overflowPunct/>
              <w:topLinePunct w:val="0"/>
              <w:autoSpaceDE/>
              <w:autoSpaceDN/>
              <w:bidi w:val="0"/>
              <w:adjustRightInd/>
              <w:snapToGrid/>
              <w:spacing w:line="360" w:lineRule="auto"/>
              <w:ind w:firstLine="480" w:firstLineChars="200"/>
              <w:textAlignment w:val="auto"/>
              <w:rPr>
                <w:strike w:val="0"/>
                <w:dstrike w:val="0"/>
                <w:color w:val="auto"/>
                <w:kern w:val="0"/>
                <w:sz w:val="24"/>
                <w:highlight w:val="none"/>
                <w:lang w:bidi="ar"/>
              </w:rPr>
            </w:pPr>
            <w:r>
              <w:rPr>
                <w:strike w:val="0"/>
                <w:dstrike w:val="0"/>
                <w:color w:val="auto"/>
                <w:sz w:val="24"/>
                <w:highlight w:val="none"/>
              </w:rPr>
              <w:t>卸车过程中槽车会产生少量卸车废气G4，LNG槽车与LNG储罐设有</w:t>
            </w:r>
            <w:r>
              <w:rPr>
                <w:strike w:val="0"/>
                <w:dstrike w:val="0"/>
                <w:color w:val="auto"/>
                <w:spacing w:val="-10"/>
                <w:sz w:val="24"/>
                <w:highlight w:val="none"/>
              </w:rPr>
              <w:t>EAG</w:t>
            </w:r>
            <w:r>
              <w:rPr>
                <w:strike w:val="0"/>
                <w:dstrike w:val="0"/>
                <w:color w:val="auto"/>
                <w:sz w:val="24"/>
                <w:highlight w:val="none"/>
              </w:rPr>
              <w:t>连接管线，管道上有压力调节阀，并通过三通与总管连接，总管上设置截止阀和单向</w:t>
            </w:r>
            <w:r>
              <w:rPr>
                <w:rFonts w:hint="eastAsia"/>
                <w:strike w:val="0"/>
                <w:dstrike w:val="0"/>
                <w:color w:val="auto"/>
                <w:sz w:val="24"/>
                <w:highlight w:val="none"/>
                <w:lang w:eastAsia="zh-CN"/>
              </w:rPr>
              <w:t>逆止阀</w:t>
            </w:r>
            <w:r>
              <w:rPr>
                <w:strike w:val="0"/>
                <w:dstrike w:val="0"/>
                <w:color w:val="auto"/>
                <w:sz w:val="24"/>
                <w:highlight w:val="none"/>
              </w:rPr>
              <w:t>，在单向</w:t>
            </w:r>
            <w:r>
              <w:rPr>
                <w:rFonts w:hint="eastAsia"/>
                <w:strike w:val="0"/>
                <w:dstrike w:val="0"/>
                <w:color w:val="auto"/>
                <w:sz w:val="24"/>
                <w:highlight w:val="none"/>
                <w:lang w:eastAsia="zh-CN"/>
              </w:rPr>
              <w:t>逆止阀</w:t>
            </w:r>
            <w:r>
              <w:rPr>
                <w:strike w:val="0"/>
                <w:dstrike w:val="0"/>
                <w:color w:val="auto"/>
                <w:sz w:val="24"/>
                <w:highlight w:val="none"/>
              </w:rPr>
              <w:t>后设置</w:t>
            </w:r>
            <w:r>
              <w:rPr>
                <w:strike w:val="0"/>
                <w:dstrike w:val="0"/>
                <w:color w:val="auto"/>
                <w:spacing w:val="-10"/>
                <w:sz w:val="24"/>
                <w:highlight w:val="none"/>
              </w:rPr>
              <w:t>EAG</w:t>
            </w:r>
            <w:r>
              <w:rPr>
                <w:strike w:val="0"/>
                <w:dstrike w:val="0"/>
                <w:color w:val="auto"/>
                <w:sz w:val="24"/>
                <w:highlight w:val="none"/>
              </w:rPr>
              <w:t>加热</w:t>
            </w:r>
            <w:r>
              <w:rPr>
                <w:strike w:val="0"/>
                <w:dstrike w:val="0"/>
                <w:color w:val="auto"/>
                <w:sz w:val="24"/>
                <w:szCs w:val="24"/>
                <w:highlight w:val="none"/>
              </w:rPr>
              <w:t>器（</w:t>
            </w:r>
            <w:r>
              <w:rPr>
                <w:rFonts w:hint="eastAsia" w:hAnsi="宋体"/>
                <w:strike w:val="0"/>
                <w:dstrike w:val="0"/>
                <w:color w:val="auto"/>
                <w:sz w:val="24"/>
                <w:szCs w:val="24"/>
                <w:highlight w:val="none"/>
              </w:rPr>
              <w:t>150Nm</w:t>
            </w:r>
            <w:r>
              <w:rPr>
                <w:rFonts w:hint="eastAsia" w:hAnsi="宋体"/>
                <w:strike w:val="0"/>
                <w:dstrike w:val="0"/>
                <w:color w:val="auto"/>
                <w:sz w:val="24"/>
                <w:szCs w:val="24"/>
                <w:highlight w:val="none"/>
                <w:vertAlign w:val="superscript"/>
              </w:rPr>
              <w:t>3</w:t>
            </w:r>
            <w:r>
              <w:rPr>
                <w:rFonts w:hint="eastAsia" w:hAnsi="宋体"/>
                <w:strike w:val="0"/>
                <w:dstrike w:val="0"/>
                <w:color w:val="auto"/>
                <w:sz w:val="24"/>
                <w:szCs w:val="24"/>
                <w:highlight w:val="none"/>
              </w:rPr>
              <w:t>/h</w:t>
            </w:r>
            <w:r>
              <w:rPr>
                <w:strike w:val="0"/>
                <w:dstrike w:val="0"/>
                <w:color w:val="auto"/>
                <w:sz w:val="24"/>
                <w:szCs w:val="24"/>
                <w:highlight w:val="none"/>
              </w:rPr>
              <w:t>，</w:t>
            </w:r>
            <w:r>
              <w:rPr>
                <w:strike w:val="0"/>
                <w:dstrike w:val="0"/>
                <w:color w:val="auto"/>
                <w:sz w:val="24"/>
                <w:highlight w:val="none"/>
              </w:rPr>
              <w:t>空温式</w:t>
            </w:r>
            <w:r>
              <w:rPr>
                <w:rFonts w:hint="eastAsia"/>
                <w:strike w:val="0"/>
                <w:dstrike w:val="0"/>
                <w:color w:val="auto"/>
                <w:sz w:val="24"/>
                <w:highlight w:val="none"/>
                <w:lang w:val="en-US" w:eastAsia="zh-CN"/>
              </w:rPr>
              <w:t>气化器</w:t>
            </w:r>
            <w:r>
              <w:rPr>
                <w:strike w:val="0"/>
                <w:dstrike w:val="0"/>
                <w:color w:val="auto"/>
                <w:sz w:val="24"/>
                <w:highlight w:val="none"/>
              </w:rPr>
              <w:t>），排放的气体通过管道进入</w:t>
            </w:r>
            <w:r>
              <w:rPr>
                <w:strike w:val="0"/>
                <w:dstrike w:val="0"/>
                <w:color w:val="auto"/>
                <w:spacing w:val="-10"/>
                <w:sz w:val="24"/>
                <w:highlight w:val="none"/>
              </w:rPr>
              <w:t>EAG</w:t>
            </w:r>
            <w:r>
              <w:rPr>
                <w:strike w:val="0"/>
                <w:dstrike w:val="0"/>
                <w:color w:val="auto"/>
                <w:sz w:val="24"/>
                <w:highlight w:val="none"/>
              </w:rPr>
              <w:t>加热器加热。</w:t>
            </w:r>
            <w:r>
              <w:rPr>
                <w:strike w:val="0"/>
                <w:dstrike w:val="0"/>
                <w:color w:val="auto"/>
                <w:kern w:val="0"/>
                <w:sz w:val="24"/>
                <w:highlight w:val="none"/>
                <w:lang w:bidi="ar"/>
              </w:rPr>
              <w:t>卸车结束后，可通过气相管线将槽车中的气相天然气进行放散，也可让槽车拉回LNG生产厂家进行回收，会产生</w:t>
            </w:r>
            <w:r>
              <w:rPr>
                <w:rFonts w:hint="eastAsia"/>
                <w:strike w:val="0"/>
                <w:dstrike w:val="0"/>
                <w:color w:val="auto"/>
                <w:kern w:val="0"/>
                <w:sz w:val="24"/>
                <w:highlight w:val="none"/>
                <w:lang w:bidi="ar"/>
              </w:rPr>
              <w:t>安全放散废气G5</w:t>
            </w:r>
            <w:r>
              <w:rPr>
                <w:strike w:val="0"/>
                <w:dstrike w:val="0"/>
                <w:color w:val="auto"/>
                <w:kern w:val="0"/>
                <w:sz w:val="24"/>
                <w:highlight w:val="none"/>
                <w:lang w:bidi="ar"/>
              </w:rPr>
              <w:t>。</w:t>
            </w:r>
          </w:p>
          <w:p w14:paraId="53892602">
            <w:pPr>
              <w:pStyle w:val="9"/>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strike w:val="0"/>
                <w:dstrike w:val="0"/>
                <w:color w:val="auto"/>
                <w:kern w:val="0"/>
                <w:sz w:val="24"/>
                <w:highlight w:val="none"/>
                <w:lang w:eastAsia="zh-CN" w:bidi="ar"/>
              </w:rPr>
            </w:pPr>
            <w:r>
              <w:rPr>
                <w:strike w:val="0"/>
                <w:dstrike w:val="0"/>
                <w:color w:val="auto"/>
                <w:sz w:val="24"/>
                <w:highlight w:val="none"/>
              </w:rPr>
              <w:t>空温式</w:t>
            </w:r>
            <w:r>
              <w:rPr>
                <w:rFonts w:hint="eastAsia"/>
                <w:strike w:val="0"/>
                <w:dstrike w:val="0"/>
                <w:color w:val="auto"/>
                <w:sz w:val="24"/>
                <w:highlight w:val="none"/>
                <w:lang w:val="en-US" w:eastAsia="zh-CN"/>
              </w:rPr>
              <w:t>气化器</w:t>
            </w:r>
            <w:r>
              <w:rPr>
                <w:rFonts w:hint="eastAsia"/>
                <w:strike w:val="0"/>
                <w:dstrike w:val="0"/>
                <w:color w:val="auto"/>
                <w:highlight w:val="none"/>
              </w:rPr>
              <w:t>‌是一种利用空气自然对流加热换热管中的低温液体，使其完全蒸发成气体的高效、环保、节能的换热设备，它主要利用大气环境中的自然对流空气作为热源，通过换热管内的低温液体气化</w:t>
            </w:r>
            <w:bookmarkStart w:id="70" w:name="OfficeAI_Add_4_89"/>
            <w:r>
              <w:rPr>
                <w:rFonts w:hint="eastAsia"/>
                <w:strike w:val="0"/>
                <w:dstrike w:val="0"/>
                <w:color w:val="auto"/>
                <w:highlight w:val="none"/>
              </w:rPr>
              <w:t>成</w:t>
            </w:r>
            <w:bookmarkEnd w:id="70"/>
            <w:r>
              <w:rPr>
                <w:rFonts w:hint="eastAsia"/>
                <w:strike w:val="0"/>
                <w:dstrike w:val="0"/>
                <w:color w:val="auto"/>
                <w:highlight w:val="none"/>
                <w:lang w:eastAsia="zh-CN"/>
              </w:rPr>
              <w:t>一</w:t>
            </w:r>
            <w:r>
              <w:rPr>
                <w:rFonts w:hint="eastAsia"/>
                <w:strike w:val="0"/>
                <w:dstrike w:val="0"/>
                <w:color w:val="auto"/>
                <w:highlight w:val="none"/>
              </w:rPr>
              <w:t>定温度气体‌</w:t>
            </w:r>
            <w:r>
              <w:rPr>
                <w:rFonts w:hint="eastAsia"/>
                <w:strike w:val="0"/>
                <w:dstrike w:val="0"/>
                <w:color w:val="auto"/>
                <w:highlight w:val="none"/>
                <w:lang w:eastAsia="zh-CN"/>
              </w:rPr>
              <w:t>。</w:t>
            </w:r>
          </w:p>
          <w:p w14:paraId="14721A08">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2 \* GB3 \* MERGEFORMAT </w:instrText>
            </w:r>
            <w:r>
              <w:rPr>
                <w:b/>
                <w:bCs/>
                <w:strike w:val="0"/>
                <w:dstrike w:val="0"/>
                <w:color w:val="auto"/>
                <w:sz w:val="24"/>
                <w:highlight w:val="none"/>
              </w:rPr>
              <w:fldChar w:fldCharType="separate"/>
            </w:r>
            <w:r>
              <w:rPr>
                <w:b/>
                <w:bCs/>
                <w:strike w:val="0"/>
                <w:dstrike w:val="0"/>
                <w:color w:val="auto"/>
                <w:sz w:val="24"/>
                <w:highlight w:val="none"/>
              </w:rPr>
              <w:t>②</w:t>
            </w:r>
            <w:r>
              <w:rPr>
                <w:b/>
                <w:bCs/>
                <w:strike w:val="0"/>
                <w:dstrike w:val="0"/>
                <w:color w:val="auto"/>
                <w:sz w:val="24"/>
                <w:highlight w:val="none"/>
              </w:rPr>
              <w:fldChar w:fldCharType="end"/>
            </w:r>
            <w:r>
              <w:rPr>
                <w:b/>
                <w:bCs/>
                <w:strike w:val="0"/>
                <w:dstrike w:val="0"/>
                <w:color w:val="auto"/>
                <w:sz w:val="24"/>
                <w:highlight w:val="none"/>
              </w:rPr>
              <w:t>增压和气化流程</w:t>
            </w:r>
            <w:r>
              <w:rPr>
                <w:strike w:val="0"/>
                <w:dstrike w:val="0"/>
                <w:color w:val="auto"/>
                <w:sz w:val="24"/>
                <w:highlight w:val="none"/>
              </w:rPr>
              <w:t>：</w:t>
            </w:r>
          </w:p>
          <w:p w14:paraId="41AEA981">
            <w:pPr>
              <w:widowControl/>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当储罐压力过低时，可通过储罐增压器将汽化后的气体输送到储罐气相部分，升高LNG罐内压力。也可通过储罐增压器与低温潜液泵联合使用进行升压（要求低温泵低速运行）。</w:t>
            </w:r>
          </w:p>
          <w:p w14:paraId="45F9D041">
            <w:pPr>
              <w:widowControl/>
              <w:spacing w:line="360" w:lineRule="auto"/>
              <w:ind w:firstLine="480" w:firstLineChars="200"/>
              <w:rPr>
                <w:strike w:val="0"/>
                <w:dstrike w:val="0"/>
                <w:color w:val="auto"/>
                <w:kern w:val="0"/>
                <w:sz w:val="24"/>
                <w:highlight w:val="none"/>
                <w:lang w:bidi="ar"/>
              </w:rPr>
            </w:pPr>
            <w:r>
              <w:rPr>
                <w:strike w:val="0"/>
                <w:dstrike w:val="0"/>
                <w:color w:val="auto"/>
                <w:sz w:val="24"/>
                <w:highlight w:val="none"/>
              </w:rPr>
              <w:t>如果LNG储罐内的LNG气体此时的压力值低于气化</w:t>
            </w:r>
            <w:r>
              <w:rPr>
                <w:strike w:val="0"/>
                <w:dstrike w:val="0"/>
                <w:color w:val="auto"/>
                <w:sz w:val="24"/>
                <w:szCs w:val="24"/>
                <w:highlight w:val="none"/>
              </w:rPr>
              <w:t>器（</w:t>
            </w:r>
            <w:r>
              <w:rPr>
                <w:rFonts w:hint="eastAsia" w:hAnsi="宋体"/>
                <w:strike w:val="0"/>
                <w:dstrike w:val="0"/>
                <w:color w:val="auto"/>
                <w:sz w:val="24"/>
                <w:szCs w:val="24"/>
                <w:highlight w:val="none"/>
              </w:rPr>
              <w:t>150Nm</w:t>
            </w:r>
            <w:bookmarkStart w:id="71" w:name="OfficeAI_Del_1_31"/>
            <w:r>
              <w:rPr>
                <w:rFonts w:hint="eastAsia" w:hAnsi="宋体"/>
                <w:strike w:val="0"/>
                <w:dstrike w:val="0"/>
                <w:color w:val="auto"/>
                <w:sz w:val="24"/>
                <w:szCs w:val="24"/>
                <w:highlight w:val="none"/>
                <w:vertAlign w:val="superscript"/>
              </w:rPr>
              <w:t>3</w:t>
            </w:r>
            <w:bookmarkEnd w:id="71"/>
            <w:bookmarkStart w:id="72" w:name="OfficeAI_Add_1_32"/>
            <w:r>
              <w:rPr>
                <w:rFonts w:hint="eastAsia" w:hAnsi="宋体"/>
                <w:strike w:val="0"/>
                <w:dstrike w:val="0"/>
                <w:color w:val="auto"/>
                <w:sz w:val="24"/>
                <w:szCs w:val="24"/>
                <w:highlight w:val="none"/>
                <w:vertAlign w:val="superscript"/>
                <w:lang w:eastAsia="zh-CN"/>
              </w:rPr>
              <w:t>³</w:t>
            </w:r>
            <w:bookmarkEnd w:id="72"/>
            <w:r>
              <w:rPr>
                <w:rFonts w:hint="eastAsia" w:hAnsi="宋体"/>
                <w:strike w:val="0"/>
                <w:dstrike w:val="0"/>
                <w:color w:val="auto"/>
                <w:sz w:val="24"/>
                <w:szCs w:val="24"/>
                <w:highlight w:val="none"/>
              </w:rPr>
              <w:t>/h</w:t>
            </w:r>
            <w:r>
              <w:rPr>
                <w:rFonts w:hint="eastAsia" w:hAnsi="宋体"/>
                <w:strike w:val="0"/>
                <w:dstrike w:val="0"/>
                <w:color w:val="auto"/>
                <w:sz w:val="24"/>
                <w:szCs w:val="24"/>
                <w:highlight w:val="none"/>
                <w:lang w:eastAsia="zh-CN"/>
              </w:rPr>
              <w:t>，</w:t>
            </w:r>
            <w:r>
              <w:rPr>
                <w:strike w:val="0"/>
                <w:dstrike w:val="0"/>
                <w:color w:val="auto"/>
                <w:sz w:val="24"/>
                <w:szCs w:val="24"/>
                <w:highlight w:val="none"/>
              </w:rPr>
              <w:t>空温式）进气口压力，需要将LNG储罐内的压力通过LNG</w:t>
            </w:r>
            <w:r>
              <w:rPr>
                <w:strike w:val="0"/>
                <w:dstrike w:val="0"/>
                <w:color w:val="auto"/>
                <w:sz w:val="24"/>
                <w:highlight w:val="none"/>
              </w:rPr>
              <w:t>储罐</w:t>
            </w:r>
            <w:r>
              <w:rPr>
                <w:rFonts w:hint="eastAsia"/>
                <w:strike w:val="0"/>
                <w:dstrike w:val="0"/>
                <w:color w:val="auto"/>
                <w:sz w:val="24"/>
                <w:highlight w:val="none"/>
              </w:rPr>
              <w:t>增压器</w:t>
            </w:r>
            <w:r>
              <w:rPr>
                <w:strike w:val="0"/>
                <w:dstrike w:val="0"/>
                <w:color w:val="auto"/>
                <w:sz w:val="24"/>
                <w:highlight w:val="none"/>
              </w:rPr>
              <w:t>增加至0.6MPa，利用其压力差将LNG送至空温式气化器，气化时直接利用空气气化LNG，气化后天然气的压力为</w:t>
            </w:r>
            <w:bookmarkStart w:id="73" w:name="OfficeAI_Add_1_123"/>
            <w:r>
              <w:rPr>
                <w:rFonts w:hint="eastAsia"/>
                <w:strike w:val="0"/>
                <w:dstrike w:val="0"/>
                <w:color w:val="auto"/>
                <w:sz w:val="24"/>
                <w:highlight w:val="none"/>
                <w:lang w:eastAsia="zh-CN"/>
              </w:rPr>
              <w:t>≤</w:t>
            </w:r>
            <w:bookmarkEnd w:id="73"/>
            <w:r>
              <w:rPr>
                <w:strike w:val="0"/>
                <w:dstrike w:val="0"/>
                <w:color w:val="auto"/>
                <w:sz w:val="24"/>
                <w:highlight w:val="none"/>
              </w:rPr>
              <w:t>0.6MPa。然后气态天然气流入调压装置中经过调压后进入计量工序，储罐在运行过程中无呼吸排气问题，但存在蒸发，会产生蒸发气（</w:t>
            </w:r>
            <w:r>
              <w:rPr>
                <w:rFonts w:hint="eastAsia"/>
                <w:strike w:val="0"/>
                <w:dstrike w:val="0"/>
                <w:color w:val="auto"/>
                <w:sz w:val="24"/>
                <w:highlight w:val="none"/>
              </w:rPr>
              <w:t>BOG</w:t>
            </w:r>
            <w:r>
              <w:rPr>
                <w:strike w:val="0"/>
                <w:dstrike w:val="0"/>
                <w:color w:val="auto"/>
                <w:sz w:val="24"/>
                <w:highlight w:val="none"/>
              </w:rPr>
              <w:t>），储罐连接</w:t>
            </w:r>
            <w:r>
              <w:rPr>
                <w:strike w:val="0"/>
                <w:dstrike w:val="0"/>
                <w:color w:val="auto"/>
                <w:spacing w:val="-10"/>
                <w:sz w:val="24"/>
                <w:highlight w:val="none"/>
              </w:rPr>
              <w:t>EAG</w:t>
            </w:r>
            <w:r>
              <w:rPr>
                <w:strike w:val="0"/>
                <w:dstrike w:val="0"/>
                <w:color w:val="auto"/>
                <w:sz w:val="24"/>
                <w:highlight w:val="none"/>
              </w:rPr>
              <w:t>连接管线，管道上有压力调节阀，并通过三通与总管连接，总管上设置截止阀和单向逆止阀，在单向逆止阀后设置</w:t>
            </w:r>
            <w:r>
              <w:rPr>
                <w:strike w:val="0"/>
                <w:dstrike w:val="0"/>
                <w:color w:val="auto"/>
                <w:spacing w:val="-10"/>
                <w:sz w:val="24"/>
                <w:highlight w:val="none"/>
              </w:rPr>
              <w:t>EAG</w:t>
            </w:r>
            <w:r>
              <w:rPr>
                <w:strike w:val="0"/>
                <w:dstrike w:val="0"/>
                <w:color w:val="auto"/>
                <w:sz w:val="24"/>
                <w:highlight w:val="none"/>
              </w:rPr>
              <w:t>加</w:t>
            </w:r>
            <w:r>
              <w:rPr>
                <w:strike w:val="0"/>
                <w:dstrike w:val="0"/>
                <w:color w:val="auto"/>
                <w:sz w:val="24"/>
                <w:szCs w:val="24"/>
                <w:highlight w:val="none"/>
              </w:rPr>
              <w:t>热器（</w:t>
            </w:r>
            <w:r>
              <w:rPr>
                <w:rFonts w:hint="eastAsia" w:hAnsi="宋体"/>
                <w:strike w:val="0"/>
                <w:dstrike w:val="0"/>
                <w:color w:val="auto"/>
                <w:sz w:val="24"/>
                <w:szCs w:val="24"/>
                <w:highlight w:val="none"/>
              </w:rPr>
              <w:t>150Nm</w:t>
            </w:r>
            <w:bookmarkStart w:id="74" w:name="OfficeAI_Del_1_260"/>
            <w:r>
              <w:rPr>
                <w:rFonts w:hint="eastAsia" w:hAnsi="宋体"/>
                <w:strike w:val="0"/>
                <w:dstrike w:val="0"/>
                <w:color w:val="auto"/>
                <w:sz w:val="24"/>
                <w:szCs w:val="24"/>
                <w:highlight w:val="none"/>
                <w:vertAlign w:val="superscript"/>
              </w:rPr>
              <w:t>3</w:t>
            </w:r>
            <w:bookmarkEnd w:id="74"/>
            <w:r>
              <w:rPr>
                <w:rFonts w:hint="eastAsia" w:hAnsi="宋体"/>
                <w:strike w:val="0"/>
                <w:dstrike w:val="0"/>
                <w:color w:val="auto"/>
                <w:sz w:val="24"/>
                <w:szCs w:val="24"/>
                <w:highlight w:val="none"/>
              </w:rPr>
              <w:t>/h</w:t>
            </w:r>
            <w:r>
              <w:rPr>
                <w:strike w:val="0"/>
                <w:dstrike w:val="0"/>
                <w:color w:val="auto"/>
                <w:sz w:val="24"/>
                <w:szCs w:val="24"/>
                <w:highlight w:val="none"/>
              </w:rPr>
              <w:t>，空温</w:t>
            </w:r>
            <w:r>
              <w:rPr>
                <w:strike w:val="0"/>
                <w:dstrike w:val="0"/>
                <w:color w:val="auto"/>
                <w:sz w:val="24"/>
                <w:highlight w:val="none"/>
              </w:rPr>
              <w:t>式），排放的气体通过管道进入</w:t>
            </w:r>
            <w:r>
              <w:rPr>
                <w:strike w:val="0"/>
                <w:dstrike w:val="0"/>
                <w:color w:val="auto"/>
                <w:spacing w:val="-10"/>
                <w:sz w:val="24"/>
                <w:highlight w:val="none"/>
              </w:rPr>
              <w:t>EAG</w:t>
            </w:r>
            <w:r>
              <w:rPr>
                <w:strike w:val="0"/>
                <w:dstrike w:val="0"/>
                <w:color w:val="auto"/>
                <w:sz w:val="24"/>
                <w:highlight w:val="none"/>
              </w:rPr>
              <w:t>加热器加热后</w:t>
            </w:r>
            <w:r>
              <w:rPr>
                <w:strike w:val="0"/>
                <w:dstrike w:val="0"/>
                <w:color w:val="auto"/>
                <w:kern w:val="0"/>
                <w:sz w:val="24"/>
                <w:highlight w:val="none"/>
                <w:lang w:bidi="ar"/>
              </w:rPr>
              <w:t>进行放散。</w:t>
            </w:r>
          </w:p>
          <w:p w14:paraId="02ED3565">
            <w:pPr>
              <w:widowControl/>
              <w:spacing w:line="360" w:lineRule="auto"/>
              <w:ind w:firstLine="482" w:firstLineChars="200"/>
              <w:rPr>
                <w:strike w:val="0"/>
                <w:dstrike w:val="0"/>
                <w:color w:val="auto"/>
                <w:sz w:val="24"/>
                <w:highlight w:val="none"/>
              </w:rPr>
            </w:pPr>
            <w:r>
              <w:rPr>
                <w:b/>
                <w:bCs/>
                <w:strike w:val="0"/>
                <w:dstrike w:val="0"/>
                <w:color w:val="auto"/>
                <w:kern w:val="0"/>
                <w:sz w:val="24"/>
                <w:highlight w:val="none"/>
                <w:lang w:bidi="ar"/>
              </w:rPr>
              <w:t>③加注LNG流程：</w:t>
            </w:r>
            <w:r>
              <w:rPr>
                <w:strike w:val="0"/>
                <w:dstrike w:val="0"/>
                <w:color w:val="auto"/>
                <w:kern w:val="0"/>
                <w:sz w:val="24"/>
                <w:highlight w:val="none"/>
                <w:lang w:bidi="ar"/>
              </w:rPr>
              <w:t>加注LNG时，开启低温潜液泵，将LNG从储罐输送到LNG加气机，通过计量后给汽车加液。</w:t>
            </w:r>
          </w:p>
          <w:p w14:paraId="32D380BD">
            <w:pPr>
              <w:widowControl/>
              <w:spacing w:line="360" w:lineRule="auto"/>
              <w:ind w:firstLine="482" w:firstLineChars="200"/>
              <w:rPr>
                <w:strike w:val="0"/>
                <w:dstrike w:val="0"/>
                <w:color w:val="auto"/>
                <w:sz w:val="24"/>
                <w:highlight w:val="none"/>
              </w:rPr>
            </w:pPr>
            <w:r>
              <w:rPr>
                <w:b/>
                <w:bCs/>
                <w:strike w:val="0"/>
                <w:dstrike w:val="0"/>
                <w:color w:val="auto"/>
                <w:sz w:val="24"/>
                <w:highlight w:val="none"/>
              </w:rPr>
              <w:t>④EAG加热流程</w:t>
            </w:r>
            <w:r>
              <w:rPr>
                <w:strike w:val="0"/>
                <w:dstrike w:val="0"/>
                <w:color w:val="auto"/>
                <w:sz w:val="24"/>
                <w:highlight w:val="none"/>
              </w:rPr>
              <w:t>：在每次卸车后或站内储罐闪蒸时槽车、储罐安全阀开启，产生的气体通过EAG加热器</w:t>
            </w:r>
            <w:r>
              <w:rPr>
                <w:rFonts w:hint="eastAsia"/>
                <w:strike w:val="0"/>
                <w:dstrike w:val="0"/>
                <w:color w:val="auto"/>
                <w:sz w:val="24"/>
                <w:highlight w:val="none"/>
                <w:lang w:eastAsia="zh-CN"/>
              </w:rPr>
              <w:t>（</w:t>
            </w:r>
            <w:r>
              <w:rPr>
                <w:strike w:val="0"/>
                <w:dstrike w:val="0"/>
                <w:color w:val="auto"/>
                <w:sz w:val="24"/>
                <w:highlight w:val="none"/>
              </w:rPr>
              <w:t>空温式</w:t>
            </w:r>
            <w:r>
              <w:rPr>
                <w:rFonts w:hint="eastAsia"/>
                <w:strike w:val="0"/>
                <w:dstrike w:val="0"/>
                <w:color w:val="auto"/>
                <w:sz w:val="24"/>
                <w:highlight w:val="none"/>
                <w:lang w:val="en-US" w:eastAsia="zh-CN"/>
              </w:rPr>
              <w:t>气化器</w:t>
            </w:r>
            <w:r>
              <w:rPr>
                <w:rFonts w:hint="eastAsia"/>
                <w:strike w:val="0"/>
                <w:dstrike w:val="0"/>
                <w:color w:val="auto"/>
                <w:sz w:val="24"/>
                <w:highlight w:val="none"/>
                <w:lang w:eastAsia="zh-CN"/>
              </w:rPr>
              <w:t>）</w:t>
            </w:r>
            <w:r>
              <w:rPr>
                <w:strike w:val="0"/>
                <w:dstrike w:val="0"/>
                <w:color w:val="auto"/>
                <w:sz w:val="24"/>
                <w:highlight w:val="none"/>
              </w:rPr>
              <w:t>气化后</w:t>
            </w:r>
            <w:r>
              <w:rPr>
                <w:strike w:val="0"/>
                <w:dstrike w:val="0"/>
                <w:color w:val="auto"/>
                <w:kern w:val="0"/>
                <w:sz w:val="24"/>
                <w:highlight w:val="none"/>
                <w:lang w:bidi="ar"/>
              </w:rPr>
              <w:t>进行放散</w:t>
            </w:r>
            <w:r>
              <w:rPr>
                <w:rFonts w:hint="eastAsia"/>
                <w:strike w:val="0"/>
                <w:dstrike w:val="0"/>
                <w:color w:val="auto"/>
                <w:kern w:val="0"/>
                <w:sz w:val="24"/>
                <w:highlight w:val="none"/>
                <w:lang w:bidi="ar"/>
              </w:rPr>
              <w:t>。</w:t>
            </w:r>
            <w:r>
              <w:rPr>
                <w:rFonts w:hint="eastAsia" w:ascii="宋体" w:hAnsi="宋体" w:cs="宋体"/>
                <w:strike w:val="0"/>
                <w:dstrike w:val="0"/>
                <w:color w:val="auto"/>
                <w:kern w:val="0"/>
                <w:sz w:val="24"/>
                <w:highlight w:val="none"/>
                <w:lang w:bidi="ar"/>
              </w:rPr>
              <w:t>在给储罐调压过程中，储罐中的液体同时在不断</w:t>
            </w:r>
            <w:bookmarkStart w:id="75" w:name="OfficeAI_Add_3_85"/>
            <w:r>
              <w:rPr>
                <w:rFonts w:hint="eastAsia" w:ascii="宋体" w:hAnsi="宋体" w:cs="宋体"/>
                <w:strike w:val="0"/>
                <w:dstrike w:val="0"/>
                <w:color w:val="auto"/>
                <w:kern w:val="0"/>
                <w:sz w:val="24"/>
                <w:highlight w:val="none"/>
                <w:lang w:eastAsia="zh-CN" w:bidi="ar"/>
              </w:rPr>
              <w:t>地</w:t>
            </w:r>
            <w:bookmarkEnd w:id="75"/>
            <w:r>
              <w:rPr>
                <w:rFonts w:hint="eastAsia" w:ascii="宋体" w:hAnsi="宋体" w:cs="宋体"/>
                <w:strike w:val="0"/>
                <w:dstrike w:val="0"/>
                <w:color w:val="auto"/>
                <w:kern w:val="0"/>
                <w:sz w:val="24"/>
                <w:highlight w:val="none"/>
                <w:lang w:bidi="ar"/>
              </w:rPr>
              <w:t>蒸发和气化，这部分蒸发的气体即</w:t>
            </w:r>
            <w:r>
              <w:rPr>
                <w:strike w:val="0"/>
                <w:dstrike w:val="0"/>
                <w:color w:val="auto"/>
                <w:kern w:val="0"/>
                <w:sz w:val="24"/>
                <w:highlight w:val="none"/>
                <w:lang w:bidi="ar"/>
              </w:rPr>
              <w:t>LNG</w:t>
            </w:r>
            <w:r>
              <w:rPr>
                <w:rFonts w:hint="eastAsia" w:ascii="宋体" w:hAnsi="宋体" w:cs="宋体"/>
                <w:strike w:val="0"/>
                <w:dstrike w:val="0"/>
                <w:color w:val="auto"/>
                <w:kern w:val="0"/>
                <w:sz w:val="24"/>
                <w:highlight w:val="none"/>
                <w:lang w:bidi="ar"/>
              </w:rPr>
              <w:t>储罐</w:t>
            </w:r>
            <w:r>
              <w:rPr>
                <w:strike w:val="0"/>
                <w:dstrike w:val="0"/>
                <w:color w:val="auto"/>
                <w:kern w:val="0"/>
                <w:sz w:val="24"/>
                <w:highlight w:val="none"/>
                <w:lang w:bidi="ar"/>
              </w:rPr>
              <w:t>BOG</w:t>
            </w:r>
            <w:r>
              <w:rPr>
                <w:rFonts w:hint="eastAsia" w:ascii="宋体" w:hAnsi="宋体" w:cs="宋体"/>
                <w:strike w:val="0"/>
                <w:dstrike w:val="0"/>
                <w:color w:val="auto"/>
                <w:kern w:val="0"/>
                <w:sz w:val="24"/>
                <w:highlight w:val="none"/>
                <w:lang w:bidi="ar"/>
              </w:rPr>
              <w:t>气体，当外界温度过高或储罐内气体过多或检修时，需排出储罐内</w:t>
            </w:r>
            <w:r>
              <w:rPr>
                <w:strike w:val="0"/>
                <w:dstrike w:val="0"/>
                <w:color w:val="auto"/>
                <w:kern w:val="0"/>
                <w:sz w:val="24"/>
                <w:highlight w:val="none"/>
                <w:lang w:bidi="ar"/>
              </w:rPr>
              <w:t>BOG</w:t>
            </w:r>
            <w:r>
              <w:rPr>
                <w:rFonts w:hint="eastAsia" w:ascii="宋体" w:hAnsi="宋体" w:cs="宋体"/>
                <w:strike w:val="0"/>
                <w:dstrike w:val="0"/>
                <w:color w:val="auto"/>
                <w:kern w:val="0"/>
                <w:sz w:val="24"/>
                <w:highlight w:val="none"/>
                <w:lang w:bidi="ar"/>
              </w:rPr>
              <w:t>气体。项目</w:t>
            </w:r>
            <w:r>
              <w:rPr>
                <w:strike w:val="0"/>
                <w:dstrike w:val="0"/>
                <w:color w:val="auto"/>
                <w:kern w:val="0"/>
                <w:sz w:val="24"/>
                <w:highlight w:val="none"/>
                <w:lang w:bidi="ar"/>
              </w:rPr>
              <w:t>BOG</w:t>
            </w:r>
            <w:r>
              <w:rPr>
                <w:rFonts w:hint="eastAsia" w:ascii="宋体" w:hAnsi="宋体" w:cs="宋体"/>
                <w:strike w:val="0"/>
                <w:dstrike w:val="0"/>
                <w:color w:val="auto"/>
                <w:kern w:val="0"/>
                <w:sz w:val="24"/>
                <w:highlight w:val="none"/>
                <w:lang w:bidi="ar"/>
              </w:rPr>
              <w:t>气体通过气相管线收集至</w:t>
            </w:r>
            <w:r>
              <w:rPr>
                <w:strike w:val="0"/>
                <w:dstrike w:val="0"/>
                <w:color w:val="auto"/>
                <w:kern w:val="0"/>
                <w:sz w:val="24"/>
                <w:highlight w:val="none"/>
                <w:lang w:bidi="ar"/>
              </w:rPr>
              <w:t>1</w:t>
            </w:r>
            <w:r>
              <w:rPr>
                <w:rFonts w:hint="eastAsia" w:ascii="宋体" w:hAnsi="宋体" w:cs="宋体"/>
                <w:strike w:val="0"/>
                <w:dstrike w:val="0"/>
                <w:color w:val="auto"/>
                <w:kern w:val="0"/>
                <w:sz w:val="24"/>
                <w:highlight w:val="none"/>
                <w:lang w:bidi="ar"/>
              </w:rPr>
              <w:t>套</w:t>
            </w:r>
            <w:r>
              <w:rPr>
                <w:strike w:val="0"/>
                <w:dstrike w:val="0"/>
                <w:color w:val="auto"/>
                <w:kern w:val="0"/>
                <w:sz w:val="24"/>
                <w:highlight w:val="none"/>
                <w:lang w:bidi="ar"/>
              </w:rPr>
              <w:t>BOG</w:t>
            </w:r>
            <w:r>
              <w:rPr>
                <w:rFonts w:hint="eastAsia" w:ascii="宋体" w:hAnsi="宋体" w:cs="宋体"/>
                <w:strike w:val="0"/>
                <w:dstrike w:val="0"/>
                <w:color w:val="auto"/>
                <w:kern w:val="0"/>
                <w:sz w:val="24"/>
                <w:highlight w:val="none"/>
                <w:lang w:bidi="ar"/>
              </w:rPr>
              <w:t>回收系统处理，大部分被液化成</w:t>
            </w:r>
            <w:r>
              <w:rPr>
                <w:strike w:val="0"/>
                <w:dstrike w:val="0"/>
                <w:color w:val="auto"/>
                <w:kern w:val="0"/>
                <w:sz w:val="24"/>
                <w:highlight w:val="none"/>
                <w:lang w:bidi="ar"/>
              </w:rPr>
              <w:t>LNG</w:t>
            </w:r>
            <w:r>
              <w:rPr>
                <w:rFonts w:hint="eastAsia" w:ascii="宋体" w:hAnsi="宋体" w:cs="宋体"/>
                <w:strike w:val="0"/>
                <w:dstrike w:val="0"/>
                <w:color w:val="auto"/>
                <w:kern w:val="0"/>
                <w:sz w:val="24"/>
                <w:highlight w:val="none"/>
                <w:lang w:bidi="ar"/>
              </w:rPr>
              <w:t>重新回流至储罐内，少部分未被收集的</w:t>
            </w:r>
            <w:r>
              <w:rPr>
                <w:strike w:val="0"/>
                <w:dstrike w:val="0"/>
                <w:color w:val="auto"/>
                <w:kern w:val="0"/>
                <w:sz w:val="24"/>
                <w:highlight w:val="none"/>
                <w:lang w:bidi="ar"/>
              </w:rPr>
              <w:t>BOG</w:t>
            </w:r>
            <w:r>
              <w:rPr>
                <w:rFonts w:hint="eastAsia" w:ascii="宋体" w:hAnsi="宋体" w:cs="宋体"/>
                <w:strike w:val="0"/>
                <w:dstrike w:val="0"/>
                <w:color w:val="auto"/>
                <w:kern w:val="0"/>
                <w:sz w:val="24"/>
                <w:highlight w:val="none"/>
                <w:lang w:bidi="ar"/>
              </w:rPr>
              <w:t>气体通过</w:t>
            </w:r>
            <w:r>
              <w:rPr>
                <w:strike w:val="0"/>
                <w:dstrike w:val="0"/>
                <w:color w:val="auto"/>
                <w:kern w:val="0"/>
                <w:sz w:val="24"/>
                <w:highlight w:val="none"/>
                <w:lang w:bidi="ar"/>
              </w:rPr>
              <w:t>1</w:t>
            </w:r>
            <w:r>
              <w:rPr>
                <w:rFonts w:hint="eastAsia" w:ascii="宋体" w:hAnsi="宋体" w:cs="宋体"/>
                <w:strike w:val="0"/>
                <w:dstrike w:val="0"/>
                <w:color w:val="auto"/>
                <w:kern w:val="0"/>
                <w:sz w:val="24"/>
                <w:highlight w:val="none"/>
                <w:lang w:bidi="ar"/>
              </w:rPr>
              <w:t>台</w:t>
            </w:r>
            <w:r>
              <w:rPr>
                <w:strike w:val="0"/>
                <w:dstrike w:val="0"/>
                <w:color w:val="auto"/>
                <w:kern w:val="0"/>
                <w:sz w:val="24"/>
                <w:highlight w:val="none"/>
                <w:lang w:bidi="ar"/>
              </w:rPr>
              <w:t>EAG</w:t>
            </w:r>
            <w:r>
              <w:rPr>
                <w:rFonts w:hint="eastAsia" w:ascii="宋体" w:hAnsi="宋体" w:cs="宋体"/>
                <w:strike w:val="0"/>
                <w:dstrike w:val="0"/>
                <w:color w:val="auto"/>
                <w:kern w:val="0"/>
                <w:sz w:val="24"/>
                <w:highlight w:val="none"/>
                <w:lang w:bidi="ar"/>
              </w:rPr>
              <w:t>加热器加热气化后</w:t>
            </w:r>
            <w:r>
              <w:rPr>
                <w:strike w:val="0"/>
                <w:dstrike w:val="0"/>
                <w:color w:val="auto"/>
                <w:kern w:val="0"/>
                <w:sz w:val="24"/>
                <w:highlight w:val="none"/>
                <w:lang w:bidi="ar"/>
              </w:rPr>
              <w:t>进行放散</w:t>
            </w:r>
            <w:r>
              <w:rPr>
                <w:rFonts w:hint="eastAsia"/>
                <w:strike w:val="0"/>
                <w:dstrike w:val="0"/>
                <w:color w:val="auto"/>
                <w:kern w:val="0"/>
                <w:sz w:val="24"/>
                <w:highlight w:val="none"/>
                <w:lang w:bidi="ar"/>
              </w:rPr>
              <w:t>。该过程</w:t>
            </w:r>
            <w:r>
              <w:rPr>
                <w:strike w:val="0"/>
                <w:dstrike w:val="0"/>
                <w:color w:val="auto"/>
                <w:kern w:val="0"/>
                <w:sz w:val="24"/>
                <w:highlight w:val="none"/>
                <w:lang w:bidi="ar"/>
              </w:rPr>
              <w:t>会产生</w:t>
            </w:r>
            <w:r>
              <w:rPr>
                <w:rFonts w:hint="eastAsia"/>
                <w:strike w:val="0"/>
                <w:dstrike w:val="0"/>
                <w:color w:val="auto"/>
                <w:kern w:val="0"/>
                <w:sz w:val="24"/>
                <w:highlight w:val="none"/>
                <w:lang w:bidi="ar"/>
              </w:rPr>
              <w:t>安全放散废气G5</w:t>
            </w:r>
            <w:r>
              <w:rPr>
                <w:strike w:val="0"/>
                <w:dstrike w:val="0"/>
                <w:color w:val="auto"/>
                <w:kern w:val="0"/>
                <w:sz w:val="24"/>
                <w:highlight w:val="none"/>
                <w:lang w:bidi="ar"/>
              </w:rPr>
              <w:t>。</w:t>
            </w:r>
          </w:p>
          <w:p w14:paraId="270A3D1D">
            <w:pPr>
              <w:spacing w:line="360" w:lineRule="auto"/>
              <w:ind w:firstLine="482" w:firstLineChars="200"/>
              <w:rPr>
                <w:strike w:val="0"/>
                <w:dstrike w:val="0"/>
                <w:color w:val="auto"/>
                <w:sz w:val="24"/>
                <w:highlight w:val="none"/>
              </w:rPr>
            </w:pPr>
            <w:r>
              <w:rPr>
                <w:b/>
                <w:bCs/>
                <w:strike w:val="0"/>
                <w:dstrike w:val="0"/>
                <w:color w:val="auto"/>
                <w:sz w:val="24"/>
                <w:highlight w:val="none"/>
              </w:rPr>
              <w:t>⑤泄压流程：</w:t>
            </w:r>
            <w:r>
              <w:rPr>
                <w:strike w:val="0"/>
                <w:dstrike w:val="0"/>
                <w:color w:val="auto"/>
                <w:sz w:val="24"/>
                <w:highlight w:val="none"/>
              </w:rPr>
              <w:t>当LNG储罐压力大于0.75MPa、LNG储罐</w:t>
            </w:r>
            <w:r>
              <w:rPr>
                <w:rFonts w:hint="eastAsia"/>
                <w:strike w:val="0"/>
                <w:dstrike w:val="0"/>
                <w:color w:val="auto"/>
                <w:sz w:val="24"/>
                <w:highlight w:val="none"/>
              </w:rPr>
              <w:t>增压器</w:t>
            </w:r>
            <w:r>
              <w:rPr>
                <w:strike w:val="0"/>
                <w:dstrike w:val="0"/>
                <w:color w:val="auto"/>
                <w:sz w:val="24"/>
                <w:highlight w:val="none"/>
              </w:rPr>
              <w:t>的压力大于0.75MPa</w:t>
            </w:r>
            <w:bookmarkStart w:id="76" w:name="OfficeAI_Add_0_44"/>
            <w:r>
              <w:rPr>
                <w:rFonts w:hint="eastAsia"/>
                <w:strike w:val="0"/>
                <w:dstrike w:val="0"/>
                <w:color w:val="auto"/>
                <w:sz w:val="24"/>
                <w:highlight w:val="none"/>
                <w:lang w:eastAsia="zh-CN"/>
              </w:rPr>
              <w:t>时</w:t>
            </w:r>
            <w:bookmarkEnd w:id="76"/>
            <w:r>
              <w:rPr>
                <w:strike w:val="0"/>
                <w:dstrike w:val="0"/>
                <w:color w:val="auto"/>
                <w:sz w:val="24"/>
                <w:highlight w:val="none"/>
              </w:rPr>
              <w:t>，LNG储罐、LNG储罐</w:t>
            </w:r>
            <w:r>
              <w:rPr>
                <w:rFonts w:hint="eastAsia"/>
                <w:strike w:val="0"/>
                <w:dstrike w:val="0"/>
                <w:color w:val="auto"/>
                <w:sz w:val="24"/>
                <w:highlight w:val="none"/>
              </w:rPr>
              <w:t>增压器</w:t>
            </w:r>
            <w:r>
              <w:rPr>
                <w:strike w:val="0"/>
                <w:dstrike w:val="0"/>
                <w:color w:val="auto"/>
                <w:sz w:val="24"/>
                <w:highlight w:val="none"/>
              </w:rPr>
              <w:t>的安全阀启动，产生非正常超压气体。该过程会产生</w:t>
            </w:r>
            <w:r>
              <w:rPr>
                <w:rFonts w:hint="eastAsia"/>
                <w:strike w:val="0"/>
                <w:dstrike w:val="0"/>
                <w:color w:val="auto"/>
                <w:sz w:val="24"/>
                <w:highlight w:val="none"/>
              </w:rPr>
              <w:t>系统超压排放废气G6</w:t>
            </w:r>
            <w:r>
              <w:rPr>
                <w:strike w:val="0"/>
                <w:dstrike w:val="0"/>
                <w:color w:val="auto"/>
                <w:sz w:val="24"/>
                <w:highlight w:val="none"/>
              </w:rPr>
              <w:t>、设备检修废气</w:t>
            </w:r>
            <w:r>
              <w:rPr>
                <w:rFonts w:hint="eastAsia"/>
                <w:strike w:val="0"/>
                <w:dstrike w:val="0"/>
                <w:color w:val="auto"/>
                <w:sz w:val="24"/>
                <w:highlight w:val="none"/>
              </w:rPr>
              <w:t>G7</w:t>
            </w:r>
            <w:r>
              <w:rPr>
                <w:strike w:val="0"/>
                <w:dstrike w:val="0"/>
                <w:color w:val="auto"/>
                <w:sz w:val="24"/>
                <w:highlight w:val="none"/>
              </w:rPr>
              <w:t>。</w:t>
            </w:r>
          </w:p>
          <w:p w14:paraId="55C8FE09">
            <w:pPr>
              <w:widowControl/>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t>（4）其他产污情况</w:t>
            </w:r>
          </w:p>
          <w:p w14:paraId="33B234AE">
            <w:pPr>
              <w:widowControl/>
              <w:spacing w:line="360" w:lineRule="auto"/>
              <w:ind w:firstLine="482" w:firstLineChars="200"/>
              <w:jc w:val="left"/>
              <w:rPr>
                <w:b/>
                <w:bCs/>
                <w:strike w:val="0"/>
                <w:dstrike w:val="0"/>
                <w:color w:val="auto"/>
                <w:kern w:val="0"/>
                <w:sz w:val="24"/>
                <w:highlight w:val="none"/>
              </w:rPr>
            </w:pPr>
            <w:r>
              <w:rPr>
                <w:b/>
                <w:bCs/>
                <w:strike w:val="0"/>
                <w:dstrike w:val="0"/>
                <w:color w:val="auto"/>
                <w:kern w:val="0"/>
                <w:sz w:val="24"/>
                <w:highlight w:val="none"/>
              </w:rPr>
              <w:fldChar w:fldCharType="begin"/>
            </w:r>
            <w:r>
              <w:rPr>
                <w:b/>
                <w:bCs/>
                <w:strike w:val="0"/>
                <w:dstrike w:val="0"/>
                <w:color w:val="auto"/>
                <w:kern w:val="0"/>
                <w:sz w:val="24"/>
                <w:highlight w:val="none"/>
              </w:rPr>
              <w:instrText xml:space="preserve"> = 1 \* GB3 \* MERGEFORMAT </w:instrText>
            </w:r>
            <w:r>
              <w:rPr>
                <w:b/>
                <w:bCs/>
                <w:strike w:val="0"/>
                <w:dstrike w:val="0"/>
                <w:color w:val="auto"/>
                <w:kern w:val="0"/>
                <w:sz w:val="24"/>
                <w:highlight w:val="none"/>
              </w:rPr>
              <w:fldChar w:fldCharType="separate"/>
            </w:r>
            <w:r>
              <w:rPr>
                <w:b/>
                <w:bCs/>
                <w:strike w:val="0"/>
                <w:dstrike w:val="0"/>
                <w:color w:val="auto"/>
                <w:sz w:val="24"/>
                <w:highlight w:val="none"/>
              </w:rPr>
              <w:t>①</w:t>
            </w:r>
            <w:r>
              <w:rPr>
                <w:b/>
                <w:bCs/>
                <w:strike w:val="0"/>
                <w:dstrike w:val="0"/>
                <w:color w:val="auto"/>
                <w:kern w:val="0"/>
                <w:sz w:val="24"/>
                <w:highlight w:val="none"/>
              </w:rPr>
              <w:fldChar w:fldCharType="end"/>
            </w:r>
            <w:r>
              <w:rPr>
                <w:b/>
                <w:bCs/>
                <w:strike w:val="0"/>
                <w:dstrike w:val="0"/>
                <w:color w:val="auto"/>
                <w:kern w:val="0"/>
                <w:sz w:val="24"/>
                <w:highlight w:val="none"/>
              </w:rPr>
              <w:t>LNG气化站</w:t>
            </w:r>
          </w:p>
          <w:p w14:paraId="397C47CB">
            <w:pPr>
              <w:widowControl/>
              <w:spacing w:line="360" w:lineRule="auto"/>
              <w:ind w:firstLine="480" w:firstLineChars="200"/>
              <w:jc w:val="left"/>
              <w:rPr>
                <w:b/>
                <w:bCs/>
                <w:strike w:val="0"/>
                <w:dstrike w:val="0"/>
                <w:color w:val="auto"/>
                <w:sz w:val="24"/>
                <w:highlight w:val="none"/>
              </w:rPr>
            </w:pPr>
            <w:r>
              <w:rPr>
                <w:strike w:val="0"/>
                <w:dstrike w:val="0"/>
                <w:color w:val="auto"/>
                <w:sz w:val="24"/>
                <w:highlight w:val="none"/>
              </w:rPr>
              <w:t>LNG调压撬过滤工段会产生过滤</w:t>
            </w:r>
            <w:r>
              <w:rPr>
                <w:strike w:val="0"/>
                <w:dstrike w:val="0"/>
                <w:color w:val="auto"/>
                <w:kern w:val="0"/>
                <w:sz w:val="24"/>
                <w:highlight w:val="none"/>
              </w:rPr>
              <w:t>杂质（S3）、</w:t>
            </w:r>
            <w:r>
              <w:rPr>
                <w:strike w:val="0"/>
                <w:dstrike w:val="0"/>
                <w:color w:val="auto"/>
                <w:sz w:val="24"/>
                <w:highlight w:val="none"/>
              </w:rPr>
              <w:t>废旧滤芯（</w:t>
            </w:r>
            <w:r>
              <w:rPr>
                <w:strike w:val="0"/>
                <w:dstrike w:val="0"/>
                <w:color w:val="auto"/>
                <w:kern w:val="0"/>
                <w:sz w:val="24"/>
                <w:highlight w:val="none"/>
              </w:rPr>
              <w:t>S4</w:t>
            </w:r>
            <w:r>
              <w:rPr>
                <w:strike w:val="0"/>
                <w:dstrike w:val="0"/>
                <w:color w:val="auto"/>
                <w:sz w:val="24"/>
                <w:highlight w:val="none"/>
              </w:rPr>
              <w:t>）</w:t>
            </w:r>
            <w:r>
              <w:rPr>
                <w:strike w:val="0"/>
                <w:dstrike w:val="0"/>
                <w:color w:val="auto"/>
                <w:kern w:val="0"/>
                <w:sz w:val="24"/>
                <w:highlight w:val="none"/>
              </w:rPr>
              <w:t>和风机噪声（N）</w:t>
            </w:r>
            <w:r>
              <w:rPr>
                <w:strike w:val="0"/>
                <w:dstrike w:val="0"/>
                <w:color w:val="auto"/>
                <w:sz w:val="24"/>
                <w:highlight w:val="none"/>
              </w:rPr>
              <w:t>。</w:t>
            </w:r>
          </w:p>
          <w:p w14:paraId="42BA0240">
            <w:pPr>
              <w:pStyle w:val="30"/>
              <w:spacing w:line="360" w:lineRule="auto"/>
              <w:ind w:firstLine="482" w:firstLineChars="200"/>
              <w:rPr>
                <w:rFonts w:ascii="Times New Roman"/>
                <w:bCs/>
                <w:strike w:val="0"/>
                <w:dstrike w:val="0"/>
                <w:color w:val="auto"/>
                <w:highlight w:val="none"/>
              </w:rPr>
            </w:pPr>
            <w:r>
              <w:rPr>
                <w:rFonts w:ascii="Times New Roman"/>
                <w:bCs/>
                <w:strike w:val="0"/>
                <w:dstrike w:val="0"/>
                <w:color w:val="auto"/>
                <w:highlight w:val="none"/>
              </w:rPr>
              <w:fldChar w:fldCharType="begin"/>
            </w:r>
            <w:r>
              <w:rPr>
                <w:rFonts w:ascii="Times New Roman"/>
                <w:bCs/>
                <w:strike w:val="0"/>
                <w:dstrike w:val="0"/>
                <w:color w:val="auto"/>
                <w:highlight w:val="none"/>
              </w:rPr>
              <w:instrText xml:space="preserve"> = 2 \* GB3 \* MERGEFORMAT </w:instrText>
            </w:r>
            <w:r>
              <w:rPr>
                <w:rFonts w:ascii="Times New Roman"/>
                <w:bCs/>
                <w:strike w:val="0"/>
                <w:dstrike w:val="0"/>
                <w:color w:val="auto"/>
                <w:highlight w:val="none"/>
              </w:rPr>
              <w:fldChar w:fldCharType="separate"/>
            </w:r>
            <w:r>
              <w:rPr>
                <w:rFonts w:ascii="Times New Roman"/>
                <w:bCs/>
                <w:strike w:val="0"/>
                <w:dstrike w:val="0"/>
                <w:color w:val="auto"/>
                <w:highlight w:val="none"/>
              </w:rPr>
              <w:t>②</w:t>
            </w:r>
            <w:r>
              <w:rPr>
                <w:rFonts w:ascii="Times New Roman"/>
                <w:bCs/>
                <w:strike w:val="0"/>
                <w:dstrike w:val="0"/>
                <w:color w:val="auto"/>
                <w:highlight w:val="none"/>
              </w:rPr>
              <w:fldChar w:fldCharType="end"/>
            </w:r>
            <w:r>
              <w:rPr>
                <w:rFonts w:ascii="Times New Roman"/>
                <w:bCs/>
                <w:strike w:val="0"/>
                <w:dstrike w:val="0"/>
                <w:color w:val="auto"/>
                <w:highlight w:val="none"/>
              </w:rPr>
              <w:t>空压系统</w:t>
            </w:r>
          </w:p>
          <w:p w14:paraId="47D76200">
            <w:pPr>
              <w:pStyle w:val="30"/>
              <w:spacing w:line="360" w:lineRule="auto"/>
              <w:ind w:firstLine="480" w:firstLineChars="200"/>
              <w:rPr>
                <w:rFonts w:ascii="Times New Roman"/>
                <w:bCs/>
                <w:strike w:val="0"/>
                <w:dstrike w:val="0"/>
                <w:color w:val="auto"/>
                <w:highlight w:val="none"/>
              </w:rPr>
            </w:pPr>
            <w:r>
              <w:rPr>
                <w:rFonts w:ascii="Times New Roman"/>
                <w:b w:val="0"/>
                <w:bCs/>
                <w:strike w:val="0"/>
                <w:dstrike w:val="0"/>
                <w:color w:val="auto"/>
                <w:highlight w:val="none"/>
              </w:rPr>
              <w:t>空压机运行过程中会产生</w:t>
            </w:r>
            <w:r>
              <w:rPr>
                <w:rFonts w:hint="eastAsia" w:ascii="Times New Roman"/>
                <w:b w:val="0"/>
                <w:bCs/>
                <w:strike w:val="0"/>
                <w:dstrike w:val="0"/>
                <w:color w:val="auto"/>
                <w:highlight w:val="none"/>
              </w:rPr>
              <w:t>油/水混合物（空压机）</w:t>
            </w:r>
            <w:r>
              <w:rPr>
                <w:rFonts w:ascii="Times New Roman"/>
                <w:b w:val="0"/>
                <w:bCs/>
                <w:strike w:val="0"/>
                <w:dstrike w:val="0"/>
                <w:color w:val="auto"/>
                <w:highlight w:val="none"/>
              </w:rPr>
              <w:t>（S5）和空压机噪声（N），空压机保养更换的废空压机油（S6）</w:t>
            </w:r>
            <w:r>
              <w:rPr>
                <w:rFonts w:hint="eastAsia" w:ascii="Times New Roman"/>
                <w:b w:val="0"/>
                <w:bCs/>
                <w:strike w:val="0"/>
                <w:dstrike w:val="0"/>
                <w:color w:val="auto"/>
                <w:highlight w:val="none"/>
              </w:rPr>
              <w:t>、废油桶（</w:t>
            </w:r>
            <w:r>
              <w:rPr>
                <w:rFonts w:ascii="Times New Roman"/>
                <w:b w:val="0"/>
                <w:bCs/>
                <w:strike w:val="0"/>
                <w:dstrike w:val="0"/>
                <w:color w:val="auto"/>
                <w:highlight w:val="none"/>
              </w:rPr>
              <w:t>S</w:t>
            </w:r>
            <w:r>
              <w:rPr>
                <w:rFonts w:hint="eastAsia" w:ascii="Times New Roman"/>
                <w:b w:val="0"/>
                <w:bCs/>
                <w:strike w:val="0"/>
                <w:dstrike w:val="0"/>
                <w:color w:val="auto"/>
                <w:highlight w:val="none"/>
              </w:rPr>
              <w:t>7）</w:t>
            </w:r>
            <w:r>
              <w:rPr>
                <w:rFonts w:ascii="Times New Roman"/>
                <w:b w:val="0"/>
                <w:bCs/>
                <w:strike w:val="0"/>
                <w:dstrike w:val="0"/>
                <w:color w:val="auto"/>
                <w:highlight w:val="none"/>
              </w:rPr>
              <w:t>。</w:t>
            </w:r>
          </w:p>
          <w:p w14:paraId="3A4A50C2">
            <w:pPr>
              <w:widowControl/>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3 \* GB3 \* MERGEFORMAT </w:instrText>
            </w:r>
            <w:r>
              <w:rPr>
                <w:b/>
                <w:bCs/>
                <w:strike w:val="0"/>
                <w:dstrike w:val="0"/>
                <w:color w:val="auto"/>
                <w:sz w:val="24"/>
                <w:highlight w:val="none"/>
              </w:rPr>
              <w:fldChar w:fldCharType="separate"/>
            </w:r>
            <w:r>
              <w:rPr>
                <w:b/>
                <w:bCs/>
                <w:strike w:val="0"/>
                <w:dstrike w:val="0"/>
                <w:color w:val="auto"/>
                <w:sz w:val="24"/>
                <w:highlight w:val="none"/>
              </w:rPr>
              <w:t>③</w:t>
            </w:r>
            <w:r>
              <w:rPr>
                <w:b/>
                <w:bCs/>
                <w:strike w:val="0"/>
                <w:dstrike w:val="0"/>
                <w:color w:val="auto"/>
                <w:sz w:val="24"/>
                <w:highlight w:val="none"/>
              </w:rPr>
              <w:fldChar w:fldCharType="end"/>
            </w:r>
            <w:r>
              <w:rPr>
                <w:b/>
                <w:bCs/>
                <w:strike w:val="0"/>
                <w:dstrike w:val="0"/>
                <w:color w:val="auto"/>
                <w:sz w:val="24"/>
                <w:highlight w:val="none"/>
              </w:rPr>
              <w:t>废水处理设施</w:t>
            </w:r>
          </w:p>
          <w:p w14:paraId="0E42219D">
            <w:pPr>
              <w:widowControl/>
              <w:spacing w:line="360" w:lineRule="auto"/>
              <w:ind w:firstLine="480" w:firstLineChars="200"/>
              <w:jc w:val="left"/>
              <w:rPr>
                <w:strike w:val="0"/>
                <w:dstrike w:val="0"/>
                <w:color w:val="auto"/>
                <w:sz w:val="24"/>
                <w:highlight w:val="none"/>
              </w:rPr>
            </w:pPr>
            <w:r>
              <w:rPr>
                <w:rStyle w:val="29"/>
                <w:strike w:val="0"/>
                <w:dstrike w:val="0"/>
                <w:color w:val="auto"/>
                <w:kern w:val="0"/>
                <w:sz w:val="24"/>
                <w:highlight w:val="none"/>
              </w:rPr>
              <w:t>隔油池会有含油污泥（</w:t>
            </w:r>
            <w:r>
              <w:rPr>
                <w:rStyle w:val="29"/>
                <w:rFonts w:hint="eastAsia"/>
                <w:strike w:val="0"/>
                <w:dstrike w:val="0"/>
                <w:color w:val="auto"/>
                <w:kern w:val="0"/>
                <w:sz w:val="24"/>
                <w:highlight w:val="none"/>
              </w:rPr>
              <w:t>S8</w:t>
            </w:r>
            <w:r>
              <w:rPr>
                <w:rStyle w:val="29"/>
                <w:strike w:val="0"/>
                <w:dstrike w:val="0"/>
                <w:color w:val="auto"/>
                <w:kern w:val="0"/>
                <w:sz w:val="24"/>
                <w:highlight w:val="none"/>
              </w:rPr>
              <w:t>），生化池会产生生化池污泥（</w:t>
            </w:r>
            <w:r>
              <w:rPr>
                <w:rStyle w:val="29"/>
                <w:rFonts w:hint="eastAsia"/>
                <w:strike w:val="0"/>
                <w:dstrike w:val="0"/>
                <w:color w:val="auto"/>
                <w:kern w:val="0"/>
                <w:sz w:val="24"/>
                <w:highlight w:val="none"/>
              </w:rPr>
              <w:t>S9</w:t>
            </w:r>
            <w:r>
              <w:rPr>
                <w:rStyle w:val="29"/>
                <w:strike w:val="0"/>
                <w:dstrike w:val="0"/>
                <w:color w:val="auto"/>
                <w:kern w:val="0"/>
                <w:sz w:val="24"/>
                <w:highlight w:val="none"/>
              </w:rPr>
              <w:t>）、生化池臭气（</w:t>
            </w:r>
            <w:r>
              <w:rPr>
                <w:rStyle w:val="29"/>
                <w:rFonts w:hint="eastAsia"/>
                <w:strike w:val="0"/>
                <w:dstrike w:val="0"/>
                <w:color w:val="auto"/>
                <w:kern w:val="0"/>
                <w:sz w:val="24"/>
                <w:highlight w:val="none"/>
              </w:rPr>
              <w:t>G8</w:t>
            </w:r>
            <w:r>
              <w:rPr>
                <w:rStyle w:val="29"/>
                <w:strike w:val="0"/>
                <w:dstrike w:val="0"/>
                <w:color w:val="auto"/>
                <w:kern w:val="0"/>
                <w:sz w:val="24"/>
                <w:highlight w:val="none"/>
              </w:rPr>
              <w:t>）</w:t>
            </w:r>
            <w:r>
              <w:rPr>
                <w:strike w:val="0"/>
                <w:dstrike w:val="0"/>
                <w:color w:val="auto"/>
                <w:sz w:val="24"/>
                <w:highlight w:val="none"/>
              </w:rPr>
              <w:t>。</w:t>
            </w:r>
          </w:p>
          <w:p w14:paraId="0B0FE725">
            <w:pPr>
              <w:widowControl/>
              <w:spacing w:line="360" w:lineRule="auto"/>
              <w:ind w:firstLine="482" w:firstLineChars="200"/>
              <w:jc w:val="left"/>
              <w:rPr>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4 \* GB3 \* MERGEFORMAT </w:instrText>
            </w:r>
            <w:r>
              <w:rPr>
                <w:b/>
                <w:bCs/>
                <w:strike w:val="0"/>
                <w:dstrike w:val="0"/>
                <w:color w:val="auto"/>
                <w:sz w:val="24"/>
                <w:highlight w:val="none"/>
              </w:rPr>
              <w:fldChar w:fldCharType="separate"/>
            </w:r>
            <w:r>
              <w:rPr>
                <w:b/>
                <w:bCs/>
                <w:strike w:val="0"/>
                <w:dstrike w:val="0"/>
                <w:color w:val="auto"/>
                <w:sz w:val="24"/>
                <w:highlight w:val="none"/>
              </w:rPr>
              <w:t>④</w:t>
            </w:r>
            <w:r>
              <w:rPr>
                <w:b/>
                <w:bCs/>
                <w:strike w:val="0"/>
                <w:dstrike w:val="0"/>
                <w:color w:val="auto"/>
                <w:sz w:val="24"/>
                <w:highlight w:val="none"/>
              </w:rPr>
              <w:fldChar w:fldCharType="end"/>
            </w:r>
            <w:r>
              <w:rPr>
                <w:b/>
                <w:bCs/>
                <w:strike w:val="0"/>
                <w:dstrike w:val="0"/>
                <w:color w:val="auto"/>
                <w:sz w:val="24"/>
                <w:highlight w:val="none"/>
              </w:rPr>
              <w:t>设备维修保养</w:t>
            </w:r>
          </w:p>
          <w:p w14:paraId="407D1F84">
            <w:pPr>
              <w:pStyle w:val="38"/>
              <w:ind w:firstLine="480" w:firstLineChars="200"/>
              <w:rPr>
                <w:rFonts w:ascii="Times New Roman" w:hAnsi="Times New Roman" w:cs="Times New Roman"/>
                <w:strike w:val="0"/>
                <w:dstrike w:val="0"/>
                <w:color w:val="auto"/>
                <w:highlight w:val="none"/>
              </w:rPr>
            </w:pPr>
            <w:r>
              <w:rPr>
                <w:rFonts w:ascii="Times New Roman" w:hAnsi="Times New Roman" w:cs="Times New Roman"/>
                <w:strike w:val="0"/>
                <w:dstrike w:val="0"/>
                <w:color w:val="auto"/>
                <w:szCs w:val="24"/>
                <w:highlight w:val="none"/>
              </w:rPr>
              <w:t>本项目在加油机设备检修过程及劳保工程中会产生含油废棉纱手套（</w:t>
            </w:r>
            <w:r>
              <w:rPr>
                <w:rFonts w:hint="eastAsia" w:ascii="Times New Roman" w:hAnsi="Times New Roman" w:cs="Times New Roman"/>
                <w:strike w:val="0"/>
                <w:dstrike w:val="0"/>
                <w:color w:val="auto"/>
                <w:szCs w:val="24"/>
                <w:highlight w:val="none"/>
              </w:rPr>
              <w:t>S10</w:t>
            </w:r>
            <w:r>
              <w:rPr>
                <w:rFonts w:ascii="Times New Roman" w:hAnsi="Times New Roman" w:cs="Times New Roman"/>
                <w:strike w:val="0"/>
                <w:dstrike w:val="0"/>
                <w:color w:val="auto"/>
                <w:szCs w:val="24"/>
                <w:highlight w:val="none"/>
              </w:rPr>
              <w:t>）。</w:t>
            </w:r>
          </w:p>
          <w:p w14:paraId="03918F19">
            <w:pPr>
              <w:widowControl/>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5 \* GB3 \* MERGEFORMAT </w:instrText>
            </w:r>
            <w:r>
              <w:rPr>
                <w:b/>
                <w:bCs/>
                <w:strike w:val="0"/>
                <w:dstrike w:val="0"/>
                <w:color w:val="auto"/>
                <w:sz w:val="24"/>
                <w:highlight w:val="none"/>
              </w:rPr>
              <w:fldChar w:fldCharType="separate"/>
            </w:r>
            <w:r>
              <w:rPr>
                <w:b/>
                <w:bCs/>
                <w:strike w:val="0"/>
                <w:dstrike w:val="0"/>
                <w:color w:val="auto"/>
                <w:sz w:val="24"/>
                <w:highlight w:val="none"/>
              </w:rPr>
              <w:t>⑤</w:t>
            </w:r>
            <w:r>
              <w:rPr>
                <w:b/>
                <w:bCs/>
                <w:strike w:val="0"/>
                <w:dstrike w:val="0"/>
                <w:color w:val="auto"/>
                <w:sz w:val="24"/>
                <w:highlight w:val="none"/>
              </w:rPr>
              <w:fldChar w:fldCharType="end"/>
            </w:r>
            <w:r>
              <w:rPr>
                <w:b/>
                <w:bCs/>
                <w:strike w:val="0"/>
                <w:dstrike w:val="0"/>
                <w:color w:val="auto"/>
                <w:sz w:val="24"/>
                <w:highlight w:val="none"/>
              </w:rPr>
              <w:t>职工生活及清洁</w:t>
            </w:r>
          </w:p>
          <w:p w14:paraId="5C3A0633">
            <w:pPr>
              <w:pStyle w:val="38"/>
              <w:ind w:firstLine="480" w:firstLineChars="200"/>
              <w:rPr>
                <w:rFonts w:ascii="Times New Roman" w:hAnsi="Times New Roman" w:cs="Times New Roman"/>
                <w:strike w:val="0"/>
                <w:dstrike w:val="0"/>
                <w:color w:val="auto"/>
                <w:highlight w:val="none"/>
              </w:rPr>
            </w:pPr>
            <w:r>
              <w:rPr>
                <w:rFonts w:ascii="Times New Roman" w:hAnsi="Times New Roman" w:cs="Times New Roman"/>
                <w:strike w:val="0"/>
                <w:dstrike w:val="0"/>
                <w:color w:val="auto"/>
                <w:highlight w:val="none"/>
              </w:rPr>
              <w:t>场地冲洗过程中会产生</w:t>
            </w:r>
            <w:r>
              <w:rPr>
                <w:rFonts w:ascii="Times New Roman" w:hAnsi="Times New Roman" w:cs="Times New Roman"/>
                <w:strike w:val="0"/>
                <w:dstrike w:val="0"/>
                <w:color w:val="auto"/>
                <w:kern w:val="0"/>
                <w:highlight w:val="none"/>
              </w:rPr>
              <w:t>场地冲洗废水（W1）</w:t>
            </w:r>
            <w:r>
              <w:rPr>
                <w:rFonts w:ascii="Times New Roman" w:hAnsi="Times New Roman" w:cs="Times New Roman"/>
                <w:strike w:val="0"/>
                <w:dstrike w:val="0"/>
                <w:color w:val="auto"/>
                <w:szCs w:val="24"/>
                <w:highlight w:val="none"/>
              </w:rPr>
              <w:t>，</w:t>
            </w:r>
            <w:r>
              <w:rPr>
                <w:rFonts w:ascii="Times New Roman" w:hAnsi="Times New Roman" w:cs="Times New Roman"/>
                <w:strike w:val="0"/>
                <w:dstrike w:val="0"/>
                <w:color w:val="auto"/>
                <w:highlight w:val="none"/>
              </w:rPr>
              <w:t>职工生活和过往驾乘人员生活中会产生生活污水（W2）、生活垃圾（</w:t>
            </w:r>
            <w:r>
              <w:rPr>
                <w:rFonts w:hint="eastAsia" w:ascii="Times New Roman" w:hAnsi="Times New Roman" w:cs="Times New Roman"/>
                <w:strike w:val="0"/>
                <w:dstrike w:val="0"/>
                <w:color w:val="auto"/>
                <w:highlight w:val="none"/>
              </w:rPr>
              <w:t>S11</w:t>
            </w:r>
            <w:r>
              <w:rPr>
                <w:rFonts w:ascii="Times New Roman" w:hAnsi="Times New Roman" w:cs="Times New Roman"/>
                <w:strike w:val="0"/>
                <w:dstrike w:val="0"/>
                <w:color w:val="auto"/>
                <w:highlight w:val="none"/>
              </w:rPr>
              <w:t>）、汽车尾气（</w:t>
            </w:r>
            <w:r>
              <w:rPr>
                <w:rFonts w:hint="eastAsia" w:ascii="Times New Roman" w:hAnsi="Times New Roman" w:cs="Times New Roman"/>
                <w:strike w:val="0"/>
                <w:dstrike w:val="0"/>
                <w:color w:val="auto"/>
                <w:highlight w:val="none"/>
              </w:rPr>
              <w:t>G9</w:t>
            </w:r>
            <w:r>
              <w:rPr>
                <w:rFonts w:ascii="Times New Roman" w:hAnsi="Times New Roman" w:cs="Times New Roman"/>
                <w:strike w:val="0"/>
                <w:dstrike w:val="0"/>
                <w:color w:val="auto"/>
                <w:highlight w:val="none"/>
              </w:rPr>
              <w:t>）。</w:t>
            </w:r>
          </w:p>
          <w:p w14:paraId="0D3AFC67">
            <w:pPr>
              <w:widowControl/>
              <w:spacing w:line="360" w:lineRule="auto"/>
              <w:ind w:firstLine="480" w:firstLineChars="200"/>
              <w:jc w:val="left"/>
              <w:rPr>
                <w:strike w:val="0"/>
                <w:dstrike w:val="0"/>
                <w:color w:val="auto"/>
                <w:kern w:val="0"/>
                <w:sz w:val="24"/>
                <w:highlight w:val="none"/>
              </w:rPr>
            </w:pPr>
            <w:r>
              <w:rPr>
                <w:strike w:val="0"/>
                <w:dstrike w:val="0"/>
                <w:color w:val="auto"/>
                <w:kern w:val="0"/>
                <w:sz w:val="24"/>
                <w:highlight w:val="none"/>
              </w:rPr>
              <w:t>本项目生产工序产污节点汇总见</w:t>
            </w:r>
            <w:r>
              <w:rPr>
                <w:b/>
                <w:bCs/>
                <w:strike w:val="0"/>
                <w:dstrike w:val="0"/>
                <w:color w:val="auto"/>
                <w:kern w:val="0"/>
                <w:sz w:val="24"/>
                <w:highlight w:val="none"/>
              </w:rPr>
              <w:t>表2.2-1</w:t>
            </w:r>
            <w:r>
              <w:rPr>
                <w:strike w:val="0"/>
                <w:dstrike w:val="0"/>
                <w:color w:val="auto"/>
                <w:kern w:val="0"/>
                <w:sz w:val="24"/>
                <w:highlight w:val="none"/>
              </w:rPr>
              <w:t>所示。</w:t>
            </w:r>
          </w:p>
          <w:p w14:paraId="665D5C4E">
            <w:pPr>
              <w:widowControl/>
              <w:jc w:val="center"/>
              <w:rPr>
                <w:b/>
                <w:bCs/>
                <w:strike w:val="0"/>
                <w:dstrike w:val="0"/>
                <w:color w:val="auto"/>
                <w:kern w:val="0"/>
                <w:sz w:val="24"/>
                <w:szCs w:val="20"/>
                <w:highlight w:val="none"/>
              </w:rPr>
            </w:pPr>
            <w:r>
              <w:rPr>
                <w:b/>
                <w:bCs/>
                <w:strike w:val="0"/>
                <w:dstrike w:val="0"/>
                <w:color w:val="auto"/>
                <w:kern w:val="0"/>
                <w:sz w:val="24"/>
                <w:szCs w:val="20"/>
                <w:highlight w:val="none"/>
              </w:rPr>
              <w:t>表2.2-1  生产工序产污节点汇总表</w:t>
            </w:r>
          </w:p>
          <w:tbl>
            <w:tblPr>
              <w:tblStyle w:val="22"/>
              <w:tblW w:w="7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656"/>
              <w:gridCol w:w="730"/>
              <w:gridCol w:w="987"/>
              <w:gridCol w:w="1321"/>
              <w:gridCol w:w="1279"/>
              <w:gridCol w:w="2273"/>
            </w:tblGrid>
            <w:tr w14:paraId="3461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dxa"/>
                  <w:gridSpan w:val="2"/>
                  <w:vAlign w:val="center"/>
                </w:tcPr>
                <w:p w14:paraId="39A8A412">
                  <w:pPr>
                    <w:widowControl/>
                    <w:jc w:val="center"/>
                    <w:rPr>
                      <w:b/>
                      <w:bCs/>
                      <w:strike w:val="0"/>
                      <w:dstrike w:val="0"/>
                      <w:color w:val="auto"/>
                      <w:kern w:val="0"/>
                      <w:szCs w:val="21"/>
                      <w:highlight w:val="none"/>
                    </w:rPr>
                  </w:pPr>
                  <w:r>
                    <w:rPr>
                      <w:b/>
                      <w:bCs/>
                      <w:strike w:val="0"/>
                      <w:dstrike w:val="0"/>
                      <w:color w:val="auto"/>
                      <w:kern w:val="0"/>
                      <w:szCs w:val="21"/>
                      <w:highlight w:val="none"/>
                    </w:rPr>
                    <w:t>类别</w:t>
                  </w:r>
                </w:p>
              </w:tc>
              <w:tc>
                <w:tcPr>
                  <w:tcW w:w="730" w:type="dxa"/>
                  <w:vAlign w:val="center"/>
                </w:tcPr>
                <w:p w14:paraId="44F9F391">
                  <w:pPr>
                    <w:widowControl/>
                    <w:jc w:val="center"/>
                    <w:rPr>
                      <w:b/>
                      <w:bCs/>
                      <w:strike w:val="0"/>
                      <w:dstrike w:val="0"/>
                      <w:color w:val="auto"/>
                      <w:kern w:val="0"/>
                      <w:szCs w:val="21"/>
                      <w:highlight w:val="none"/>
                    </w:rPr>
                  </w:pPr>
                  <w:r>
                    <w:rPr>
                      <w:b/>
                      <w:bCs/>
                      <w:strike w:val="0"/>
                      <w:dstrike w:val="0"/>
                      <w:color w:val="auto"/>
                      <w:kern w:val="0"/>
                      <w:szCs w:val="21"/>
                      <w:highlight w:val="none"/>
                    </w:rPr>
                    <w:t>编号</w:t>
                  </w:r>
                </w:p>
              </w:tc>
              <w:tc>
                <w:tcPr>
                  <w:tcW w:w="987" w:type="dxa"/>
                  <w:vAlign w:val="center"/>
                </w:tcPr>
                <w:p w14:paraId="642778C0">
                  <w:pPr>
                    <w:widowControl/>
                    <w:jc w:val="center"/>
                    <w:rPr>
                      <w:b/>
                      <w:bCs/>
                      <w:strike w:val="0"/>
                      <w:dstrike w:val="0"/>
                      <w:color w:val="auto"/>
                      <w:kern w:val="0"/>
                      <w:szCs w:val="21"/>
                      <w:highlight w:val="none"/>
                    </w:rPr>
                  </w:pPr>
                  <w:r>
                    <w:rPr>
                      <w:b/>
                      <w:bCs/>
                      <w:strike w:val="0"/>
                      <w:dstrike w:val="0"/>
                      <w:color w:val="auto"/>
                      <w:kern w:val="0"/>
                      <w:szCs w:val="21"/>
                      <w:highlight w:val="none"/>
                    </w:rPr>
                    <w:t>名称</w:t>
                  </w:r>
                </w:p>
              </w:tc>
              <w:tc>
                <w:tcPr>
                  <w:tcW w:w="1321" w:type="dxa"/>
                  <w:vAlign w:val="center"/>
                </w:tcPr>
                <w:p w14:paraId="3789ED57">
                  <w:pPr>
                    <w:widowControl/>
                    <w:jc w:val="center"/>
                    <w:rPr>
                      <w:b/>
                      <w:bCs/>
                      <w:strike w:val="0"/>
                      <w:dstrike w:val="0"/>
                      <w:color w:val="auto"/>
                      <w:kern w:val="0"/>
                      <w:szCs w:val="21"/>
                      <w:highlight w:val="none"/>
                    </w:rPr>
                  </w:pPr>
                  <w:r>
                    <w:rPr>
                      <w:b/>
                      <w:bCs/>
                      <w:strike w:val="0"/>
                      <w:dstrike w:val="0"/>
                      <w:color w:val="auto"/>
                      <w:kern w:val="0"/>
                      <w:szCs w:val="21"/>
                      <w:highlight w:val="none"/>
                    </w:rPr>
                    <w:t>产污工序</w:t>
                  </w:r>
                </w:p>
              </w:tc>
              <w:tc>
                <w:tcPr>
                  <w:tcW w:w="1279" w:type="dxa"/>
                  <w:vAlign w:val="center"/>
                </w:tcPr>
                <w:p w14:paraId="1A6F8E5B">
                  <w:pPr>
                    <w:widowControl/>
                    <w:jc w:val="center"/>
                    <w:rPr>
                      <w:b/>
                      <w:bCs/>
                      <w:strike w:val="0"/>
                      <w:dstrike w:val="0"/>
                      <w:color w:val="auto"/>
                      <w:kern w:val="0"/>
                      <w:szCs w:val="21"/>
                      <w:highlight w:val="none"/>
                    </w:rPr>
                  </w:pPr>
                  <w:r>
                    <w:rPr>
                      <w:b/>
                      <w:bCs/>
                      <w:strike w:val="0"/>
                      <w:dstrike w:val="0"/>
                      <w:color w:val="auto"/>
                      <w:kern w:val="0"/>
                      <w:szCs w:val="21"/>
                      <w:highlight w:val="none"/>
                    </w:rPr>
                    <w:t>主要污染物</w:t>
                  </w:r>
                </w:p>
              </w:tc>
              <w:tc>
                <w:tcPr>
                  <w:tcW w:w="2273" w:type="dxa"/>
                  <w:vAlign w:val="center"/>
                </w:tcPr>
                <w:p w14:paraId="3FD3CDE6">
                  <w:pPr>
                    <w:widowControl/>
                    <w:jc w:val="center"/>
                    <w:rPr>
                      <w:b/>
                      <w:bCs/>
                      <w:strike w:val="0"/>
                      <w:dstrike w:val="0"/>
                      <w:color w:val="auto"/>
                      <w:kern w:val="0"/>
                      <w:szCs w:val="21"/>
                      <w:highlight w:val="none"/>
                    </w:rPr>
                  </w:pPr>
                  <w:r>
                    <w:rPr>
                      <w:b/>
                      <w:bCs/>
                      <w:strike w:val="0"/>
                      <w:dstrike w:val="0"/>
                      <w:color w:val="auto"/>
                      <w:kern w:val="0"/>
                      <w:szCs w:val="21"/>
                      <w:highlight w:val="none"/>
                    </w:rPr>
                    <w:t>处理措施</w:t>
                  </w:r>
                </w:p>
              </w:tc>
            </w:tr>
            <w:tr w14:paraId="6FFE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25" w:type="dxa"/>
                  <w:gridSpan w:val="2"/>
                  <w:vMerge w:val="restart"/>
                  <w:vAlign w:val="center"/>
                </w:tcPr>
                <w:p w14:paraId="6716F724">
                  <w:pPr>
                    <w:jc w:val="center"/>
                    <w:rPr>
                      <w:strike w:val="0"/>
                      <w:dstrike w:val="0"/>
                      <w:color w:val="auto"/>
                      <w:szCs w:val="21"/>
                      <w:highlight w:val="none"/>
                    </w:rPr>
                  </w:pPr>
                  <w:r>
                    <w:rPr>
                      <w:strike w:val="0"/>
                      <w:dstrike w:val="0"/>
                      <w:color w:val="auto"/>
                      <w:szCs w:val="21"/>
                      <w:highlight w:val="none"/>
                    </w:rPr>
                    <w:t>废气</w:t>
                  </w:r>
                </w:p>
              </w:tc>
              <w:tc>
                <w:tcPr>
                  <w:tcW w:w="730" w:type="dxa"/>
                  <w:vAlign w:val="center"/>
                </w:tcPr>
                <w:p w14:paraId="6C2E9659">
                  <w:pPr>
                    <w:widowControl/>
                    <w:jc w:val="center"/>
                    <w:rPr>
                      <w:strike w:val="0"/>
                      <w:dstrike w:val="0"/>
                      <w:color w:val="auto"/>
                      <w:kern w:val="0"/>
                      <w:szCs w:val="21"/>
                      <w:highlight w:val="none"/>
                    </w:rPr>
                  </w:pPr>
                  <w:r>
                    <w:rPr>
                      <w:strike w:val="0"/>
                      <w:dstrike w:val="0"/>
                      <w:color w:val="auto"/>
                      <w:kern w:val="0"/>
                      <w:szCs w:val="21"/>
                      <w:highlight w:val="none"/>
                    </w:rPr>
                    <w:t>G1-1</w:t>
                  </w:r>
                </w:p>
              </w:tc>
              <w:tc>
                <w:tcPr>
                  <w:tcW w:w="987" w:type="dxa"/>
                  <w:vAlign w:val="center"/>
                </w:tcPr>
                <w:p w14:paraId="248066BB">
                  <w:pPr>
                    <w:widowControl/>
                    <w:jc w:val="center"/>
                    <w:rPr>
                      <w:strike w:val="0"/>
                      <w:dstrike w:val="0"/>
                      <w:color w:val="auto"/>
                      <w:kern w:val="0"/>
                      <w:szCs w:val="21"/>
                      <w:highlight w:val="none"/>
                    </w:rPr>
                  </w:pPr>
                  <w:r>
                    <w:rPr>
                      <w:strike w:val="0"/>
                      <w:dstrike w:val="0"/>
                      <w:color w:val="auto"/>
                      <w:kern w:val="0"/>
                      <w:szCs w:val="21"/>
                      <w:highlight w:val="none"/>
                    </w:rPr>
                    <w:t>柴油卸油废气</w:t>
                  </w:r>
                </w:p>
              </w:tc>
              <w:tc>
                <w:tcPr>
                  <w:tcW w:w="1321" w:type="dxa"/>
                  <w:vAlign w:val="center"/>
                </w:tcPr>
                <w:p w14:paraId="7F82CEFD">
                  <w:pPr>
                    <w:widowControl/>
                    <w:jc w:val="center"/>
                    <w:rPr>
                      <w:strike w:val="0"/>
                      <w:dstrike w:val="0"/>
                      <w:color w:val="auto"/>
                      <w:kern w:val="0"/>
                      <w:szCs w:val="21"/>
                      <w:highlight w:val="none"/>
                    </w:rPr>
                  </w:pPr>
                  <w:r>
                    <w:rPr>
                      <w:strike w:val="0"/>
                      <w:dstrike w:val="0"/>
                      <w:color w:val="auto"/>
                      <w:szCs w:val="21"/>
                      <w:highlight w:val="none"/>
                    </w:rPr>
                    <w:t>地下柴油罐装料蒸汽排放</w:t>
                  </w:r>
                </w:p>
              </w:tc>
              <w:tc>
                <w:tcPr>
                  <w:tcW w:w="1279" w:type="dxa"/>
                  <w:vAlign w:val="center"/>
                </w:tcPr>
                <w:p w14:paraId="33BE34BE">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73" w:type="dxa"/>
                  <w:vAlign w:val="center"/>
                </w:tcPr>
                <w:p w14:paraId="1FD235F0">
                  <w:pPr>
                    <w:jc w:val="center"/>
                    <w:rPr>
                      <w:strike w:val="0"/>
                      <w:dstrike w:val="0"/>
                      <w:color w:val="auto"/>
                      <w:kern w:val="0"/>
                      <w:szCs w:val="21"/>
                      <w:highlight w:val="none"/>
                    </w:rPr>
                  </w:pPr>
                  <w:r>
                    <w:rPr>
                      <w:strike w:val="0"/>
                      <w:dstrike w:val="0"/>
                      <w:color w:val="auto"/>
                      <w:kern w:val="0"/>
                      <w:szCs w:val="21"/>
                      <w:highlight w:val="none"/>
                    </w:rPr>
                    <w:t>/</w:t>
                  </w:r>
                </w:p>
              </w:tc>
            </w:tr>
            <w:tr w14:paraId="480E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25" w:type="dxa"/>
                  <w:gridSpan w:val="2"/>
                  <w:vMerge w:val="continue"/>
                  <w:vAlign w:val="center"/>
                </w:tcPr>
                <w:p w14:paraId="64CA667E">
                  <w:pPr>
                    <w:widowControl/>
                    <w:jc w:val="center"/>
                    <w:rPr>
                      <w:strike w:val="0"/>
                      <w:dstrike w:val="0"/>
                      <w:color w:val="auto"/>
                      <w:szCs w:val="21"/>
                      <w:highlight w:val="none"/>
                    </w:rPr>
                  </w:pPr>
                </w:p>
              </w:tc>
              <w:tc>
                <w:tcPr>
                  <w:tcW w:w="730" w:type="dxa"/>
                  <w:vAlign w:val="center"/>
                </w:tcPr>
                <w:p w14:paraId="56412BD2">
                  <w:pPr>
                    <w:widowControl/>
                    <w:jc w:val="center"/>
                    <w:rPr>
                      <w:strike w:val="0"/>
                      <w:dstrike w:val="0"/>
                      <w:color w:val="auto"/>
                      <w:kern w:val="0"/>
                      <w:szCs w:val="21"/>
                      <w:highlight w:val="none"/>
                    </w:rPr>
                  </w:pPr>
                  <w:r>
                    <w:rPr>
                      <w:strike w:val="0"/>
                      <w:dstrike w:val="0"/>
                      <w:color w:val="auto"/>
                      <w:kern w:val="0"/>
                      <w:szCs w:val="21"/>
                      <w:highlight w:val="none"/>
                    </w:rPr>
                    <w:t>G1-2</w:t>
                  </w:r>
                </w:p>
              </w:tc>
              <w:tc>
                <w:tcPr>
                  <w:tcW w:w="987" w:type="dxa"/>
                  <w:vAlign w:val="center"/>
                </w:tcPr>
                <w:p w14:paraId="634AA19F">
                  <w:pPr>
                    <w:widowControl/>
                    <w:jc w:val="center"/>
                    <w:rPr>
                      <w:strike w:val="0"/>
                      <w:dstrike w:val="0"/>
                      <w:color w:val="auto"/>
                      <w:kern w:val="0"/>
                      <w:szCs w:val="21"/>
                      <w:highlight w:val="none"/>
                    </w:rPr>
                  </w:pPr>
                  <w:r>
                    <w:rPr>
                      <w:strike w:val="0"/>
                      <w:dstrike w:val="0"/>
                      <w:color w:val="auto"/>
                      <w:kern w:val="0"/>
                      <w:szCs w:val="21"/>
                      <w:highlight w:val="none"/>
                    </w:rPr>
                    <w:t>汽油卸油废气</w:t>
                  </w:r>
                </w:p>
              </w:tc>
              <w:tc>
                <w:tcPr>
                  <w:tcW w:w="1321" w:type="dxa"/>
                  <w:vAlign w:val="center"/>
                </w:tcPr>
                <w:p w14:paraId="780B8DFC">
                  <w:pPr>
                    <w:widowControl/>
                    <w:jc w:val="center"/>
                    <w:rPr>
                      <w:strike w:val="0"/>
                      <w:dstrike w:val="0"/>
                      <w:color w:val="auto"/>
                      <w:kern w:val="0"/>
                      <w:szCs w:val="21"/>
                      <w:highlight w:val="none"/>
                    </w:rPr>
                  </w:pPr>
                  <w:r>
                    <w:rPr>
                      <w:strike w:val="0"/>
                      <w:dstrike w:val="0"/>
                      <w:color w:val="auto"/>
                      <w:szCs w:val="21"/>
                      <w:highlight w:val="none"/>
                    </w:rPr>
                    <w:t>地下汽油罐装料蒸汽排放</w:t>
                  </w:r>
                </w:p>
              </w:tc>
              <w:tc>
                <w:tcPr>
                  <w:tcW w:w="1279" w:type="dxa"/>
                  <w:vAlign w:val="center"/>
                </w:tcPr>
                <w:p w14:paraId="23F6ADB3">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73" w:type="dxa"/>
                  <w:vAlign w:val="center"/>
                </w:tcPr>
                <w:p w14:paraId="247980D5">
                  <w:pPr>
                    <w:widowControl/>
                    <w:jc w:val="center"/>
                    <w:rPr>
                      <w:strike w:val="0"/>
                      <w:dstrike w:val="0"/>
                      <w:color w:val="auto"/>
                      <w:kern w:val="0"/>
                      <w:szCs w:val="21"/>
                      <w:highlight w:val="none"/>
                    </w:rPr>
                  </w:pPr>
                  <w:r>
                    <w:rPr>
                      <w:strike w:val="0"/>
                      <w:dstrike w:val="0"/>
                      <w:color w:val="auto"/>
                      <w:kern w:val="0"/>
                      <w:szCs w:val="21"/>
                      <w:highlight w:val="none"/>
                    </w:rPr>
                    <w:t>油气回收系统（一</w:t>
                  </w:r>
                  <w:r>
                    <w:rPr>
                      <w:strike w:val="0"/>
                      <w:dstrike w:val="0"/>
                      <w:color w:val="auto"/>
                      <w:szCs w:val="21"/>
                      <w:highlight w:val="none"/>
                    </w:rPr>
                    <w:t>次油气回收系统</w:t>
                  </w:r>
                  <w:r>
                    <w:rPr>
                      <w:strike w:val="0"/>
                      <w:dstrike w:val="0"/>
                      <w:color w:val="auto"/>
                      <w:kern w:val="0"/>
                      <w:szCs w:val="21"/>
                      <w:highlight w:val="none"/>
                    </w:rPr>
                    <w:t>）</w:t>
                  </w:r>
                </w:p>
              </w:tc>
            </w:tr>
            <w:tr w14:paraId="1E5A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dxa"/>
                  <w:gridSpan w:val="2"/>
                  <w:vMerge w:val="continue"/>
                  <w:vAlign w:val="center"/>
                </w:tcPr>
                <w:p w14:paraId="744E20A0">
                  <w:pPr>
                    <w:jc w:val="center"/>
                    <w:rPr>
                      <w:strike w:val="0"/>
                      <w:dstrike w:val="0"/>
                      <w:color w:val="auto"/>
                      <w:szCs w:val="21"/>
                      <w:highlight w:val="none"/>
                    </w:rPr>
                  </w:pPr>
                </w:p>
              </w:tc>
              <w:tc>
                <w:tcPr>
                  <w:tcW w:w="730" w:type="dxa"/>
                  <w:vAlign w:val="center"/>
                </w:tcPr>
                <w:p w14:paraId="1BB16FD6">
                  <w:pPr>
                    <w:widowControl/>
                    <w:jc w:val="center"/>
                    <w:rPr>
                      <w:strike w:val="0"/>
                      <w:dstrike w:val="0"/>
                      <w:color w:val="auto"/>
                      <w:kern w:val="0"/>
                      <w:szCs w:val="21"/>
                      <w:highlight w:val="none"/>
                    </w:rPr>
                  </w:pPr>
                  <w:r>
                    <w:rPr>
                      <w:strike w:val="0"/>
                      <w:dstrike w:val="0"/>
                      <w:color w:val="auto"/>
                      <w:kern w:val="0"/>
                      <w:szCs w:val="21"/>
                      <w:highlight w:val="none"/>
                    </w:rPr>
                    <w:t>G2</w:t>
                  </w:r>
                </w:p>
              </w:tc>
              <w:tc>
                <w:tcPr>
                  <w:tcW w:w="987" w:type="dxa"/>
                  <w:vAlign w:val="center"/>
                </w:tcPr>
                <w:p w14:paraId="478DFB50">
                  <w:pPr>
                    <w:widowControl/>
                    <w:jc w:val="center"/>
                    <w:rPr>
                      <w:strike w:val="0"/>
                      <w:dstrike w:val="0"/>
                      <w:color w:val="auto"/>
                      <w:kern w:val="0"/>
                      <w:szCs w:val="21"/>
                      <w:highlight w:val="none"/>
                    </w:rPr>
                  </w:pPr>
                  <w:r>
                    <w:rPr>
                      <w:strike w:val="0"/>
                      <w:dstrike w:val="0"/>
                      <w:color w:val="auto"/>
                      <w:kern w:val="0"/>
                      <w:szCs w:val="21"/>
                      <w:highlight w:val="none"/>
                    </w:rPr>
                    <w:t>储油废气</w:t>
                  </w:r>
                </w:p>
              </w:tc>
              <w:tc>
                <w:tcPr>
                  <w:tcW w:w="1321" w:type="dxa"/>
                  <w:vAlign w:val="center"/>
                </w:tcPr>
                <w:p w14:paraId="048D9AFA">
                  <w:pPr>
                    <w:widowControl/>
                    <w:jc w:val="center"/>
                    <w:rPr>
                      <w:strike w:val="0"/>
                      <w:dstrike w:val="0"/>
                      <w:color w:val="auto"/>
                      <w:kern w:val="0"/>
                      <w:szCs w:val="21"/>
                      <w:highlight w:val="none"/>
                    </w:rPr>
                  </w:pPr>
                  <w:r>
                    <w:rPr>
                      <w:strike w:val="0"/>
                      <w:dstrike w:val="0"/>
                      <w:color w:val="auto"/>
                      <w:kern w:val="0"/>
                      <w:szCs w:val="21"/>
                      <w:highlight w:val="none"/>
                    </w:rPr>
                    <w:t>汽油罐、柴油罐储油</w:t>
                  </w:r>
                </w:p>
              </w:tc>
              <w:tc>
                <w:tcPr>
                  <w:tcW w:w="1279" w:type="dxa"/>
                  <w:vAlign w:val="center"/>
                </w:tcPr>
                <w:p w14:paraId="3B7B5678">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73" w:type="dxa"/>
                  <w:vAlign w:val="center"/>
                </w:tcPr>
                <w:p w14:paraId="0F2B41F1">
                  <w:pPr>
                    <w:jc w:val="center"/>
                    <w:rPr>
                      <w:strike w:val="0"/>
                      <w:dstrike w:val="0"/>
                      <w:color w:val="auto"/>
                      <w:kern w:val="0"/>
                      <w:szCs w:val="21"/>
                      <w:highlight w:val="none"/>
                    </w:rPr>
                  </w:pPr>
                  <w:r>
                    <w:rPr>
                      <w:strike w:val="0"/>
                      <w:dstrike w:val="0"/>
                      <w:color w:val="auto"/>
                      <w:kern w:val="0"/>
                      <w:szCs w:val="21"/>
                      <w:highlight w:val="none"/>
                    </w:rPr>
                    <w:t>经通气立管排放</w:t>
                  </w:r>
                </w:p>
              </w:tc>
            </w:tr>
            <w:tr w14:paraId="5993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25" w:type="dxa"/>
                  <w:gridSpan w:val="2"/>
                  <w:vMerge w:val="continue"/>
                  <w:vAlign w:val="center"/>
                </w:tcPr>
                <w:p w14:paraId="41C53A27">
                  <w:pPr>
                    <w:jc w:val="center"/>
                    <w:rPr>
                      <w:strike w:val="0"/>
                      <w:dstrike w:val="0"/>
                      <w:color w:val="auto"/>
                      <w:szCs w:val="21"/>
                      <w:highlight w:val="none"/>
                    </w:rPr>
                  </w:pPr>
                </w:p>
              </w:tc>
              <w:tc>
                <w:tcPr>
                  <w:tcW w:w="730" w:type="dxa"/>
                  <w:vAlign w:val="center"/>
                </w:tcPr>
                <w:p w14:paraId="0F978FCD">
                  <w:pPr>
                    <w:widowControl/>
                    <w:jc w:val="center"/>
                    <w:rPr>
                      <w:strike w:val="0"/>
                      <w:dstrike w:val="0"/>
                      <w:color w:val="auto"/>
                      <w:kern w:val="0"/>
                      <w:szCs w:val="21"/>
                      <w:highlight w:val="none"/>
                    </w:rPr>
                  </w:pPr>
                  <w:r>
                    <w:rPr>
                      <w:strike w:val="0"/>
                      <w:dstrike w:val="0"/>
                      <w:color w:val="auto"/>
                      <w:kern w:val="0"/>
                      <w:szCs w:val="21"/>
                      <w:highlight w:val="none"/>
                    </w:rPr>
                    <w:t>G3-1</w:t>
                  </w:r>
                </w:p>
              </w:tc>
              <w:tc>
                <w:tcPr>
                  <w:tcW w:w="987" w:type="dxa"/>
                  <w:vAlign w:val="center"/>
                </w:tcPr>
                <w:p w14:paraId="758FA6B4">
                  <w:pPr>
                    <w:widowControl/>
                    <w:jc w:val="center"/>
                    <w:rPr>
                      <w:strike w:val="0"/>
                      <w:dstrike w:val="0"/>
                      <w:color w:val="auto"/>
                      <w:kern w:val="0"/>
                      <w:szCs w:val="21"/>
                      <w:highlight w:val="none"/>
                    </w:rPr>
                  </w:pPr>
                  <w:r>
                    <w:rPr>
                      <w:strike w:val="0"/>
                      <w:dstrike w:val="0"/>
                      <w:color w:val="auto"/>
                      <w:kern w:val="0"/>
                      <w:szCs w:val="21"/>
                      <w:highlight w:val="none"/>
                    </w:rPr>
                    <w:t>柴油加油废气</w:t>
                  </w:r>
                </w:p>
              </w:tc>
              <w:tc>
                <w:tcPr>
                  <w:tcW w:w="1321" w:type="dxa"/>
                  <w:vAlign w:val="center"/>
                </w:tcPr>
                <w:p w14:paraId="5F8BC7A5">
                  <w:pPr>
                    <w:widowControl/>
                    <w:jc w:val="center"/>
                    <w:rPr>
                      <w:strike w:val="0"/>
                      <w:dstrike w:val="0"/>
                      <w:color w:val="auto"/>
                      <w:kern w:val="0"/>
                      <w:szCs w:val="21"/>
                      <w:highlight w:val="none"/>
                    </w:rPr>
                  </w:pPr>
                  <w:r>
                    <w:rPr>
                      <w:strike w:val="0"/>
                      <w:dstrike w:val="0"/>
                      <w:color w:val="auto"/>
                      <w:kern w:val="0"/>
                      <w:szCs w:val="21"/>
                      <w:highlight w:val="none"/>
                    </w:rPr>
                    <w:t>柴油加油枪</w:t>
                  </w:r>
                </w:p>
              </w:tc>
              <w:tc>
                <w:tcPr>
                  <w:tcW w:w="1279" w:type="dxa"/>
                  <w:vAlign w:val="center"/>
                </w:tcPr>
                <w:p w14:paraId="3A6E27B9">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73" w:type="dxa"/>
                  <w:vAlign w:val="center"/>
                </w:tcPr>
                <w:p w14:paraId="003A8146">
                  <w:pPr>
                    <w:jc w:val="center"/>
                    <w:rPr>
                      <w:strike w:val="0"/>
                      <w:dstrike w:val="0"/>
                      <w:color w:val="auto"/>
                      <w:kern w:val="0"/>
                      <w:szCs w:val="21"/>
                      <w:highlight w:val="none"/>
                    </w:rPr>
                  </w:pPr>
                  <w:r>
                    <w:rPr>
                      <w:strike w:val="0"/>
                      <w:dstrike w:val="0"/>
                      <w:color w:val="auto"/>
                      <w:kern w:val="0"/>
                      <w:szCs w:val="21"/>
                      <w:highlight w:val="none"/>
                    </w:rPr>
                    <w:t>/</w:t>
                  </w:r>
                </w:p>
              </w:tc>
            </w:tr>
            <w:tr w14:paraId="1251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25" w:type="dxa"/>
                  <w:gridSpan w:val="2"/>
                  <w:vMerge w:val="continue"/>
                  <w:vAlign w:val="center"/>
                </w:tcPr>
                <w:p w14:paraId="03F6E94E">
                  <w:pPr>
                    <w:jc w:val="center"/>
                    <w:rPr>
                      <w:strike w:val="0"/>
                      <w:dstrike w:val="0"/>
                      <w:color w:val="auto"/>
                      <w:szCs w:val="21"/>
                      <w:highlight w:val="none"/>
                    </w:rPr>
                  </w:pPr>
                </w:p>
              </w:tc>
              <w:tc>
                <w:tcPr>
                  <w:tcW w:w="730" w:type="dxa"/>
                  <w:vAlign w:val="center"/>
                </w:tcPr>
                <w:p w14:paraId="5DC07737">
                  <w:pPr>
                    <w:widowControl/>
                    <w:jc w:val="center"/>
                    <w:rPr>
                      <w:strike w:val="0"/>
                      <w:dstrike w:val="0"/>
                      <w:color w:val="auto"/>
                      <w:kern w:val="0"/>
                      <w:szCs w:val="21"/>
                      <w:highlight w:val="none"/>
                    </w:rPr>
                  </w:pPr>
                  <w:r>
                    <w:rPr>
                      <w:strike w:val="0"/>
                      <w:dstrike w:val="0"/>
                      <w:color w:val="auto"/>
                      <w:kern w:val="0"/>
                      <w:szCs w:val="21"/>
                      <w:highlight w:val="none"/>
                    </w:rPr>
                    <w:t>G3-2</w:t>
                  </w:r>
                </w:p>
              </w:tc>
              <w:tc>
                <w:tcPr>
                  <w:tcW w:w="987" w:type="dxa"/>
                  <w:vAlign w:val="center"/>
                </w:tcPr>
                <w:p w14:paraId="1A086FAD">
                  <w:pPr>
                    <w:widowControl/>
                    <w:jc w:val="center"/>
                    <w:rPr>
                      <w:strike w:val="0"/>
                      <w:dstrike w:val="0"/>
                      <w:color w:val="auto"/>
                      <w:kern w:val="0"/>
                      <w:szCs w:val="21"/>
                      <w:highlight w:val="none"/>
                    </w:rPr>
                  </w:pPr>
                  <w:r>
                    <w:rPr>
                      <w:strike w:val="0"/>
                      <w:dstrike w:val="0"/>
                      <w:color w:val="auto"/>
                      <w:kern w:val="0"/>
                      <w:szCs w:val="21"/>
                      <w:highlight w:val="none"/>
                    </w:rPr>
                    <w:t>汽油加油废气</w:t>
                  </w:r>
                </w:p>
              </w:tc>
              <w:tc>
                <w:tcPr>
                  <w:tcW w:w="1321" w:type="dxa"/>
                  <w:vAlign w:val="center"/>
                </w:tcPr>
                <w:p w14:paraId="6143DE8D">
                  <w:pPr>
                    <w:widowControl/>
                    <w:jc w:val="center"/>
                    <w:rPr>
                      <w:strike w:val="0"/>
                      <w:dstrike w:val="0"/>
                      <w:color w:val="auto"/>
                      <w:kern w:val="0"/>
                      <w:szCs w:val="21"/>
                      <w:highlight w:val="none"/>
                    </w:rPr>
                  </w:pPr>
                  <w:r>
                    <w:rPr>
                      <w:strike w:val="0"/>
                      <w:dstrike w:val="0"/>
                      <w:color w:val="auto"/>
                      <w:kern w:val="0"/>
                      <w:szCs w:val="21"/>
                      <w:highlight w:val="none"/>
                    </w:rPr>
                    <w:t>汽油加油枪</w:t>
                  </w:r>
                </w:p>
              </w:tc>
              <w:tc>
                <w:tcPr>
                  <w:tcW w:w="1279" w:type="dxa"/>
                  <w:vAlign w:val="center"/>
                </w:tcPr>
                <w:p w14:paraId="612F5420">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73" w:type="dxa"/>
                  <w:vAlign w:val="center"/>
                </w:tcPr>
                <w:p w14:paraId="3F1CA507">
                  <w:pPr>
                    <w:jc w:val="center"/>
                    <w:rPr>
                      <w:strike w:val="0"/>
                      <w:dstrike w:val="0"/>
                      <w:color w:val="auto"/>
                      <w:kern w:val="0"/>
                      <w:szCs w:val="21"/>
                      <w:highlight w:val="none"/>
                    </w:rPr>
                  </w:pPr>
                  <w:r>
                    <w:rPr>
                      <w:strike w:val="0"/>
                      <w:dstrike w:val="0"/>
                      <w:color w:val="auto"/>
                      <w:kern w:val="0"/>
                      <w:szCs w:val="21"/>
                      <w:highlight w:val="none"/>
                    </w:rPr>
                    <w:t>油气回收系统（</w:t>
                  </w:r>
                  <w:r>
                    <w:rPr>
                      <w:strike w:val="0"/>
                      <w:dstrike w:val="0"/>
                      <w:color w:val="auto"/>
                      <w:szCs w:val="21"/>
                      <w:highlight w:val="none"/>
                    </w:rPr>
                    <w:t>二次油气回收系统</w:t>
                  </w:r>
                  <w:r>
                    <w:rPr>
                      <w:strike w:val="0"/>
                      <w:dstrike w:val="0"/>
                      <w:color w:val="auto"/>
                      <w:kern w:val="0"/>
                      <w:szCs w:val="21"/>
                      <w:highlight w:val="none"/>
                    </w:rPr>
                    <w:t>）</w:t>
                  </w:r>
                </w:p>
              </w:tc>
            </w:tr>
            <w:tr w14:paraId="3970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dxa"/>
                  <w:gridSpan w:val="2"/>
                  <w:vMerge w:val="continue"/>
                  <w:vAlign w:val="center"/>
                </w:tcPr>
                <w:p w14:paraId="4E1D2057">
                  <w:pPr>
                    <w:jc w:val="center"/>
                    <w:rPr>
                      <w:strike w:val="0"/>
                      <w:dstrike w:val="0"/>
                      <w:color w:val="auto"/>
                      <w:szCs w:val="21"/>
                      <w:highlight w:val="none"/>
                    </w:rPr>
                  </w:pPr>
                </w:p>
              </w:tc>
              <w:tc>
                <w:tcPr>
                  <w:tcW w:w="730" w:type="dxa"/>
                  <w:vAlign w:val="center"/>
                </w:tcPr>
                <w:p w14:paraId="716A352F">
                  <w:pPr>
                    <w:widowControl/>
                    <w:jc w:val="center"/>
                    <w:rPr>
                      <w:strike w:val="0"/>
                      <w:dstrike w:val="0"/>
                      <w:color w:val="auto"/>
                      <w:kern w:val="0"/>
                      <w:szCs w:val="21"/>
                      <w:highlight w:val="none"/>
                    </w:rPr>
                  </w:pPr>
                  <w:r>
                    <w:rPr>
                      <w:strike w:val="0"/>
                      <w:dstrike w:val="0"/>
                      <w:color w:val="auto"/>
                      <w:kern w:val="0"/>
                      <w:szCs w:val="21"/>
                      <w:highlight w:val="none"/>
                    </w:rPr>
                    <w:t>G4</w:t>
                  </w:r>
                </w:p>
              </w:tc>
              <w:tc>
                <w:tcPr>
                  <w:tcW w:w="987" w:type="dxa"/>
                  <w:vAlign w:val="center"/>
                </w:tcPr>
                <w:p w14:paraId="632D0415">
                  <w:pPr>
                    <w:widowControl/>
                    <w:jc w:val="center"/>
                    <w:rPr>
                      <w:strike w:val="0"/>
                      <w:dstrike w:val="0"/>
                      <w:color w:val="auto"/>
                      <w:kern w:val="0"/>
                      <w:szCs w:val="21"/>
                      <w:highlight w:val="none"/>
                    </w:rPr>
                  </w:pPr>
                  <w:r>
                    <w:rPr>
                      <w:strike w:val="0"/>
                      <w:dstrike w:val="0"/>
                      <w:color w:val="auto"/>
                      <w:szCs w:val="21"/>
                      <w:highlight w:val="none"/>
                    </w:rPr>
                    <w:t>卸车废气</w:t>
                  </w:r>
                </w:p>
              </w:tc>
              <w:tc>
                <w:tcPr>
                  <w:tcW w:w="1321" w:type="dxa"/>
                  <w:vAlign w:val="center"/>
                </w:tcPr>
                <w:p w14:paraId="653640EB">
                  <w:pPr>
                    <w:widowControl/>
                    <w:jc w:val="center"/>
                    <w:rPr>
                      <w:strike w:val="0"/>
                      <w:dstrike w:val="0"/>
                      <w:color w:val="auto"/>
                      <w:kern w:val="0"/>
                      <w:szCs w:val="21"/>
                      <w:highlight w:val="none"/>
                    </w:rPr>
                  </w:pPr>
                  <w:r>
                    <w:rPr>
                      <w:strike w:val="0"/>
                      <w:dstrike w:val="0"/>
                      <w:color w:val="auto"/>
                      <w:kern w:val="0"/>
                      <w:szCs w:val="21"/>
                      <w:highlight w:val="none"/>
                    </w:rPr>
                    <w:t>LNG气罐车</w:t>
                  </w:r>
                </w:p>
              </w:tc>
              <w:tc>
                <w:tcPr>
                  <w:tcW w:w="1279" w:type="dxa"/>
                  <w:vAlign w:val="center"/>
                </w:tcPr>
                <w:p w14:paraId="3632C30C">
                  <w:pPr>
                    <w:widowControl/>
                    <w:jc w:val="center"/>
                    <w:rPr>
                      <w:strike w:val="0"/>
                      <w:dstrike w:val="0"/>
                      <w:color w:val="auto"/>
                      <w:szCs w:val="21"/>
                      <w:highlight w:val="none"/>
                    </w:rPr>
                  </w:pPr>
                  <w:r>
                    <w:rPr>
                      <w:strike w:val="0"/>
                      <w:dstrike w:val="0"/>
                      <w:color w:val="auto"/>
                      <w:szCs w:val="21"/>
                      <w:highlight w:val="none"/>
                    </w:rPr>
                    <w:t>非甲烷总烃</w:t>
                  </w:r>
                </w:p>
              </w:tc>
              <w:tc>
                <w:tcPr>
                  <w:tcW w:w="2273" w:type="dxa"/>
                  <w:shd w:val="clear" w:color="auto" w:fill="auto"/>
                  <w:vAlign w:val="center"/>
                </w:tcPr>
                <w:p w14:paraId="55F51D13">
                  <w:pPr>
                    <w:widowControl/>
                    <w:jc w:val="center"/>
                    <w:rPr>
                      <w:strike w:val="0"/>
                      <w:dstrike w:val="0"/>
                      <w:color w:val="auto"/>
                      <w:kern w:val="0"/>
                      <w:szCs w:val="21"/>
                      <w:highlight w:val="none"/>
                    </w:rPr>
                  </w:pPr>
                  <w:r>
                    <w:rPr>
                      <w:strike w:val="0"/>
                      <w:dstrike w:val="0"/>
                      <w:color w:val="auto"/>
                      <w:kern w:val="0"/>
                      <w:szCs w:val="21"/>
                      <w:highlight w:val="none"/>
                    </w:rPr>
                    <w:t>EAG加热器</w:t>
                  </w:r>
                </w:p>
              </w:tc>
            </w:tr>
            <w:tr w14:paraId="71A6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dxa"/>
                  <w:gridSpan w:val="2"/>
                  <w:vMerge w:val="continue"/>
                  <w:vAlign w:val="center"/>
                </w:tcPr>
                <w:p w14:paraId="29122D46">
                  <w:pPr>
                    <w:jc w:val="center"/>
                    <w:rPr>
                      <w:strike w:val="0"/>
                      <w:dstrike w:val="0"/>
                      <w:color w:val="auto"/>
                      <w:szCs w:val="21"/>
                      <w:highlight w:val="none"/>
                    </w:rPr>
                  </w:pPr>
                </w:p>
              </w:tc>
              <w:tc>
                <w:tcPr>
                  <w:tcW w:w="730" w:type="dxa"/>
                  <w:vAlign w:val="center"/>
                </w:tcPr>
                <w:p w14:paraId="2E102A40">
                  <w:pPr>
                    <w:widowControl/>
                    <w:jc w:val="center"/>
                    <w:rPr>
                      <w:strike w:val="0"/>
                      <w:dstrike w:val="0"/>
                      <w:color w:val="auto"/>
                      <w:kern w:val="0"/>
                      <w:szCs w:val="21"/>
                      <w:highlight w:val="none"/>
                    </w:rPr>
                  </w:pPr>
                  <w:r>
                    <w:rPr>
                      <w:rFonts w:hint="eastAsia"/>
                      <w:strike w:val="0"/>
                      <w:dstrike w:val="0"/>
                      <w:color w:val="auto"/>
                      <w:kern w:val="0"/>
                      <w:szCs w:val="21"/>
                      <w:highlight w:val="none"/>
                    </w:rPr>
                    <w:t>G5</w:t>
                  </w:r>
                </w:p>
              </w:tc>
              <w:tc>
                <w:tcPr>
                  <w:tcW w:w="987" w:type="dxa"/>
                  <w:vAlign w:val="center"/>
                </w:tcPr>
                <w:p w14:paraId="3C8CE125">
                  <w:pPr>
                    <w:widowControl/>
                    <w:jc w:val="center"/>
                    <w:rPr>
                      <w:strike w:val="0"/>
                      <w:dstrike w:val="0"/>
                      <w:color w:val="auto"/>
                      <w:kern w:val="0"/>
                      <w:szCs w:val="21"/>
                      <w:highlight w:val="none"/>
                    </w:rPr>
                  </w:pPr>
                  <w:r>
                    <w:rPr>
                      <w:rFonts w:hint="eastAsia"/>
                      <w:strike w:val="0"/>
                      <w:dstrike w:val="0"/>
                      <w:color w:val="auto"/>
                      <w:kern w:val="0"/>
                      <w:szCs w:val="21"/>
                      <w:highlight w:val="none"/>
                      <w:lang w:bidi="ar"/>
                    </w:rPr>
                    <w:t>安全放散废气</w:t>
                  </w:r>
                </w:p>
              </w:tc>
              <w:tc>
                <w:tcPr>
                  <w:tcW w:w="1321" w:type="dxa"/>
                  <w:vAlign w:val="center"/>
                </w:tcPr>
                <w:p w14:paraId="33098069">
                  <w:pPr>
                    <w:widowControl/>
                    <w:jc w:val="center"/>
                    <w:rPr>
                      <w:strike w:val="0"/>
                      <w:dstrike w:val="0"/>
                      <w:color w:val="auto"/>
                      <w:kern w:val="0"/>
                      <w:szCs w:val="21"/>
                      <w:highlight w:val="none"/>
                    </w:rPr>
                  </w:pPr>
                  <w:r>
                    <w:rPr>
                      <w:strike w:val="0"/>
                      <w:dstrike w:val="0"/>
                      <w:color w:val="auto"/>
                      <w:kern w:val="0"/>
                      <w:szCs w:val="21"/>
                      <w:highlight w:val="none"/>
                    </w:rPr>
                    <w:t>EAG加热器</w:t>
                  </w:r>
                </w:p>
              </w:tc>
              <w:tc>
                <w:tcPr>
                  <w:tcW w:w="1279" w:type="dxa"/>
                  <w:vAlign w:val="center"/>
                </w:tcPr>
                <w:p w14:paraId="504C208E">
                  <w:pPr>
                    <w:widowControl/>
                    <w:jc w:val="center"/>
                    <w:rPr>
                      <w:strike w:val="0"/>
                      <w:dstrike w:val="0"/>
                      <w:color w:val="auto"/>
                      <w:kern w:val="0"/>
                      <w:szCs w:val="21"/>
                      <w:highlight w:val="none"/>
                    </w:rPr>
                  </w:pPr>
                  <w:r>
                    <w:rPr>
                      <w:strike w:val="0"/>
                      <w:dstrike w:val="0"/>
                      <w:color w:val="auto"/>
                      <w:kern w:val="0"/>
                      <w:szCs w:val="21"/>
                      <w:highlight w:val="none"/>
                    </w:rPr>
                    <w:t>非甲烷总烃</w:t>
                  </w:r>
                </w:p>
              </w:tc>
              <w:tc>
                <w:tcPr>
                  <w:tcW w:w="2273" w:type="dxa"/>
                  <w:shd w:val="clear" w:color="auto" w:fill="auto"/>
                  <w:vAlign w:val="center"/>
                </w:tcPr>
                <w:p w14:paraId="441AABEA">
                  <w:pPr>
                    <w:widowControl/>
                    <w:jc w:val="center"/>
                    <w:rPr>
                      <w:rFonts w:hint="default" w:eastAsia="宋体"/>
                      <w:strike w:val="0"/>
                      <w:dstrike w:val="0"/>
                      <w:color w:val="auto"/>
                      <w:kern w:val="0"/>
                      <w:szCs w:val="21"/>
                      <w:highlight w:val="none"/>
                      <w:lang w:val="en-US" w:eastAsia="zh-CN"/>
                    </w:rPr>
                  </w:pPr>
                  <w:r>
                    <w:rPr>
                      <w:rFonts w:hint="eastAsia"/>
                      <w:strike w:val="0"/>
                      <w:dstrike w:val="0"/>
                      <w:color w:val="auto"/>
                      <w:szCs w:val="21"/>
                      <w:highlight w:val="none"/>
                      <w:lang w:val="en-US" w:eastAsia="zh-CN"/>
                    </w:rPr>
                    <w:t>放散管</w:t>
                  </w:r>
                </w:p>
              </w:tc>
            </w:tr>
            <w:tr w14:paraId="53E2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jc w:val="center"/>
              </w:trPr>
              <w:tc>
                <w:tcPr>
                  <w:tcW w:w="1125" w:type="dxa"/>
                  <w:gridSpan w:val="2"/>
                  <w:vMerge w:val="continue"/>
                  <w:vAlign w:val="center"/>
                </w:tcPr>
                <w:p w14:paraId="7AABA3FD">
                  <w:pPr>
                    <w:widowControl/>
                    <w:jc w:val="center"/>
                    <w:rPr>
                      <w:strike w:val="0"/>
                      <w:dstrike w:val="0"/>
                      <w:color w:val="auto"/>
                      <w:szCs w:val="21"/>
                      <w:highlight w:val="none"/>
                    </w:rPr>
                  </w:pPr>
                </w:p>
              </w:tc>
              <w:tc>
                <w:tcPr>
                  <w:tcW w:w="730" w:type="dxa"/>
                  <w:vAlign w:val="center"/>
                </w:tcPr>
                <w:p w14:paraId="71F02459">
                  <w:pPr>
                    <w:widowControl/>
                    <w:jc w:val="center"/>
                    <w:rPr>
                      <w:strike w:val="0"/>
                      <w:dstrike w:val="0"/>
                      <w:color w:val="auto"/>
                      <w:kern w:val="0"/>
                      <w:szCs w:val="21"/>
                      <w:highlight w:val="none"/>
                    </w:rPr>
                  </w:pPr>
                  <w:r>
                    <w:rPr>
                      <w:rFonts w:hint="eastAsia"/>
                      <w:strike w:val="0"/>
                      <w:dstrike w:val="0"/>
                      <w:color w:val="auto"/>
                      <w:kern w:val="0"/>
                      <w:szCs w:val="21"/>
                      <w:highlight w:val="none"/>
                    </w:rPr>
                    <w:t>G6</w:t>
                  </w:r>
                </w:p>
              </w:tc>
              <w:tc>
                <w:tcPr>
                  <w:tcW w:w="987" w:type="dxa"/>
                  <w:vAlign w:val="center"/>
                </w:tcPr>
                <w:p w14:paraId="5D3BEB78">
                  <w:pPr>
                    <w:widowControl/>
                    <w:jc w:val="center"/>
                    <w:rPr>
                      <w:strike w:val="0"/>
                      <w:dstrike w:val="0"/>
                      <w:color w:val="auto"/>
                      <w:kern w:val="0"/>
                      <w:szCs w:val="21"/>
                      <w:highlight w:val="none"/>
                    </w:rPr>
                  </w:pPr>
                  <w:r>
                    <w:rPr>
                      <w:strike w:val="0"/>
                      <w:dstrike w:val="0"/>
                      <w:color w:val="auto"/>
                      <w:szCs w:val="21"/>
                      <w:highlight w:val="none"/>
                    </w:rPr>
                    <w:t>系统超压排放天然气</w:t>
                  </w:r>
                </w:p>
              </w:tc>
              <w:tc>
                <w:tcPr>
                  <w:tcW w:w="1321" w:type="dxa"/>
                  <w:vAlign w:val="center"/>
                </w:tcPr>
                <w:p w14:paraId="5FE1C539">
                  <w:pPr>
                    <w:widowControl/>
                    <w:jc w:val="center"/>
                    <w:rPr>
                      <w:strike w:val="0"/>
                      <w:dstrike w:val="0"/>
                      <w:color w:val="auto"/>
                      <w:kern w:val="0"/>
                      <w:szCs w:val="21"/>
                      <w:highlight w:val="none"/>
                    </w:rPr>
                  </w:pPr>
                  <w:r>
                    <w:rPr>
                      <w:strike w:val="0"/>
                      <w:dstrike w:val="0"/>
                      <w:color w:val="auto"/>
                      <w:kern w:val="0"/>
                      <w:szCs w:val="21"/>
                      <w:highlight w:val="none"/>
                    </w:rPr>
                    <w:t>泄压流程</w:t>
                  </w:r>
                </w:p>
              </w:tc>
              <w:tc>
                <w:tcPr>
                  <w:tcW w:w="1279" w:type="dxa"/>
                  <w:vAlign w:val="center"/>
                </w:tcPr>
                <w:p w14:paraId="341124BB">
                  <w:pPr>
                    <w:widowControl/>
                    <w:jc w:val="center"/>
                    <w:rPr>
                      <w:strike w:val="0"/>
                      <w:dstrike w:val="0"/>
                      <w:color w:val="auto"/>
                      <w:kern w:val="0"/>
                      <w:szCs w:val="21"/>
                      <w:highlight w:val="none"/>
                    </w:rPr>
                  </w:pPr>
                  <w:r>
                    <w:rPr>
                      <w:strike w:val="0"/>
                      <w:dstrike w:val="0"/>
                      <w:color w:val="auto"/>
                      <w:kern w:val="0"/>
                      <w:szCs w:val="21"/>
                      <w:highlight w:val="none"/>
                    </w:rPr>
                    <w:t>非甲烷总烃</w:t>
                  </w:r>
                </w:p>
              </w:tc>
              <w:tc>
                <w:tcPr>
                  <w:tcW w:w="2273" w:type="dxa"/>
                  <w:shd w:val="clear" w:color="auto" w:fill="auto"/>
                  <w:vAlign w:val="center"/>
                </w:tcPr>
                <w:p w14:paraId="7C447463">
                  <w:pPr>
                    <w:widowControl/>
                    <w:jc w:val="center"/>
                    <w:rPr>
                      <w:rFonts w:hint="eastAsia" w:eastAsia="宋体"/>
                      <w:strike w:val="0"/>
                      <w:dstrike w:val="0"/>
                      <w:color w:val="auto"/>
                      <w:kern w:val="0"/>
                      <w:szCs w:val="21"/>
                      <w:highlight w:val="none"/>
                      <w:lang w:eastAsia="zh-CN"/>
                    </w:rPr>
                  </w:pPr>
                  <w:r>
                    <w:rPr>
                      <w:rFonts w:hint="eastAsia"/>
                      <w:strike w:val="0"/>
                      <w:dstrike w:val="0"/>
                      <w:color w:val="auto"/>
                      <w:szCs w:val="21"/>
                      <w:highlight w:val="none"/>
                      <w:lang w:val="en-US" w:eastAsia="zh-CN"/>
                    </w:rPr>
                    <w:t>放散管</w:t>
                  </w:r>
                </w:p>
              </w:tc>
            </w:tr>
            <w:tr w14:paraId="2390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25" w:type="dxa"/>
                  <w:gridSpan w:val="2"/>
                  <w:vMerge w:val="continue"/>
                  <w:vAlign w:val="center"/>
                </w:tcPr>
                <w:p w14:paraId="0995665D">
                  <w:pPr>
                    <w:widowControl/>
                    <w:jc w:val="center"/>
                    <w:rPr>
                      <w:strike w:val="0"/>
                      <w:dstrike w:val="0"/>
                      <w:color w:val="auto"/>
                      <w:szCs w:val="21"/>
                      <w:highlight w:val="none"/>
                    </w:rPr>
                  </w:pPr>
                </w:p>
              </w:tc>
              <w:tc>
                <w:tcPr>
                  <w:tcW w:w="730" w:type="dxa"/>
                  <w:vAlign w:val="center"/>
                </w:tcPr>
                <w:p w14:paraId="0A473DD8">
                  <w:pPr>
                    <w:widowControl/>
                    <w:jc w:val="center"/>
                    <w:rPr>
                      <w:strike w:val="0"/>
                      <w:dstrike w:val="0"/>
                      <w:color w:val="auto"/>
                      <w:kern w:val="0"/>
                      <w:szCs w:val="21"/>
                      <w:highlight w:val="none"/>
                    </w:rPr>
                  </w:pPr>
                  <w:r>
                    <w:rPr>
                      <w:rFonts w:hint="eastAsia"/>
                      <w:strike w:val="0"/>
                      <w:dstrike w:val="0"/>
                      <w:color w:val="auto"/>
                      <w:kern w:val="0"/>
                      <w:szCs w:val="21"/>
                      <w:highlight w:val="none"/>
                    </w:rPr>
                    <w:t>G7</w:t>
                  </w:r>
                </w:p>
              </w:tc>
              <w:tc>
                <w:tcPr>
                  <w:tcW w:w="987" w:type="dxa"/>
                  <w:vAlign w:val="center"/>
                </w:tcPr>
                <w:p w14:paraId="163C5156">
                  <w:pPr>
                    <w:widowControl/>
                    <w:jc w:val="center"/>
                    <w:rPr>
                      <w:strike w:val="0"/>
                      <w:dstrike w:val="0"/>
                      <w:color w:val="auto"/>
                      <w:kern w:val="0"/>
                      <w:szCs w:val="21"/>
                      <w:highlight w:val="none"/>
                    </w:rPr>
                  </w:pPr>
                  <w:r>
                    <w:rPr>
                      <w:strike w:val="0"/>
                      <w:dstrike w:val="0"/>
                      <w:color w:val="auto"/>
                      <w:szCs w:val="21"/>
                      <w:highlight w:val="none"/>
                    </w:rPr>
                    <w:t>设备检修废气</w:t>
                  </w:r>
                </w:p>
              </w:tc>
              <w:tc>
                <w:tcPr>
                  <w:tcW w:w="1321" w:type="dxa"/>
                  <w:vAlign w:val="center"/>
                </w:tcPr>
                <w:p w14:paraId="26A2BB05">
                  <w:pPr>
                    <w:widowControl/>
                    <w:jc w:val="center"/>
                    <w:rPr>
                      <w:strike w:val="0"/>
                      <w:dstrike w:val="0"/>
                      <w:color w:val="auto"/>
                      <w:kern w:val="0"/>
                      <w:szCs w:val="21"/>
                      <w:highlight w:val="none"/>
                    </w:rPr>
                  </w:pPr>
                  <w:r>
                    <w:rPr>
                      <w:strike w:val="0"/>
                      <w:dstrike w:val="0"/>
                      <w:color w:val="auto"/>
                      <w:kern w:val="0"/>
                      <w:szCs w:val="21"/>
                      <w:highlight w:val="none"/>
                    </w:rPr>
                    <w:t>泄压流程设备检修</w:t>
                  </w:r>
                </w:p>
              </w:tc>
              <w:tc>
                <w:tcPr>
                  <w:tcW w:w="1279" w:type="dxa"/>
                  <w:vAlign w:val="center"/>
                </w:tcPr>
                <w:p w14:paraId="3CADC12D">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73" w:type="dxa"/>
                  <w:shd w:val="clear" w:color="auto" w:fill="auto"/>
                  <w:vAlign w:val="center"/>
                </w:tcPr>
                <w:p w14:paraId="091A2D2D">
                  <w:pPr>
                    <w:widowControl/>
                    <w:jc w:val="center"/>
                    <w:rPr>
                      <w:rFonts w:hint="eastAsia" w:eastAsia="宋体"/>
                      <w:strike w:val="0"/>
                      <w:dstrike w:val="0"/>
                      <w:color w:val="auto"/>
                      <w:kern w:val="0"/>
                      <w:szCs w:val="21"/>
                      <w:highlight w:val="none"/>
                      <w:lang w:eastAsia="zh-CN"/>
                    </w:rPr>
                  </w:pPr>
                  <w:r>
                    <w:rPr>
                      <w:rFonts w:hint="eastAsia"/>
                      <w:strike w:val="0"/>
                      <w:dstrike w:val="0"/>
                      <w:color w:val="auto"/>
                      <w:szCs w:val="21"/>
                      <w:highlight w:val="none"/>
                      <w:lang w:val="en-US" w:eastAsia="zh-CN"/>
                    </w:rPr>
                    <w:t>放散管</w:t>
                  </w:r>
                </w:p>
              </w:tc>
            </w:tr>
            <w:tr w14:paraId="1676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25" w:type="dxa"/>
                  <w:gridSpan w:val="2"/>
                  <w:vMerge w:val="continue"/>
                  <w:vAlign w:val="center"/>
                </w:tcPr>
                <w:p w14:paraId="10C9F8F0">
                  <w:pPr>
                    <w:widowControl/>
                    <w:jc w:val="center"/>
                    <w:rPr>
                      <w:strike w:val="0"/>
                      <w:dstrike w:val="0"/>
                      <w:color w:val="auto"/>
                      <w:szCs w:val="21"/>
                      <w:highlight w:val="none"/>
                    </w:rPr>
                  </w:pPr>
                </w:p>
              </w:tc>
              <w:tc>
                <w:tcPr>
                  <w:tcW w:w="730" w:type="dxa"/>
                  <w:vAlign w:val="center"/>
                </w:tcPr>
                <w:p w14:paraId="753A4A97">
                  <w:pPr>
                    <w:widowControl/>
                    <w:jc w:val="center"/>
                    <w:rPr>
                      <w:strike w:val="0"/>
                      <w:dstrike w:val="0"/>
                      <w:color w:val="auto"/>
                      <w:kern w:val="0"/>
                      <w:szCs w:val="21"/>
                      <w:highlight w:val="none"/>
                    </w:rPr>
                  </w:pPr>
                  <w:r>
                    <w:rPr>
                      <w:rFonts w:hint="eastAsia"/>
                      <w:strike w:val="0"/>
                      <w:dstrike w:val="0"/>
                      <w:color w:val="auto"/>
                      <w:kern w:val="0"/>
                      <w:szCs w:val="21"/>
                      <w:highlight w:val="none"/>
                    </w:rPr>
                    <w:t>G8</w:t>
                  </w:r>
                </w:p>
              </w:tc>
              <w:tc>
                <w:tcPr>
                  <w:tcW w:w="987" w:type="dxa"/>
                  <w:vAlign w:val="center"/>
                </w:tcPr>
                <w:p w14:paraId="11D52CB1">
                  <w:pPr>
                    <w:widowControl/>
                    <w:jc w:val="center"/>
                    <w:rPr>
                      <w:strike w:val="0"/>
                      <w:dstrike w:val="0"/>
                      <w:color w:val="auto"/>
                      <w:kern w:val="0"/>
                      <w:szCs w:val="21"/>
                      <w:highlight w:val="none"/>
                    </w:rPr>
                  </w:pPr>
                  <w:r>
                    <w:rPr>
                      <w:rStyle w:val="29"/>
                      <w:strike w:val="0"/>
                      <w:dstrike w:val="0"/>
                      <w:color w:val="auto"/>
                      <w:kern w:val="0"/>
                      <w:szCs w:val="21"/>
                      <w:highlight w:val="none"/>
                    </w:rPr>
                    <w:t>生化池臭气</w:t>
                  </w:r>
                </w:p>
              </w:tc>
              <w:tc>
                <w:tcPr>
                  <w:tcW w:w="1321" w:type="dxa"/>
                  <w:vAlign w:val="center"/>
                </w:tcPr>
                <w:p w14:paraId="20412FE1">
                  <w:pPr>
                    <w:widowControl/>
                    <w:jc w:val="center"/>
                    <w:rPr>
                      <w:strike w:val="0"/>
                      <w:dstrike w:val="0"/>
                      <w:color w:val="auto"/>
                      <w:kern w:val="0"/>
                      <w:szCs w:val="21"/>
                      <w:highlight w:val="none"/>
                    </w:rPr>
                  </w:pPr>
                  <w:r>
                    <w:rPr>
                      <w:strike w:val="0"/>
                      <w:dstrike w:val="0"/>
                      <w:color w:val="auto"/>
                      <w:kern w:val="0"/>
                      <w:szCs w:val="21"/>
                      <w:highlight w:val="none"/>
                    </w:rPr>
                    <w:t>生化池</w:t>
                  </w:r>
                </w:p>
              </w:tc>
              <w:tc>
                <w:tcPr>
                  <w:tcW w:w="1279" w:type="dxa"/>
                  <w:vAlign w:val="center"/>
                </w:tcPr>
                <w:p w14:paraId="724212E1">
                  <w:pPr>
                    <w:widowControl/>
                    <w:jc w:val="center"/>
                    <w:rPr>
                      <w:strike w:val="0"/>
                      <w:dstrike w:val="0"/>
                      <w:color w:val="auto"/>
                      <w:kern w:val="0"/>
                      <w:szCs w:val="21"/>
                      <w:highlight w:val="none"/>
                    </w:rPr>
                  </w:pPr>
                  <w:r>
                    <w:rPr>
                      <w:rFonts w:eastAsia="TimesNewRomanPSMT"/>
                      <w:strike w:val="0"/>
                      <w:dstrike w:val="0"/>
                      <w:color w:val="auto"/>
                      <w:highlight w:val="none"/>
                    </w:rPr>
                    <w:t>H</w:t>
                  </w:r>
                  <w:r>
                    <w:rPr>
                      <w:rFonts w:eastAsia="TimesNewRomanPSMT"/>
                      <w:strike w:val="0"/>
                      <w:dstrike w:val="0"/>
                      <w:color w:val="auto"/>
                      <w:sz w:val="14"/>
                      <w:highlight w:val="none"/>
                    </w:rPr>
                    <w:t>2</w:t>
                  </w:r>
                  <w:r>
                    <w:rPr>
                      <w:rFonts w:eastAsia="TimesNewRomanPSMT"/>
                      <w:strike w:val="0"/>
                      <w:dstrike w:val="0"/>
                      <w:color w:val="auto"/>
                      <w:highlight w:val="none"/>
                    </w:rPr>
                    <w:t>S</w:t>
                  </w:r>
                  <w:r>
                    <w:rPr>
                      <w:strike w:val="0"/>
                      <w:dstrike w:val="0"/>
                      <w:color w:val="auto"/>
                      <w:highlight w:val="none"/>
                    </w:rPr>
                    <w:t>、</w:t>
                  </w:r>
                  <w:r>
                    <w:rPr>
                      <w:rFonts w:eastAsia="TimesNewRomanPSMT"/>
                      <w:strike w:val="0"/>
                      <w:dstrike w:val="0"/>
                      <w:color w:val="auto"/>
                      <w:highlight w:val="none"/>
                    </w:rPr>
                    <w:t>NH</w:t>
                  </w:r>
                  <w:r>
                    <w:rPr>
                      <w:rFonts w:eastAsia="TimesNewRomanPSMT"/>
                      <w:strike w:val="0"/>
                      <w:dstrike w:val="0"/>
                      <w:color w:val="auto"/>
                      <w:sz w:val="14"/>
                      <w:highlight w:val="none"/>
                    </w:rPr>
                    <w:t>3</w:t>
                  </w:r>
                  <w:r>
                    <w:rPr>
                      <w:strike w:val="0"/>
                      <w:dstrike w:val="0"/>
                      <w:color w:val="auto"/>
                      <w:highlight w:val="none"/>
                    </w:rPr>
                    <w:t>、臭气浓度</w:t>
                  </w:r>
                </w:p>
              </w:tc>
              <w:tc>
                <w:tcPr>
                  <w:tcW w:w="2273" w:type="dxa"/>
                  <w:vAlign w:val="center"/>
                </w:tcPr>
                <w:p w14:paraId="05828EF9">
                  <w:pPr>
                    <w:widowControl/>
                    <w:jc w:val="center"/>
                    <w:rPr>
                      <w:strike w:val="0"/>
                      <w:dstrike w:val="0"/>
                      <w:color w:val="auto"/>
                      <w:kern w:val="0"/>
                      <w:szCs w:val="21"/>
                      <w:highlight w:val="none"/>
                    </w:rPr>
                  </w:pPr>
                  <w:r>
                    <w:rPr>
                      <w:strike w:val="0"/>
                      <w:dstrike w:val="0"/>
                      <w:color w:val="auto"/>
                      <w:szCs w:val="21"/>
                      <w:highlight w:val="none"/>
                    </w:rPr>
                    <w:t>引至绿化带排放</w:t>
                  </w:r>
                </w:p>
              </w:tc>
            </w:tr>
            <w:tr w14:paraId="742D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jc w:val="center"/>
              </w:trPr>
              <w:tc>
                <w:tcPr>
                  <w:tcW w:w="1125" w:type="dxa"/>
                  <w:gridSpan w:val="2"/>
                  <w:vMerge w:val="continue"/>
                  <w:vAlign w:val="center"/>
                </w:tcPr>
                <w:p w14:paraId="006AE985">
                  <w:pPr>
                    <w:widowControl/>
                    <w:jc w:val="center"/>
                    <w:rPr>
                      <w:strike w:val="0"/>
                      <w:dstrike w:val="0"/>
                      <w:color w:val="auto"/>
                      <w:kern w:val="0"/>
                      <w:szCs w:val="21"/>
                      <w:highlight w:val="none"/>
                    </w:rPr>
                  </w:pPr>
                </w:p>
              </w:tc>
              <w:tc>
                <w:tcPr>
                  <w:tcW w:w="730" w:type="dxa"/>
                  <w:vAlign w:val="center"/>
                </w:tcPr>
                <w:p w14:paraId="64C39B2A">
                  <w:pPr>
                    <w:widowControl/>
                    <w:jc w:val="center"/>
                    <w:rPr>
                      <w:strike w:val="0"/>
                      <w:dstrike w:val="0"/>
                      <w:color w:val="auto"/>
                      <w:kern w:val="0"/>
                      <w:szCs w:val="21"/>
                      <w:highlight w:val="none"/>
                    </w:rPr>
                  </w:pPr>
                  <w:r>
                    <w:rPr>
                      <w:rFonts w:hint="eastAsia"/>
                      <w:strike w:val="0"/>
                      <w:dstrike w:val="0"/>
                      <w:color w:val="auto"/>
                      <w:kern w:val="0"/>
                      <w:szCs w:val="21"/>
                      <w:highlight w:val="none"/>
                    </w:rPr>
                    <w:t>G9</w:t>
                  </w:r>
                </w:p>
              </w:tc>
              <w:tc>
                <w:tcPr>
                  <w:tcW w:w="987" w:type="dxa"/>
                  <w:vAlign w:val="center"/>
                </w:tcPr>
                <w:p w14:paraId="7CB7CE27">
                  <w:pPr>
                    <w:widowControl/>
                    <w:jc w:val="center"/>
                    <w:rPr>
                      <w:strike w:val="0"/>
                      <w:dstrike w:val="0"/>
                      <w:color w:val="auto"/>
                      <w:kern w:val="0"/>
                      <w:szCs w:val="21"/>
                      <w:highlight w:val="none"/>
                    </w:rPr>
                  </w:pPr>
                  <w:r>
                    <w:rPr>
                      <w:strike w:val="0"/>
                      <w:dstrike w:val="0"/>
                      <w:color w:val="auto"/>
                      <w:szCs w:val="21"/>
                      <w:highlight w:val="none"/>
                    </w:rPr>
                    <w:t>汽车尾气</w:t>
                  </w:r>
                </w:p>
              </w:tc>
              <w:tc>
                <w:tcPr>
                  <w:tcW w:w="1321" w:type="dxa"/>
                  <w:vAlign w:val="center"/>
                </w:tcPr>
                <w:p w14:paraId="679A556C">
                  <w:pPr>
                    <w:widowControl/>
                    <w:jc w:val="center"/>
                    <w:rPr>
                      <w:strike w:val="0"/>
                      <w:dstrike w:val="0"/>
                      <w:color w:val="auto"/>
                      <w:kern w:val="0"/>
                      <w:szCs w:val="21"/>
                      <w:highlight w:val="none"/>
                    </w:rPr>
                  </w:pPr>
                  <w:r>
                    <w:rPr>
                      <w:strike w:val="0"/>
                      <w:dstrike w:val="0"/>
                      <w:color w:val="auto"/>
                      <w:kern w:val="0"/>
                      <w:szCs w:val="21"/>
                      <w:highlight w:val="none"/>
                    </w:rPr>
                    <w:t>来往车辆</w:t>
                  </w:r>
                </w:p>
              </w:tc>
              <w:tc>
                <w:tcPr>
                  <w:tcW w:w="1279" w:type="dxa"/>
                  <w:vAlign w:val="center"/>
                </w:tcPr>
                <w:p w14:paraId="7859A846">
                  <w:pPr>
                    <w:widowControl/>
                    <w:jc w:val="center"/>
                    <w:rPr>
                      <w:strike w:val="0"/>
                      <w:dstrike w:val="0"/>
                      <w:color w:val="auto"/>
                      <w:kern w:val="0"/>
                      <w:szCs w:val="21"/>
                      <w:highlight w:val="none"/>
                    </w:rPr>
                  </w:pPr>
                  <w:r>
                    <w:rPr>
                      <w:rFonts w:eastAsia="TimesNewRomanPSMT"/>
                      <w:strike w:val="0"/>
                      <w:dstrike w:val="0"/>
                      <w:color w:val="auto"/>
                      <w:highlight w:val="none"/>
                    </w:rPr>
                    <w:t>HC</w:t>
                  </w:r>
                  <w:r>
                    <w:rPr>
                      <w:strike w:val="0"/>
                      <w:dstrike w:val="0"/>
                      <w:color w:val="auto"/>
                      <w:highlight w:val="none"/>
                    </w:rPr>
                    <w:t>、</w:t>
                  </w:r>
                  <w:r>
                    <w:rPr>
                      <w:rFonts w:eastAsia="TimesNewRomanPSMT"/>
                      <w:strike w:val="0"/>
                      <w:dstrike w:val="0"/>
                      <w:color w:val="auto"/>
                      <w:highlight w:val="none"/>
                    </w:rPr>
                    <w:t>CO</w:t>
                  </w:r>
                  <w:r>
                    <w:rPr>
                      <w:strike w:val="0"/>
                      <w:dstrike w:val="0"/>
                      <w:color w:val="auto"/>
                      <w:highlight w:val="none"/>
                    </w:rPr>
                    <w:t>、</w:t>
                  </w:r>
                  <w:r>
                    <w:rPr>
                      <w:rFonts w:eastAsia="TimesNewRomanPSMT"/>
                      <w:strike w:val="0"/>
                      <w:dstrike w:val="0"/>
                      <w:color w:val="auto"/>
                      <w:highlight w:val="none"/>
                    </w:rPr>
                    <w:t>NOx</w:t>
                  </w:r>
                </w:p>
              </w:tc>
              <w:tc>
                <w:tcPr>
                  <w:tcW w:w="2273" w:type="dxa"/>
                  <w:vAlign w:val="center"/>
                </w:tcPr>
                <w:p w14:paraId="1AF5AB06">
                  <w:pPr>
                    <w:widowControl/>
                    <w:jc w:val="center"/>
                    <w:rPr>
                      <w:strike w:val="0"/>
                      <w:dstrike w:val="0"/>
                      <w:color w:val="auto"/>
                      <w:kern w:val="0"/>
                      <w:szCs w:val="21"/>
                      <w:highlight w:val="none"/>
                    </w:rPr>
                  </w:pPr>
                  <w:r>
                    <w:rPr>
                      <w:strike w:val="0"/>
                      <w:dstrike w:val="0"/>
                      <w:color w:val="auto"/>
                      <w:kern w:val="0"/>
                      <w:szCs w:val="21"/>
                      <w:highlight w:val="none"/>
                    </w:rPr>
                    <w:t>/</w:t>
                  </w:r>
                </w:p>
              </w:tc>
            </w:tr>
            <w:tr w14:paraId="2F52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25" w:type="dxa"/>
                  <w:gridSpan w:val="2"/>
                  <w:vMerge w:val="restart"/>
                  <w:vAlign w:val="center"/>
                </w:tcPr>
                <w:p w14:paraId="545FEBB3">
                  <w:pPr>
                    <w:widowControl/>
                    <w:jc w:val="center"/>
                    <w:rPr>
                      <w:strike w:val="0"/>
                      <w:dstrike w:val="0"/>
                      <w:color w:val="auto"/>
                      <w:kern w:val="0"/>
                      <w:szCs w:val="21"/>
                      <w:highlight w:val="none"/>
                    </w:rPr>
                  </w:pPr>
                  <w:r>
                    <w:rPr>
                      <w:strike w:val="0"/>
                      <w:dstrike w:val="0"/>
                      <w:color w:val="auto"/>
                      <w:kern w:val="0"/>
                      <w:szCs w:val="21"/>
                      <w:highlight w:val="none"/>
                    </w:rPr>
                    <w:t>废水</w:t>
                  </w:r>
                </w:p>
              </w:tc>
              <w:tc>
                <w:tcPr>
                  <w:tcW w:w="730" w:type="dxa"/>
                  <w:vAlign w:val="center"/>
                </w:tcPr>
                <w:p w14:paraId="2C09D37B">
                  <w:pPr>
                    <w:widowControl/>
                    <w:jc w:val="center"/>
                    <w:rPr>
                      <w:strike w:val="0"/>
                      <w:dstrike w:val="0"/>
                      <w:color w:val="auto"/>
                      <w:kern w:val="0"/>
                      <w:szCs w:val="21"/>
                      <w:highlight w:val="none"/>
                    </w:rPr>
                  </w:pPr>
                  <w:r>
                    <w:rPr>
                      <w:strike w:val="0"/>
                      <w:dstrike w:val="0"/>
                      <w:color w:val="auto"/>
                      <w:kern w:val="0"/>
                      <w:szCs w:val="21"/>
                      <w:highlight w:val="none"/>
                    </w:rPr>
                    <w:t>W1</w:t>
                  </w:r>
                </w:p>
              </w:tc>
              <w:tc>
                <w:tcPr>
                  <w:tcW w:w="987" w:type="dxa"/>
                  <w:vAlign w:val="center"/>
                </w:tcPr>
                <w:p w14:paraId="0CF76B3B">
                  <w:pPr>
                    <w:widowControl/>
                    <w:jc w:val="center"/>
                    <w:rPr>
                      <w:strike w:val="0"/>
                      <w:dstrike w:val="0"/>
                      <w:color w:val="auto"/>
                      <w:kern w:val="0"/>
                      <w:szCs w:val="21"/>
                      <w:highlight w:val="none"/>
                    </w:rPr>
                  </w:pPr>
                  <w:r>
                    <w:rPr>
                      <w:strike w:val="0"/>
                      <w:dstrike w:val="0"/>
                      <w:color w:val="auto"/>
                      <w:kern w:val="0"/>
                      <w:szCs w:val="21"/>
                      <w:highlight w:val="none"/>
                    </w:rPr>
                    <w:t>场地冲洗废水</w:t>
                  </w:r>
                </w:p>
              </w:tc>
              <w:tc>
                <w:tcPr>
                  <w:tcW w:w="1321" w:type="dxa"/>
                  <w:vAlign w:val="center"/>
                </w:tcPr>
                <w:p w14:paraId="686FA72F">
                  <w:pPr>
                    <w:widowControl/>
                    <w:jc w:val="center"/>
                    <w:rPr>
                      <w:strike w:val="0"/>
                      <w:dstrike w:val="0"/>
                      <w:color w:val="auto"/>
                      <w:kern w:val="0"/>
                      <w:szCs w:val="21"/>
                      <w:highlight w:val="none"/>
                    </w:rPr>
                  </w:pPr>
                  <w:r>
                    <w:rPr>
                      <w:strike w:val="0"/>
                      <w:dstrike w:val="0"/>
                      <w:color w:val="auto"/>
                      <w:kern w:val="0"/>
                      <w:szCs w:val="21"/>
                      <w:highlight w:val="none"/>
                    </w:rPr>
                    <w:t>清洁地面</w:t>
                  </w:r>
                </w:p>
              </w:tc>
              <w:tc>
                <w:tcPr>
                  <w:tcW w:w="1279" w:type="dxa"/>
                  <w:vAlign w:val="center"/>
                </w:tcPr>
                <w:p w14:paraId="4A582781">
                  <w:pPr>
                    <w:widowControl/>
                    <w:jc w:val="center"/>
                    <w:rPr>
                      <w:strike w:val="0"/>
                      <w:dstrike w:val="0"/>
                      <w:color w:val="auto"/>
                      <w:kern w:val="0"/>
                      <w:szCs w:val="21"/>
                      <w:highlight w:val="none"/>
                    </w:rPr>
                  </w:pPr>
                  <w:r>
                    <w:rPr>
                      <w:strike w:val="0"/>
                      <w:dstrike w:val="0"/>
                      <w:color w:val="auto"/>
                      <w:kern w:val="0"/>
                      <w:szCs w:val="21"/>
                      <w:highlight w:val="none"/>
                    </w:rPr>
                    <w:t>SS、</w:t>
                  </w:r>
                  <w:r>
                    <w:rPr>
                      <w:strike w:val="0"/>
                      <w:dstrike w:val="0"/>
                      <w:color w:val="auto"/>
                      <w:szCs w:val="21"/>
                      <w:highlight w:val="none"/>
                    </w:rPr>
                    <w:t>石油类</w:t>
                  </w:r>
                </w:p>
              </w:tc>
              <w:tc>
                <w:tcPr>
                  <w:tcW w:w="2273" w:type="dxa"/>
                  <w:vMerge w:val="restart"/>
                  <w:vAlign w:val="center"/>
                </w:tcPr>
                <w:p w14:paraId="74D5F617">
                  <w:pPr>
                    <w:rPr>
                      <w:strike w:val="0"/>
                      <w:dstrike w:val="0"/>
                      <w:color w:val="auto"/>
                      <w:kern w:val="0"/>
                      <w:szCs w:val="21"/>
                      <w:highlight w:val="none"/>
                    </w:rPr>
                  </w:pPr>
                  <w:r>
                    <w:rPr>
                      <w:strike w:val="0"/>
                      <w:dstrike w:val="0"/>
                      <w:color w:val="auto"/>
                      <w:kern w:val="0"/>
                      <w:szCs w:val="21"/>
                      <w:highlight w:val="none"/>
                    </w:rPr>
                    <w:t>场地冲洗废水</w:t>
                  </w:r>
                  <w:r>
                    <w:rPr>
                      <w:strike w:val="0"/>
                      <w:dstrike w:val="0"/>
                      <w:color w:val="auto"/>
                      <w:szCs w:val="21"/>
                      <w:highlight w:val="none"/>
                    </w:rPr>
                    <w:t>经三段式隔油池处理，员工生活污水和过往驾乘人员生活污水经生化池处理；废水处理达</w:t>
                  </w:r>
                  <w:r>
                    <w:rPr>
                      <w:strike w:val="0"/>
                      <w:dstrike w:val="0"/>
                      <w:color w:val="auto"/>
                      <w:kern w:val="0"/>
                      <w:szCs w:val="21"/>
                      <w:highlight w:val="none"/>
                    </w:rPr>
                    <w:t>《污水综合排放标准》（GB8978-1996）三级标准（其中氨氮执行《污水排入城镇下水道水质标准》（GB/T31962-2015））后</w:t>
                  </w:r>
                  <w:r>
                    <w:rPr>
                      <w:strike w:val="0"/>
                      <w:dstrike w:val="0"/>
                      <w:color w:val="auto"/>
                      <w:szCs w:val="21"/>
                      <w:highlight w:val="none"/>
                    </w:rPr>
                    <w:t>经</w:t>
                  </w:r>
                  <w:r>
                    <w:rPr>
                      <w:rFonts w:hint="eastAsia"/>
                      <w:strike w:val="0"/>
                      <w:dstrike w:val="0"/>
                      <w:color w:val="auto"/>
                      <w:szCs w:val="21"/>
                      <w:highlight w:val="none"/>
                    </w:rPr>
                    <w:t>市政污水管网</w:t>
                  </w:r>
                  <w:r>
                    <w:rPr>
                      <w:strike w:val="0"/>
                      <w:dstrike w:val="0"/>
                      <w:color w:val="auto"/>
                      <w:szCs w:val="21"/>
                      <w:highlight w:val="none"/>
                    </w:rPr>
                    <w:t>排入</w:t>
                  </w:r>
                  <w:r>
                    <w:rPr>
                      <w:rFonts w:hint="eastAsia"/>
                      <w:strike w:val="0"/>
                      <w:dstrike w:val="0"/>
                      <w:color w:val="auto"/>
                      <w:szCs w:val="21"/>
                      <w:highlight w:val="none"/>
                      <w:lang w:eastAsia="zh-CN"/>
                    </w:rPr>
                    <w:t>微车基地污水处理厂</w:t>
                  </w:r>
                  <w:r>
                    <w:rPr>
                      <w:strike w:val="0"/>
                      <w:dstrike w:val="0"/>
                      <w:color w:val="auto"/>
                      <w:szCs w:val="21"/>
                      <w:highlight w:val="none"/>
                    </w:rPr>
                    <w:t>处理达《城镇污水处理</w:t>
                  </w:r>
                  <w:r>
                    <w:rPr>
                      <w:bCs/>
                      <w:strike w:val="0"/>
                      <w:dstrike w:val="0"/>
                      <w:color w:val="auto"/>
                      <w:szCs w:val="21"/>
                      <w:highlight w:val="none"/>
                    </w:rPr>
                    <w:t>厂污染物排放标准》(GB18918-2002)一级A标后排入柏水溪，最终汇入嘉陵江</w:t>
                  </w:r>
                </w:p>
              </w:tc>
            </w:tr>
            <w:tr w14:paraId="2BDD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25" w:type="dxa"/>
                  <w:gridSpan w:val="2"/>
                  <w:vMerge w:val="continue"/>
                  <w:vAlign w:val="center"/>
                </w:tcPr>
                <w:p w14:paraId="449AC861">
                  <w:pPr>
                    <w:widowControl/>
                    <w:jc w:val="center"/>
                    <w:rPr>
                      <w:strike w:val="0"/>
                      <w:dstrike w:val="0"/>
                      <w:color w:val="auto"/>
                      <w:szCs w:val="21"/>
                      <w:highlight w:val="none"/>
                    </w:rPr>
                  </w:pPr>
                </w:p>
              </w:tc>
              <w:tc>
                <w:tcPr>
                  <w:tcW w:w="730" w:type="dxa"/>
                  <w:vAlign w:val="center"/>
                </w:tcPr>
                <w:p w14:paraId="3698EC1C">
                  <w:pPr>
                    <w:widowControl/>
                    <w:jc w:val="center"/>
                    <w:rPr>
                      <w:strike w:val="0"/>
                      <w:dstrike w:val="0"/>
                      <w:color w:val="auto"/>
                      <w:kern w:val="0"/>
                      <w:szCs w:val="21"/>
                      <w:highlight w:val="none"/>
                    </w:rPr>
                  </w:pPr>
                  <w:r>
                    <w:rPr>
                      <w:strike w:val="0"/>
                      <w:dstrike w:val="0"/>
                      <w:color w:val="auto"/>
                      <w:kern w:val="0"/>
                      <w:szCs w:val="21"/>
                      <w:highlight w:val="none"/>
                    </w:rPr>
                    <w:t>W2</w:t>
                  </w:r>
                </w:p>
              </w:tc>
              <w:tc>
                <w:tcPr>
                  <w:tcW w:w="987" w:type="dxa"/>
                  <w:vAlign w:val="center"/>
                </w:tcPr>
                <w:p w14:paraId="6C9B4468">
                  <w:pPr>
                    <w:widowControl/>
                    <w:jc w:val="center"/>
                    <w:rPr>
                      <w:strike w:val="0"/>
                      <w:dstrike w:val="0"/>
                      <w:color w:val="auto"/>
                      <w:kern w:val="0"/>
                      <w:szCs w:val="21"/>
                      <w:highlight w:val="none"/>
                    </w:rPr>
                  </w:pPr>
                  <w:r>
                    <w:rPr>
                      <w:strike w:val="0"/>
                      <w:dstrike w:val="0"/>
                      <w:color w:val="auto"/>
                      <w:kern w:val="0"/>
                      <w:szCs w:val="21"/>
                      <w:highlight w:val="none"/>
                    </w:rPr>
                    <w:t>生活污水</w:t>
                  </w:r>
                </w:p>
              </w:tc>
              <w:tc>
                <w:tcPr>
                  <w:tcW w:w="1321" w:type="dxa"/>
                  <w:vAlign w:val="center"/>
                </w:tcPr>
                <w:p w14:paraId="21FC5DA3">
                  <w:pPr>
                    <w:widowControl/>
                    <w:jc w:val="center"/>
                    <w:rPr>
                      <w:strike w:val="0"/>
                      <w:dstrike w:val="0"/>
                      <w:color w:val="auto"/>
                      <w:kern w:val="0"/>
                      <w:szCs w:val="21"/>
                      <w:highlight w:val="none"/>
                    </w:rPr>
                  </w:pPr>
                  <w:r>
                    <w:rPr>
                      <w:strike w:val="0"/>
                      <w:dstrike w:val="0"/>
                      <w:color w:val="auto"/>
                      <w:kern w:val="0"/>
                      <w:szCs w:val="21"/>
                      <w:highlight w:val="none"/>
                    </w:rPr>
                    <w:t>职工生活、</w:t>
                  </w:r>
                  <w:r>
                    <w:rPr>
                      <w:strike w:val="0"/>
                      <w:dstrike w:val="0"/>
                      <w:color w:val="auto"/>
                      <w:szCs w:val="21"/>
                      <w:highlight w:val="none"/>
                    </w:rPr>
                    <w:t>过往驾乘人员生活</w:t>
                  </w:r>
                </w:p>
              </w:tc>
              <w:tc>
                <w:tcPr>
                  <w:tcW w:w="1279" w:type="dxa"/>
                  <w:vAlign w:val="center"/>
                </w:tcPr>
                <w:p w14:paraId="2B9DC66B">
                  <w:pPr>
                    <w:widowControl/>
                    <w:jc w:val="center"/>
                    <w:rPr>
                      <w:strike w:val="0"/>
                      <w:dstrike w:val="0"/>
                      <w:color w:val="auto"/>
                      <w:kern w:val="0"/>
                      <w:szCs w:val="21"/>
                      <w:highlight w:val="none"/>
                    </w:rPr>
                  </w:pPr>
                  <w:r>
                    <w:rPr>
                      <w:rFonts w:hint="eastAsia"/>
                      <w:b w:val="0"/>
                      <w:bCs/>
                      <w:strike w:val="0"/>
                      <w:dstrike w:val="0"/>
                      <w:color w:val="auto"/>
                      <w:szCs w:val="21"/>
                      <w:highlight w:val="none"/>
                      <w:lang w:val="en-US" w:eastAsia="zh-CN"/>
                    </w:rPr>
                    <w:t>pH、</w:t>
                  </w:r>
                  <w:r>
                    <w:rPr>
                      <w:b w:val="0"/>
                      <w:bCs/>
                      <w:strike w:val="0"/>
                      <w:dstrike w:val="0"/>
                      <w:color w:val="auto"/>
                      <w:kern w:val="0"/>
                      <w:szCs w:val="21"/>
                      <w:highlight w:val="none"/>
                    </w:rPr>
                    <w:t>COD、BOD</w:t>
                  </w:r>
                  <w:r>
                    <w:rPr>
                      <w:b w:val="0"/>
                      <w:bCs/>
                      <w:strike w:val="0"/>
                      <w:dstrike w:val="0"/>
                      <w:color w:val="auto"/>
                      <w:kern w:val="0"/>
                      <w:szCs w:val="21"/>
                      <w:highlight w:val="none"/>
                      <w:vertAlign w:val="subscript"/>
                    </w:rPr>
                    <w:t>5</w:t>
                  </w:r>
                  <w:r>
                    <w:rPr>
                      <w:b w:val="0"/>
                      <w:bCs/>
                      <w:strike w:val="0"/>
                      <w:dstrike w:val="0"/>
                      <w:color w:val="auto"/>
                      <w:kern w:val="0"/>
                      <w:szCs w:val="21"/>
                      <w:highlight w:val="none"/>
                    </w:rPr>
                    <w:t>、SS、氨氮</w:t>
                  </w:r>
                </w:p>
              </w:tc>
              <w:tc>
                <w:tcPr>
                  <w:tcW w:w="2273" w:type="dxa"/>
                  <w:vMerge w:val="continue"/>
                  <w:vAlign w:val="center"/>
                </w:tcPr>
                <w:p w14:paraId="1331BFD3">
                  <w:pPr>
                    <w:widowControl/>
                    <w:jc w:val="center"/>
                    <w:rPr>
                      <w:strike w:val="0"/>
                      <w:dstrike w:val="0"/>
                      <w:color w:val="auto"/>
                      <w:kern w:val="0"/>
                      <w:szCs w:val="21"/>
                      <w:highlight w:val="none"/>
                    </w:rPr>
                  </w:pPr>
                </w:p>
              </w:tc>
            </w:tr>
            <w:tr w14:paraId="1301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vMerge w:val="restart"/>
                  <w:vAlign w:val="center"/>
                </w:tcPr>
                <w:p w14:paraId="23C39038">
                  <w:pPr>
                    <w:widowControl/>
                    <w:jc w:val="center"/>
                    <w:rPr>
                      <w:strike w:val="0"/>
                      <w:dstrike w:val="0"/>
                      <w:color w:val="auto"/>
                      <w:kern w:val="0"/>
                      <w:szCs w:val="21"/>
                      <w:highlight w:val="none"/>
                    </w:rPr>
                  </w:pPr>
                  <w:r>
                    <w:rPr>
                      <w:strike w:val="0"/>
                      <w:dstrike w:val="0"/>
                      <w:color w:val="auto"/>
                      <w:kern w:val="0"/>
                      <w:szCs w:val="21"/>
                      <w:highlight w:val="none"/>
                    </w:rPr>
                    <w:t>固体废物</w:t>
                  </w:r>
                </w:p>
              </w:tc>
              <w:tc>
                <w:tcPr>
                  <w:tcW w:w="656" w:type="dxa"/>
                  <w:vMerge w:val="restart"/>
                  <w:vAlign w:val="center"/>
                </w:tcPr>
                <w:p w14:paraId="6FA139CA">
                  <w:pPr>
                    <w:widowControl/>
                    <w:jc w:val="center"/>
                    <w:rPr>
                      <w:strike w:val="0"/>
                      <w:dstrike w:val="0"/>
                      <w:color w:val="auto"/>
                      <w:kern w:val="0"/>
                      <w:szCs w:val="21"/>
                      <w:highlight w:val="none"/>
                    </w:rPr>
                  </w:pPr>
                  <w:r>
                    <w:rPr>
                      <w:strike w:val="0"/>
                      <w:dstrike w:val="0"/>
                      <w:color w:val="auto"/>
                      <w:kern w:val="0"/>
                      <w:szCs w:val="21"/>
                      <w:highlight w:val="none"/>
                    </w:rPr>
                    <w:t>一般工业固废</w:t>
                  </w:r>
                </w:p>
              </w:tc>
              <w:tc>
                <w:tcPr>
                  <w:tcW w:w="730" w:type="dxa"/>
                  <w:vAlign w:val="center"/>
                </w:tcPr>
                <w:p w14:paraId="635978CC">
                  <w:pPr>
                    <w:widowControl/>
                    <w:jc w:val="center"/>
                    <w:rPr>
                      <w:strike w:val="0"/>
                      <w:dstrike w:val="0"/>
                      <w:color w:val="auto"/>
                      <w:kern w:val="0"/>
                      <w:szCs w:val="21"/>
                      <w:highlight w:val="none"/>
                    </w:rPr>
                  </w:pPr>
                  <w:r>
                    <w:rPr>
                      <w:strike w:val="0"/>
                      <w:dstrike w:val="0"/>
                      <w:color w:val="auto"/>
                      <w:kern w:val="0"/>
                      <w:szCs w:val="21"/>
                      <w:highlight w:val="none"/>
                    </w:rPr>
                    <w:t>S3</w:t>
                  </w:r>
                </w:p>
              </w:tc>
              <w:tc>
                <w:tcPr>
                  <w:tcW w:w="987" w:type="dxa"/>
                  <w:vAlign w:val="center"/>
                </w:tcPr>
                <w:p w14:paraId="77D4F898">
                  <w:pPr>
                    <w:widowControl/>
                    <w:jc w:val="center"/>
                    <w:rPr>
                      <w:strike w:val="0"/>
                      <w:dstrike w:val="0"/>
                      <w:color w:val="auto"/>
                      <w:kern w:val="0"/>
                      <w:szCs w:val="21"/>
                      <w:highlight w:val="none"/>
                    </w:rPr>
                  </w:pPr>
                  <w:r>
                    <w:rPr>
                      <w:strike w:val="0"/>
                      <w:dstrike w:val="0"/>
                      <w:color w:val="auto"/>
                      <w:szCs w:val="21"/>
                      <w:highlight w:val="none"/>
                    </w:rPr>
                    <w:t>过滤</w:t>
                  </w:r>
                  <w:r>
                    <w:rPr>
                      <w:strike w:val="0"/>
                      <w:dstrike w:val="0"/>
                      <w:color w:val="auto"/>
                      <w:kern w:val="0"/>
                      <w:szCs w:val="21"/>
                      <w:highlight w:val="none"/>
                    </w:rPr>
                    <w:t>杂质</w:t>
                  </w:r>
                </w:p>
              </w:tc>
              <w:tc>
                <w:tcPr>
                  <w:tcW w:w="1321" w:type="dxa"/>
                  <w:vAlign w:val="center"/>
                </w:tcPr>
                <w:p w14:paraId="026E44A4">
                  <w:pPr>
                    <w:widowControl/>
                    <w:jc w:val="center"/>
                    <w:rPr>
                      <w:strike w:val="0"/>
                      <w:dstrike w:val="0"/>
                      <w:color w:val="auto"/>
                      <w:kern w:val="0"/>
                      <w:szCs w:val="21"/>
                      <w:highlight w:val="none"/>
                    </w:rPr>
                  </w:pPr>
                  <w:r>
                    <w:rPr>
                      <w:strike w:val="0"/>
                      <w:dstrike w:val="0"/>
                      <w:color w:val="auto"/>
                      <w:szCs w:val="21"/>
                      <w:highlight w:val="none"/>
                    </w:rPr>
                    <w:t>LNG调压撬过滤工段</w:t>
                  </w:r>
                </w:p>
              </w:tc>
              <w:tc>
                <w:tcPr>
                  <w:tcW w:w="1279" w:type="dxa"/>
                  <w:vAlign w:val="center"/>
                </w:tcPr>
                <w:p w14:paraId="2D1957A8">
                  <w:pPr>
                    <w:widowControl/>
                    <w:jc w:val="center"/>
                    <w:rPr>
                      <w:strike w:val="0"/>
                      <w:dstrike w:val="0"/>
                      <w:color w:val="auto"/>
                      <w:kern w:val="0"/>
                      <w:szCs w:val="21"/>
                      <w:highlight w:val="none"/>
                    </w:rPr>
                  </w:pPr>
                  <w:r>
                    <w:rPr>
                      <w:strike w:val="0"/>
                      <w:dstrike w:val="0"/>
                      <w:color w:val="auto"/>
                      <w:kern w:val="0"/>
                      <w:szCs w:val="21"/>
                      <w:highlight w:val="none"/>
                    </w:rPr>
                    <w:t>/</w:t>
                  </w:r>
                </w:p>
              </w:tc>
              <w:tc>
                <w:tcPr>
                  <w:tcW w:w="2273" w:type="dxa"/>
                  <w:vAlign w:val="center"/>
                </w:tcPr>
                <w:p w14:paraId="5D4F9E9C">
                  <w:pPr>
                    <w:jc w:val="left"/>
                    <w:rPr>
                      <w:strike w:val="0"/>
                      <w:dstrike w:val="0"/>
                      <w:color w:val="auto"/>
                      <w:kern w:val="0"/>
                      <w:szCs w:val="21"/>
                      <w:highlight w:val="none"/>
                    </w:rPr>
                  </w:pPr>
                  <w:r>
                    <w:rPr>
                      <w:strike w:val="0"/>
                      <w:dstrike w:val="0"/>
                      <w:color w:val="auto"/>
                      <w:szCs w:val="21"/>
                      <w:highlight w:val="none"/>
                    </w:rPr>
                    <w:t>交由环卫部门清运</w:t>
                  </w:r>
                </w:p>
              </w:tc>
            </w:tr>
            <w:tr w14:paraId="480A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vMerge w:val="continue"/>
                  <w:vAlign w:val="center"/>
                </w:tcPr>
                <w:p w14:paraId="47393C23">
                  <w:pPr>
                    <w:widowControl/>
                    <w:jc w:val="center"/>
                    <w:rPr>
                      <w:strike w:val="0"/>
                      <w:dstrike w:val="0"/>
                      <w:color w:val="auto"/>
                      <w:szCs w:val="21"/>
                      <w:highlight w:val="none"/>
                    </w:rPr>
                  </w:pPr>
                </w:p>
              </w:tc>
              <w:tc>
                <w:tcPr>
                  <w:tcW w:w="656" w:type="dxa"/>
                  <w:vMerge w:val="continue"/>
                  <w:vAlign w:val="center"/>
                </w:tcPr>
                <w:p w14:paraId="6119BAFC">
                  <w:pPr>
                    <w:widowControl/>
                    <w:jc w:val="center"/>
                    <w:rPr>
                      <w:strike w:val="0"/>
                      <w:dstrike w:val="0"/>
                      <w:color w:val="auto"/>
                      <w:szCs w:val="21"/>
                      <w:highlight w:val="none"/>
                    </w:rPr>
                  </w:pPr>
                </w:p>
              </w:tc>
              <w:tc>
                <w:tcPr>
                  <w:tcW w:w="730" w:type="dxa"/>
                  <w:vAlign w:val="center"/>
                </w:tcPr>
                <w:p w14:paraId="58206DFB">
                  <w:pPr>
                    <w:widowControl/>
                    <w:jc w:val="center"/>
                    <w:rPr>
                      <w:strike w:val="0"/>
                      <w:dstrike w:val="0"/>
                      <w:color w:val="auto"/>
                      <w:kern w:val="0"/>
                      <w:szCs w:val="21"/>
                      <w:highlight w:val="none"/>
                    </w:rPr>
                  </w:pPr>
                  <w:r>
                    <w:rPr>
                      <w:rFonts w:hint="eastAsia"/>
                      <w:strike w:val="0"/>
                      <w:dstrike w:val="0"/>
                      <w:color w:val="auto"/>
                      <w:kern w:val="0"/>
                      <w:szCs w:val="21"/>
                      <w:highlight w:val="none"/>
                    </w:rPr>
                    <w:t>S9</w:t>
                  </w:r>
                </w:p>
              </w:tc>
              <w:tc>
                <w:tcPr>
                  <w:tcW w:w="987" w:type="dxa"/>
                  <w:vAlign w:val="center"/>
                </w:tcPr>
                <w:p w14:paraId="34421E31">
                  <w:pPr>
                    <w:widowControl/>
                    <w:jc w:val="center"/>
                    <w:rPr>
                      <w:strike w:val="0"/>
                      <w:dstrike w:val="0"/>
                      <w:color w:val="auto"/>
                      <w:kern w:val="0"/>
                      <w:szCs w:val="21"/>
                      <w:highlight w:val="none"/>
                    </w:rPr>
                  </w:pPr>
                  <w:r>
                    <w:rPr>
                      <w:rStyle w:val="29"/>
                      <w:strike w:val="0"/>
                      <w:dstrike w:val="0"/>
                      <w:color w:val="auto"/>
                      <w:kern w:val="0"/>
                      <w:szCs w:val="21"/>
                      <w:highlight w:val="none"/>
                    </w:rPr>
                    <w:t>生化池污泥</w:t>
                  </w:r>
                </w:p>
              </w:tc>
              <w:tc>
                <w:tcPr>
                  <w:tcW w:w="1321" w:type="dxa"/>
                  <w:vAlign w:val="center"/>
                </w:tcPr>
                <w:p w14:paraId="378E8FC6">
                  <w:pPr>
                    <w:widowControl/>
                    <w:jc w:val="center"/>
                    <w:rPr>
                      <w:strike w:val="0"/>
                      <w:dstrike w:val="0"/>
                      <w:color w:val="auto"/>
                      <w:kern w:val="0"/>
                      <w:szCs w:val="21"/>
                      <w:highlight w:val="none"/>
                    </w:rPr>
                  </w:pPr>
                  <w:r>
                    <w:rPr>
                      <w:strike w:val="0"/>
                      <w:dstrike w:val="0"/>
                      <w:color w:val="auto"/>
                      <w:kern w:val="0"/>
                      <w:szCs w:val="21"/>
                      <w:highlight w:val="none"/>
                    </w:rPr>
                    <w:t>废水处理</w:t>
                  </w:r>
                </w:p>
              </w:tc>
              <w:tc>
                <w:tcPr>
                  <w:tcW w:w="1279" w:type="dxa"/>
                  <w:vAlign w:val="center"/>
                </w:tcPr>
                <w:p w14:paraId="5262D8BE">
                  <w:pPr>
                    <w:widowControl/>
                    <w:jc w:val="center"/>
                    <w:rPr>
                      <w:strike w:val="0"/>
                      <w:dstrike w:val="0"/>
                      <w:color w:val="auto"/>
                      <w:kern w:val="0"/>
                      <w:szCs w:val="21"/>
                      <w:highlight w:val="none"/>
                    </w:rPr>
                  </w:pPr>
                  <w:r>
                    <w:rPr>
                      <w:strike w:val="0"/>
                      <w:dstrike w:val="0"/>
                      <w:color w:val="auto"/>
                      <w:kern w:val="0"/>
                      <w:szCs w:val="21"/>
                      <w:highlight w:val="none"/>
                    </w:rPr>
                    <w:t>/</w:t>
                  </w:r>
                </w:p>
              </w:tc>
              <w:tc>
                <w:tcPr>
                  <w:tcW w:w="2273" w:type="dxa"/>
                  <w:vAlign w:val="center"/>
                </w:tcPr>
                <w:p w14:paraId="0219D578">
                  <w:pPr>
                    <w:jc w:val="left"/>
                    <w:rPr>
                      <w:strike w:val="0"/>
                      <w:dstrike w:val="0"/>
                      <w:color w:val="auto"/>
                      <w:kern w:val="0"/>
                      <w:szCs w:val="21"/>
                      <w:highlight w:val="none"/>
                    </w:rPr>
                  </w:pPr>
                  <w:r>
                    <w:rPr>
                      <w:strike w:val="0"/>
                      <w:dstrike w:val="0"/>
                      <w:color w:val="auto"/>
                      <w:szCs w:val="21"/>
                      <w:highlight w:val="none"/>
                    </w:rPr>
                    <w:t>交由环卫部门清运</w:t>
                  </w:r>
                </w:p>
              </w:tc>
            </w:tr>
            <w:tr w14:paraId="0EA4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69" w:type="dxa"/>
                  <w:vMerge w:val="continue"/>
                  <w:vAlign w:val="center"/>
                </w:tcPr>
                <w:p w14:paraId="46F9598D">
                  <w:pPr>
                    <w:jc w:val="center"/>
                    <w:rPr>
                      <w:strike w:val="0"/>
                      <w:dstrike w:val="0"/>
                      <w:color w:val="auto"/>
                      <w:szCs w:val="21"/>
                      <w:highlight w:val="none"/>
                    </w:rPr>
                  </w:pPr>
                </w:p>
              </w:tc>
              <w:tc>
                <w:tcPr>
                  <w:tcW w:w="656" w:type="dxa"/>
                  <w:vMerge w:val="restart"/>
                  <w:vAlign w:val="center"/>
                </w:tcPr>
                <w:p w14:paraId="3F2E39E9">
                  <w:pPr>
                    <w:widowControl/>
                    <w:jc w:val="center"/>
                    <w:rPr>
                      <w:strike w:val="0"/>
                      <w:dstrike w:val="0"/>
                      <w:color w:val="auto"/>
                      <w:kern w:val="0"/>
                      <w:szCs w:val="21"/>
                      <w:highlight w:val="none"/>
                    </w:rPr>
                  </w:pPr>
                  <w:r>
                    <w:rPr>
                      <w:strike w:val="0"/>
                      <w:dstrike w:val="0"/>
                      <w:color w:val="auto"/>
                      <w:kern w:val="0"/>
                      <w:szCs w:val="21"/>
                      <w:highlight w:val="none"/>
                    </w:rPr>
                    <w:t>危险废物</w:t>
                  </w:r>
                </w:p>
              </w:tc>
              <w:tc>
                <w:tcPr>
                  <w:tcW w:w="730" w:type="dxa"/>
                  <w:vAlign w:val="center"/>
                </w:tcPr>
                <w:p w14:paraId="7F39CDA2">
                  <w:pPr>
                    <w:widowControl/>
                    <w:jc w:val="center"/>
                    <w:rPr>
                      <w:strike w:val="0"/>
                      <w:dstrike w:val="0"/>
                      <w:color w:val="auto"/>
                      <w:kern w:val="0"/>
                      <w:szCs w:val="21"/>
                      <w:highlight w:val="none"/>
                    </w:rPr>
                  </w:pPr>
                  <w:r>
                    <w:rPr>
                      <w:strike w:val="0"/>
                      <w:dstrike w:val="0"/>
                      <w:color w:val="auto"/>
                      <w:szCs w:val="21"/>
                      <w:highlight w:val="none"/>
                    </w:rPr>
                    <w:t>S1</w:t>
                  </w:r>
                </w:p>
              </w:tc>
              <w:tc>
                <w:tcPr>
                  <w:tcW w:w="987" w:type="dxa"/>
                  <w:vAlign w:val="center"/>
                </w:tcPr>
                <w:p w14:paraId="39551062">
                  <w:pPr>
                    <w:widowControl/>
                    <w:jc w:val="center"/>
                    <w:rPr>
                      <w:strike w:val="0"/>
                      <w:dstrike w:val="0"/>
                      <w:color w:val="auto"/>
                      <w:kern w:val="0"/>
                      <w:szCs w:val="21"/>
                      <w:highlight w:val="none"/>
                    </w:rPr>
                  </w:pPr>
                  <w:r>
                    <w:rPr>
                      <w:strike w:val="0"/>
                      <w:dstrike w:val="0"/>
                      <w:color w:val="auto"/>
                      <w:szCs w:val="21"/>
                      <w:highlight w:val="none"/>
                    </w:rPr>
                    <w:t>清罐废物</w:t>
                  </w:r>
                </w:p>
              </w:tc>
              <w:tc>
                <w:tcPr>
                  <w:tcW w:w="1321" w:type="dxa"/>
                  <w:vAlign w:val="center"/>
                </w:tcPr>
                <w:p w14:paraId="74DD03C6">
                  <w:pPr>
                    <w:widowControl/>
                    <w:jc w:val="center"/>
                    <w:rPr>
                      <w:strike w:val="0"/>
                      <w:dstrike w:val="0"/>
                      <w:color w:val="auto"/>
                      <w:kern w:val="0"/>
                      <w:szCs w:val="21"/>
                      <w:highlight w:val="none"/>
                    </w:rPr>
                  </w:pPr>
                  <w:r>
                    <w:rPr>
                      <w:strike w:val="0"/>
                      <w:dstrike w:val="0"/>
                      <w:color w:val="auto"/>
                      <w:kern w:val="0"/>
                      <w:szCs w:val="21"/>
                      <w:highlight w:val="none"/>
                    </w:rPr>
                    <w:t>储油罐清罐</w:t>
                  </w:r>
                </w:p>
              </w:tc>
              <w:tc>
                <w:tcPr>
                  <w:tcW w:w="1279" w:type="dxa"/>
                  <w:vAlign w:val="center"/>
                </w:tcPr>
                <w:p w14:paraId="22E13A8F">
                  <w:pPr>
                    <w:widowControl/>
                    <w:jc w:val="center"/>
                    <w:rPr>
                      <w:strike w:val="0"/>
                      <w:dstrike w:val="0"/>
                      <w:color w:val="auto"/>
                      <w:kern w:val="0"/>
                      <w:szCs w:val="21"/>
                      <w:highlight w:val="none"/>
                    </w:rPr>
                  </w:pPr>
                  <w:r>
                    <w:rPr>
                      <w:strike w:val="0"/>
                      <w:dstrike w:val="0"/>
                      <w:color w:val="auto"/>
                      <w:kern w:val="0"/>
                      <w:szCs w:val="21"/>
                      <w:highlight w:val="none"/>
                    </w:rPr>
                    <w:t>/</w:t>
                  </w:r>
                </w:p>
              </w:tc>
              <w:tc>
                <w:tcPr>
                  <w:tcW w:w="2273" w:type="dxa"/>
                  <w:vMerge w:val="restart"/>
                  <w:vAlign w:val="center"/>
                </w:tcPr>
                <w:p w14:paraId="70C263CD">
                  <w:pPr>
                    <w:widowControl/>
                    <w:jc w:val="center"/>
                    <w:rPr>
                      <w:strike w:val="0"/>
                      <w:dstrike w:val="0"/>
                      <w:color w:val="auto"/>
                      <w:kern w:val="0"/>
                      <w:szCs w:val="21"/>
                      <w:highlight w:val="none"/>
                    </w:rPr>
                  </w:pPr>
                  <w:r>
                    <w:rPr>
                      <w:strike w:val="0"/>
                      <w:dstrike w:val="0"/>
                      <w:color w:val="auto"/>
                      <w:kern w:val="0"/>
                      <w:szCs w:val="21"/>
                      <w:highlight w:val="none"/>
                    </w:rPr>
                    <w:t>分类收集，定期交由有资质单位处置</w:t>
                  </w:r>
                </w:p>
              </w:tc>
            </w:tr>
            <w:tr w14:paraId="11A4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69" w:type="dxa"/>
                  <w:vMerge w:val="continue"/>
                  <w:vAlign w:val="center"/>
                </w:tcPr>
                <w:p w14:paraId="7B5BA3F5">
                  <w:pPr>
                    <w:widowControl/>
                    <w:jc w:val="center"/>
                    <w:rPr>
                      <w:strike w:val="0"/>
                      <w:dstrike w:val="0"/>
                      <w:color w:val="auto"/>
                      <w:szCs w:val="21"/>
                      <w:highlight w:val="none"/>
                    </w:rPr>
                  </w:pPr>
                </w:p>
              </w:tc>
              <w:tc>
                <w:tcPr>
                  <w:tcW w:w="656" w:type="dxa"/>
                  <w:vMerge w:val="continue"/>
                  <w:vAlign w:val="center"/>
                </w:tcPr>
                <w:p w14:paraId="78DCF2AD">
                  <w:pPr>
                    <w:widowControl/>
                    <w:jc w:val="center"/>
                    <w:rPr>
                      <w:strike w:val="0"/>
                      <w:dstrike w:val="0"/>
                      <w:color w:val="auto"/>
                      <w:szCs w:val="21"/>
                      <w:highlight w:val="none"/>
                    </w:rPr>
                  </w:pPr>
                </w:p>
              </w:tc>
              <w:tc>
                <w:tcPr>
                  <w:tcW w:w="730" w:type="dxa"/>
                  <w:vAlign w:val="center"/>
                </w:tcPr>
                <w:p w14:paraId="0B08C177">
                  <w:pPr>
                    <w:widowControl/>
                    <w:jc w:val="center"/>
                    <w:rPr>
                      <w:strike w:val="0"/>
                      <w:dstrike w:val="0"/>
                      <w:color w:val="auto"/>
                      <w:kern w:val="0"/>
                      <w:szCs w:val="21"/>
                      <w:highlight w:val="none"/>
                    </w:rPr>
                  </w:pPr>
                  <w:r>
                    <w:rPr>
                      <w:strike w:val="0"/>
                      <w:dstrike w:val="0"/>
                      <w:color w:val="auto"/>
                      <w:kern w:val="0"/>
                      <w:szCs w:val="21"/>
                      <w:highlight w:val="none"/>
                    </w:rPr>
                    <w:t>S2</w:t>
                  </w:r>
                </w:p>
              </w:tc>
              <w:tc>
                <w:tcPr>
                  <w:tcW w:w="987" w:type="dxa"/>
                  <w:vAlign w:val="center"/>
                </w:tcPr>
                <w:p w14:paraId="2BDFA0A5">
                  <w:pPr>
                    <w:widowControl/>
                    <w:jc w:val="center"/>
                    <w:rPr>
                      <w:strike w:val="0"/>
                      <w:dstrike w:val="0"/>
                      <w:color w:val="auto"/>
                      <w:szCs w:val="21"/>
                      <w:highlight w:val="none"/>
                    </w:rPr>
                  </w:pPr>
                  <w:r>
                    <w:rPr>
                      <w:strike w:val="0"/>
                      <w:dstrike w:val="0"/>
                      <w:color w:val="auto"/>
                      <w:szCs w:val="21"/>
                      <w:highlight w:val="none"/>
                    </w:rPr>
                    <w:t>检修废物</w:t>
                  </w:r>
                </w:p>
              </w:tc>
              <w:tc>
                <w:tcPr>
                  <w:tcW w:w="1321" w:type="dxa"/>
                  <w:vAlign w:val="center"/>
                </w:tcPr>
                <w:p w14:paraId="25C4E1EC">
                  <w:pPr>
                    <w:widowControl/>
                    <w:jc w:val="center"/>
                    <w:rPr>
                      <w:strike w:val="0"/>
                      <w:dstrike w:val="0"/>
                      <w:color w:val="auto"/>
                      <w:szCs w:val="21"/>
                      <w:highlight w:val="none"/>
                    </w:rPr>
                  </w:pPr>
                  <w:r>
                    <w:rPr>
                      <w:strike w:val="0"/>
                      <w:dstrike w:val="0"/>
                      <w:color w:val="auto"/>
                      <w:szCs w:val="21"/>
                      <w:highlight w:val="none"/>
                    </w:rPr>
                    <w:t>设备检修</w:t>
                  </w:r>
                </w:p>
              </w:tc>
              <w:tc>
                <w:tcPr>
                  <w:tcW w:w="1279" w:type="dxa"/>
                  <w:vAlign w:val="center"/>
                </w:tcPr>
                <w:p w14:paraId="409C314D">
                  <w:pPr>
                    <w:widowControl/>
                    <w:jc w:val="center"/>
                    <w:rPr>
                      <w:strike w:val="0"/>
                      <w:dstrike w:val="0"/>
                      <w:color w:val="auto"/>
                      <w:szCs w:val="21"/>
                      <w:highlight w:val="none"/>
                    </w:rPr>
                  </w:pPr>
                  <w:r>
                    <w:rPr>
                      <w:strike w:val="0"/>
                      <w:dstrike w:val="0"/>
                      <w:color w:val="auto"/>
                      <w:kern w:val="0"/>
                      <w:szCs w:val="21"/>
                      <w:highlight w:val="none"/>
                    </w:rPr>
                    <w:t>/</w:t>
                  </w:r>
                </w:p>
              </w:tc>
              <w:tc>
                <w:tcPr>
                  <w:tcW w:w="2273" w:type="dxa"/>
                  <w:vMerge w:val="continue"/>
                  <w:vAlign w:val="center"/>
                </w:tcPr>
                <w:p w14:paraId="3AFE6B54">
                  <w:pPr>
                    <w:widowControl/>
                    <w:jc w:val="center"/>
                    <w:rPr>
                      <w:strike w:val="0"/>
                      <w:dstrike w:val="0"/>
                      <w:color w:val="auto"/>
                      <w:szCs w:val="21"/>
                      <w:highlight w:val="none"/>
                    </w:rPr>
                  </w:pPr>
                </w:p>
              </w:tc>
            </w:tr>
            <w:tr w14:paraId="2FCD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69" w:type="dxa"/>
                  <w:vMerge w:val="continue"/>
                  <w:vAlign w:val="center"/>
                </w:tcPr>
                <w:p w14:paraId="6B34395C">
                  <w:pPr>
                    <w:widowControl/>
                    <w:jc w:val="center"/>
                    <w:rPr>
                      <w:strike w:val="0"/>
                      <w:dstrike w:val="0"/>
                      <w:color w:val="auto"/>
                      <w:szCs w:val="21"/>
                      <w:highlight w:val="none"/>
                    </w:rPr>
                  </w:pPr>
                </w:p>
              </w:tc>
              <w:tc>
                <w:tcPr>
                  <w:tcW w:w="656" w:type="dxa"/>
                  <w:vMerge w:val="continue"/>
                  <w:vAlign w:val="center"/>
                </w:tcPr>
                <w:p w14:paraId="71C49CAA">
                  <w:pPr>
                    <w:widowControl/>
                    <w:jc w:val="center"/>
                    <w:rPr>
                      <w:strike w:val="0"/>
                      <w:dstrike w:val="0"/>
                      <w:color w:val="auto"/>
                      <w:szCs w:val="21"/>
                      <w:highlight w:val="none"/>
                    </w:rPr>
                  </w:pPr>
                </w:p>
              </w:tc>
              <w:tc>
                <w:tcPr>
                  <w:tcW w:w="730" w:type="dxa"/>
                  <w:shd w:val="clear" w:color="auto" w:fill="auto"/>
                  <w:vAlign w:val="center"/>
                </w:tcPr>
                <w:p w14:paraId="4611A3E3">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S4</w:t>
                  </w:r>
                </w:p>
              </w:tc>
              <w:tc>
                <w:tcPr>
                  <w:tcW w:w="987" w:type="dxa"/>
                  <w:shd w:val="clear" w:color="auto" w:fill="auto"/>
                  <w:vAlign w:val="center"/>
                </w:tcPr>
                <w:p w14:paraId="44191B50">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szCs w:val="21"/>
                      <w:highlight w:val="none"/>
                    </w:rPr>
                    <w:t>废旧滤芯</w:t>
                  </w:r>
                </w:p>
              </w:tc>
              <w:tc>
                <w:tcPr>
                  <w:tcW w:w="1321" w:type="dxa"/>
                  <w:shd w:val="clear" w:color="auto" w:fill="auto"/>
                  <w:vAlign w:val="center"/>
                </w:tcPr>
                <w:p w14:paraId="373FB2CE">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szCs w:val="21"/>
                      <w:highlight w:val="none"/>
                    </w:rPr>
                    <w:t>LNG调压撬过滤工段</w:t>
                  </w:r>
                </w:p>
              </w:tc>
              <w:tc>
                <w:tcPr>
                  <w:tcW w:w="1279" w:type="dxa"/>
                  <w:shd w:val="clear" w:color="auto" w:fill="auto"/>
                  <w:vAlign w:val="center"/>
                </w:tcPr>
                <w:p w14:paraId="0D2599C6">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w:t>
                  </w:r>
                </w:p>
              </w:tc>
              <w:tc>
                <w:tcPr>
                  <w:tcW w:w="2273" w:type="dxa"/>
                  <w:vMerge w:val="continue"/>
                  <w:vAlign w:val="center"/>
                </w:tcPr>
                <w:p w14:paraId="13EBAF0A">
                  <w:pPr>
                    <w:widowControl/>
                    <w:jc w:val="center"/>
                    <w:rPr>
                      <w:strike w:val="0"/>
                      <w:dstrike w:val="0"/>
                      <w:color w:val="auto"/>
                      <w:szCs w:val="21"/>
                      <w:highlight w:val="none"/>
                    </w:rPr>
                  </w:pPr>
                </w:p>
              </w:tc>
            </w:tr>
            <w:tr w14:paraId="01CF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vMerge w:val="continue"/>
                  <w:vAlign w:val="center"/>
                </w:tcPr>
                <w:p w14:paraId="1030386E">
                  <w:pPr>
                    <w:widowControl/>
                    <w:jc w:val="center"/>
                    <w:rPr>
                      <w:strike w:val="0"/>
                      <w:dstrike w:val="0"/>
                      <w:color w:val="auto"/>
                      <w:kern w:val="0"/>
                      <w:szCs w:val="21"/>
                      <w:highlight w:val="none"/>
                    </w:rPr>
                  </w:pPr>
                </w:p>
              </w:tc>
              <w:tc>
                <w:tcPr>
                  <w:tcW w:w="656" w:type="dxa"/>
                  <w:vMerge w:val="continue"/>
                  <w:vAlign w:val="center"/>
                </w:tcPr>
                <w:p w14:paraId="56C80175">
                  <w:pPr>
                    <w:widowControl/>
                    <w:jc w:val="center"/>
                    <w:rPr>
                      <w:strike w:val="0"/>
                      <w:dstrike w:val="0"/>
                      <w:color w:val="auto"/>
                      <w:kern w:val="0"/>
                      <w:szCs w:val="21"/>
                      <w:highlight w:val="none"/>
                    </w:rPr>
                  </w:pPr>
                </w:p>
              </w:tc>
              <w:tc>
                <w:tcPr>
                  <w:tcW w:w="730" w:type="dxa"/>
                  <w:vAlign w:val="center"/>
                </w:tcPr>
                <w:p w14:paraId="104E899C">
                  <w:pPr>
                    <w:widowControl/>
                    <w:jc w:val="center"/>
                    <w:rPr>
                      <w:strike w:val="0"/>
                      <w:dstrike w:val="0"/>
                      <w:color w:val="auto"/>
                      <w:kern w:val="0"/>
                      <w:szCs w:val="21"/>
                      <w:highlight w:val="none"/>
                    </w:rPr>
                  </w:pPr>
                  <w:r>
                    <w:rPr>
                      <w:strike w:val="0"/>
                      <w:dstrike w:val="0"/>
                      <w:color w:val="auto"/>
                      <w:kern w:val="0"/>
                      <w:szCs w:val="21"/>
                      <w:highlight w:val="none"/>
                    </w:rPr>
                    <w:t>S5</w:t>
                  </w:r>
                </w:p>
              </w:tc>
              <w:tc>
                <w:tcPr>
                  <w:tcW w:w="987" w:type="dxa"/>
                  <w:vAlign w:val="center"/>
                </w:tcPr>
                <w:p w14:paraId="258F892A">
                  <w:pPr>
                    <w:widowControl/>
                    <w:jc w:val="center"/>
                    <w:rPr>
                      <w:strike w:val="0"/>
                      <w:dstrike w:val="0"/>
                      <w:color w:val="auto"/>
                      <w:kern w:val="0"/>
                      <w:szCs w:val="21"/>
                      <w:highlight w:val="none"/>
                    </w:rPr>
                  </w:pPr>
                  <w:r>
                    <w:rPr>
                      <w:rFonts w:hint="eastAsia"/>
                      <w:strike w:val="0"/>
                      <w:dstrike w:val="0"/>
                      <w:color w:val="auto"/>
                      <w:kern w:val="0"/>
                      <w:szCs w:val="21"/>
                      <w:highlight w:val="none"/>
                    </w:rPr>
                    <w:t>油/水混合物（空压机）</w:t>
                  </w:r>
                </w:p>
              </w:tc>
              <w:tc>
                <w:tcPr>
                  <w:tcW w:w="1321" w:type="dxa"/>
                  <w:vAlign w:val="center"/>
                </w:tcPr>
                <w:p w14:paraId="16C991B5">
                  <w:pPr>
                    <w:widowControl/>
                    <w:jc w:val="center"/>
                    <w:rPr>
                      <w:strike w:val="0"/>
                      <w:dstrike w:val="0"/>
                      <w:color w:val="auto"/>
                      <w:kern w:val="0"/>
                      <w:szCs w:val="21"/>
                      <w:highlight w:val="none"/>
                    </w:rPr>
                  </w:pPr>
                  <w:r>
                    <w:rPr>
                      <w:strike w:val="0"/>
                      <w:dstrike w:val="0"/>
                      <w:color w:val="auto"/>
                      <w:kern w:val="0"/>
                      <w:szCs w:val="21"/>
                      <w:highlight w:val="none"/>
                    </w:rPr>
                    <w:t>空压系统</w:t>
                  </w:r>
                </w:p>
              </w:tc>
              <w:tc>
                <w:tcPr>
                  <w:tcW w:w="1279" w:type="dxa"/>
                  <w:vAlign w:val="center"/>
                </w:tcPr>
                <w:p w14:paraId="1A81251C">
                  <w:pPr>
                    <w:widowControl/>
                    <w:jc w:val="center"/>
                    <w:rPr>
                      <w:strike w:val="0"/>
                      <w:dstrike w:val="0"/>
                      <w:color w:val="auto"/>
                      <w:kern w:val="0"/>
                      <w:szCs w:val="21"/>
                      <w:highlight w:val="none"/>
                    </w:rPr>
                  </w:pPr>
                  <w:r>
                    <w:rPr>
                      <w:strike w:val="0"/>
                      <w:dstrike w:val="0"/>
                      <w:color w:val="auto"/>
                      <w:kern w:val="0"/>
                      <w:szCs w:val="21"/>
                      <w:highlight w:val="none"/>
                    </w:rPr>
                    <w:t>/</w:t>
                  </w:r>
                </w:p>
              </w:tc>
              <w:tc>
                <w:tcPr>
                  <w:tcW w:w="2273" w:type="dxa"/>
                  <w:vMerge w:val="continue"/>
                  <w:vAlign w:val="center"/>
                </w:tcPr>
                <w:p w14:paraId="7B98B227">
                  <w:pPr>
                    <w:widowControl/>
                    <w:jc w:val="center"/>
                    <w:rPr>
                      <w:strike w:val="0"/>
                      <w:dstrike w:val="0"/>
                      <w:color w:val="auto"/>
                      <w:kern w:val="0"/>
                      <w:szCs w:val="21"/>
                      <w:highlight w:val="none"/>
                    </w:rPr>
                  </w:pPr>
                </w:p>
              </w:tc>
            </w:tr>
            <w:tr w14:paraId="235B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69" w:type="dxa"/>
                  <w:vMerge w:val="continue"/>
                  <w:vAlign w:val="center"/>
                </w:tcPr>
                <w:p w14:paraId="19321487">
                  <w:pPr>
                    <w:widowControl/>
                    <w:jc w:val="center"/>
                    <w:rPr>
                      <w:strike w:val="0"/>
                      <w:dstrike w:val="0"/>
                      <w:color w:val="auto"/>
                      <w:szCs w:val="21"/>
                      <w:highlight w:val="none"/>
                    </w:rPr>
                  </w:pPr>
                </w:p>
              </w:tc>
              <w:tc>
                <w:tcPr>
                  <w:tcW w:w="656" w:type="dxa"/>
                  <w:vMerge w:val="continue"/>
                  <w:vAlign w:val="center"/>
                </w:tcPr>
                <w:p w14:paraId="7DD3F235">
                  <w:pPr>
                    <w:widowControl/>
                    <w:jc w:val="center"/>
                    <w:rPr>
                      <w:strike w:val="0"/>
                      <w:dstrike w:val="0"/>
                      <w:color w:val="auto"/>
                      <w:szCs w:val="21"/>
                      <w:highlight w:val="none"/>
                    </w:rPr>
                  </w:pPr>
                </w:p>
              </w:tc>
              <w:tc>
                <w:tcPr>
                  <w:tcW w:w="730" w:type="dxa"/>
                  <w:vAlign w:val="center"/>
                </w:tcPr>
                <w:p w14:paraId="19551C93">
                  <w:pPr>
                    <w:widowControl/>
                    <w:jc w:val="center"/>
                    <w:rPr>
                      <w:strike w:val="0"/>
                      <w:dstrike w:val="0"/>
                      <w:color w:val="auto"/>
                      <w:kern w:val="0"/>
                      <w:szCs w:val="21"/>
                      <w:highlight w:val="none"/>
                    </w:rPr>
                  </w:pPr>
                  <w:r>
                    <w:rPr>
                      <w:strike w:val="0"/>
                      <w:dstrike w:val="0"/>
                      <w:color w:val="auto"/>
                      <w:kern w:val="0"/>
                      <w:szCs w:val="21"/>
                      <w:highlight w:val="none"/>
                    </w:rPr>
                    <w:t>S6</w:t>
                  </w:r>
                </w:p>
              </w:tc>
              <w:tc>
                <w:tcPr>
                  <w:tcW w:w="987" w:type="dxa"/>
                  <w:vAlign w:val="center"/>
                </w:tcPr>
                <w:p w14:paraId="572FCB2D">
                  <w:pPr>
                    <w:widowControl/>
                    <w:jc w:val="center"/>
                    <w:rPr>
                      <w:strike w:val="0"/>
                      <w:dstrike w:val="0"/>
                      <w:color w:val="auto"/>
                      <w:kern w:val="0"/>
                      <w:szCs w:val="21"/>
                      <w:highlight w:val="none"/>
                    </w:rPr>
                  </w:pPr>
                  <w:r>
                    <w:rPr>
                      <w:strike w:val="0"/>
                      <w:dstrike w:val="0"/>
                      <w:color w:val="auto"/>
                      <w:kern w:val="0"/>
                      <w:szCs w:val="21"/>
                      <w:highlight w:val="none"/>
                    </w:rPr>
                    <w:t>废空压机油</w:t>
                  </w:r>
                </w:p>
              </w:tc>
              <w:tc>
                <w:tcPr>
                  <w:tcW w:w="1321" w:type="dxa"/>
                  <w:vAlign w:val="center"/>
                </w:tcPr>
                <w:p w14:paraId="714EE89B">
                  <w:pPr>
                    <w:widowControl/>
                    <w:jc w:val="center"/>
                    <w:rPr>
                      <w:strike w:val="0"/>
                      <w:dstrike w:val="0"/>
                      <w:color w:val="auto"/>
                      <w:kern w:val="0"/>
                      <w:szCs w:val="21"/>
                      <w:highlight w:val="none"/>
                    </w:rPr>
                  </w:pPr>
                  <w:r>
                    <w:rPr>
                      <w:strike w:val="0"/>
                      <w:dstrike w:val="0"/>
                      <w:color w:val="auto"/>
                      <w:kern w:val="0"/>
                      <w:szCs w:val="21"/>
                      <w:highlight w:val="none"/>
                    </w:rPr>
                    <w:t>空压机保养</w:t>
                  </w:r>
                </w:p>
              </w:tc>
              <w:tc>
                <w:tcPr>
                  <w:tcW w:w="1279" w:type="dxa"/>
                  <w:vAlign w:val="center"/>
                </w:tcPr>
                <w:p w14:paraId="2C5C479C">
                  <w:pPr>
                    <w:widowControl/>
                    <w:jc w:val="center"/>
                    <w:rPr>
                      <w:strike w:val="0"/>
                      <w:dstrike w:val="0"/>
                      <w:color w:val="auto"/>
                      <w:kern w:val="0"/>
                      <w:szCs w:val="21"/>
                      <w:highlight w:val="none"/>
                    </w:rPr>
                  </w:pPr>
                  <w:r>
                    <w:rPr>
                      <w:strike w:val="0"/>
                      <w:dstrike w:val="0"/>
                      <w:color w:val="auto"/>
                      <w:kern w:val="0"/>
                      <w:szCs w:val="21"/>
                      <w:highlight w:val="none"/>
                    </w:rPr>
                    <w:t>/</w:t>
                  </w:r>
                </w:p>
              </w:tc>
              <w:tc>
                <w:tcPr>
                  <w:tcW w:w="2273" w:type="dxa"/>
                  <w:vMerge w:val="continue"/>
                  <w:vAlign w:val="center"/>
                </w:tcPr>
                <w:p w14:paraId="2FC919E6">
                  <w:pPr>
                    <w:widowControl/>
                    <w:jc w:val="center"/>
                    <w:rPr>
                      <w:strike w:val="0"/>
                      <w:dstrike w:val="0"/>
                      <w:color w:val="auto"/>
                      <w:kern w:val="0"/>
                      <w:szCs w:val="21"/>
                      <w:highlight w:val="none"/>
                    </w:rPr>
                  </w:pPr>
                </w:p>
              </w:tc>
            </w:tr>
            <w:tr w14:paraId="4FD7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69" w:type="dxa"/>
                  <w:vMerge w:val="continue"/>
                  <w:vAlign w:val="center"/>
                </w:tcPr>
                <w:p w14:paraId="6787F018">
                  <w:pPr>
                    <w:widowControl/>
                    <w:jc w:val="center"/>
                    <w:rPr>
                      <w:strike w:val="0"/>
                      <w:dstrike w:val="0"/>
                      <w:color w:val="auto"/>
                      <w:highlight w:val="none"/>
                    </w:rPr>
                  </w:pPr>
                </w:p>
              </w:tc>
              <w:tc>
                <w:tcPr>
                  <w:tcW w:w="656" w:type="dxa"/>
                  <w:vMerge w:val="continue"/>
                  <w:vAlign w:val="center"/>
                </w:tcPr>
                <w:p w14:paraId="60163A5D">
                  <w:pPr>
                    <w:widowControl/>
                    <w:jc w:val="center"/>
                    <w:rPr>
                      <w:strike w:val="0"/>
                      <w:dstrike w:val="0"/>
                      <w:color w:val="auto"/>
                      <w:highlight w:val="none"/>
                    </w:rPr>
                  </w:pPr>
                </w:p>
              </w:tc>
              <w:tc>
                <w:tcPr>
                  <w:tcW w:w="730" w:type="dxa"/>
                  <w:shd w:val="clear" w:color="auto" w:fill="auto"/>
                  <w:vAlign w:val="center"/>
                </w:tcPr>
                <w:p w14:paraId="136D80E3">
                  <w:pPr>
                    <w:widowControl/>
                    <w:jc w:val="center"/>
                    <w:rPr>
                      <w:strike w:val="0"/>
                      <w:dstrike w:val="0"/>
                      <w:color w:val="auto"/>
                      <w:kern w:val="0"/>
                      <w:szCs w:val="21"/>
                      <w:highlight w:val="none"/>
                    </w:rPr>
                  </w:pPr>
                  <w:r>
                    <w:rPr>
                      <w:strike w:val="0"/>
                      <w:dstrike w:val="0"/>
                      <w:color w:val="auto"/>
                      <w:kern w:val="0"/>
                      <w:szCs w:val="21"/>
                      <w:highlight w:val="none"/>
                    </w:rPr>
                    <w:t>S</w:t>
                  </w:r>
                  <w:r>
                    <w:rPr>
                      <w:rFonts w:hint="eastAsia"/>
                      <w:strike w:val="0"/>
                      <w:dstrike w:val="0"/>
                      <w:color w:val="auto"/>
                      <w:kern w:val="0"/>
                      <w:szCs w:val="21"/>
                      <w:highlight w:val="none"/>
                    </w:rPr>
                    <w:t>7</w:t>
                  </w:r>
                </w:p>
              </w:tc>
              <w:tc>
                <w:tcPr>
                  <w:tcW w:w="987" w:type="dxa"/>
                  <w:shd w:val="clear" w:color="auto" w:fill="auto"/>
                  <w:vAlign w:val="center"/>
                </w:tcPr>
                <w:p w14:paraId="37A5F6A1">
                  <w:pPr>
                    <w:widowControl/>
                    <w:jc w:val="center"/>
                    <w:rPr>
                      <w:strike w:val="0"/>
                      <w:dstrike w:val="0"/>
                      <w:color w:val="auto"/>
                      <w:kern w:val="0"/>
                      <w:szCs w:val="21"/>
                      <w:highlight w:val="none"/>
                    </w:rPr>
                  </w:pPr>
                  <w:r>
                    <w:rPr>
                      <w:strike w:val="0"/>
                      <w:dstrike w:val="0"/>
                      <w:color w:val="auto"/>
                      <w:kern w:val="0"/>
                      <w:szCs w:val="21"/>
                      <w:highlight w:val="none"/>
                    </w:rPr>
                    <w:t>废</w:t>
                  </w:r>
                  <w:r>
                    <w:rPr>
                      <w:rFonts w:hint="eastAsia"/>
                      <w:strike w:val="0"/>
                      <w:dstrike w:val="0"/>
                      <w:color w:val="auto"/>
                      <w:kern w:val="0"/>
                      <w:szCs w:val="21"/>
                      <w:highlight w:val="none"/>
                    </w:rPr>
                    <w:t>油桶</w:t>
                  </w:r>
                </w:p>
              </w:tc>
              <w:tc>
                <w:tcPr>
                  <w:tcW w:w="1321" w:type="dxa"/>
                  <w:shd w:val="clear" w:color="auto" w:fill="auto"/>
                  <w:vAlign w:val="center"/>
                </w:tcPr>
                <w:p w14:paraId="65A0B148">
                  <w:pPr>
                    <w:widowControl/>
                    <w:jc w:val="center"/>
                    <w:rPr>
                      <w:strike w:val="0"/>
                      <w:dstrike w:val="0"/>
                      <w:color w:val="auto"/>
                      <w:szCs w:val="21"/>
                      <w:highlight w:val="none"/>
                    </w:rPr>
                  </w:pPr>
                  <w:r>
                    <w:rPr>
                      <w:strike w:val="0"/>
                      <w:dstrike w:val="0"/>
                      <w:color w:val="auto"/>
                      <w:szCs w:val="21"/>
                      <w:highlight w:val="none"/>
                    </w:rPr>
                    <w:t>设备检修</w:t>
                  </w:r>
                  <w:r>
                    <w:rPr>
                      <w:rFonts w:hint="eastAsia"/>
                      <w:strike w:val="0"/>
                      <w:dstrike w:val="0"/>
                      <w:color w:val="auto"/>
                      <w:szCs w:val="21"/>
                      <w:highlight w:val="none"/>
                    </w:rPr>
                    <w:t>保养</w:t>
                  </w:r>
                </w:p>
              </w:tc>
              <w:tc>
                <w:tcPr>
                  <w:tcW w:w="1279" w:type="dxa"/>
                  <w:shd w:val="clear" w:color="auto" w:fill="auto"/>
                  <w:vAlign w:val="center"/>
                </w:tcPr>
                <w:p w14:paraId="121AF62D">
                  <w:pPr>
                    <w:widowControl/>
                    <w:jc w:val="center"/>
                    <w:rPr>
                      <w:strike w:val="0"/>
                      <w:dstrike w:val="0"/>
                      <w:color w:val="auto"/>
                      <w:kern w:val="0"/>
                      <w:szCs w:val="21"/>
                      <w:highlight w:val="none"/>
                    </w:rPr>
                  </w:pPr>
                  <w:r>
                    <w:rPr>
                      <w:strike w:val="0"/>
                      <w:dstrike w:val="0"/>
                      <w:color w:val="auto"/>
                      <w:kern w:val="0"/>
                      <w:szCs w:val="21"/>
                      <w:highlight w:val="none"/>
                    </w:rPr>
                    <w:t>/</w:t>
                  </w:r>
                </w:p>
              </w:tc>
              <w:tc>
                <w:tcPr>
                  <w:tcW w:w="2273" w:type="dxa"/>
                  <w:vMerge w:val="continue"/>
                  <w:vAlign w:val="center"/>
                </w:tcPr>
                <w:p w14:paraId="10A4C85F">
                  <w:pPr>
                    <w:widowControl/>
                    <w:jc w:val="center"/>
                    <w:rPr>
                      <w:strike w:val="0"/>
                      <w:dstrike w:val="0"/>
                      <w:color w:val="auto"/>
                      <w:kern w:val="0"/>
                      <w:szCs w:val="21"/>
                      <w:highlight w:val="none"/>
                    </w:rPr>
                  </w:pPr>
                </w:p>
              </w:tc>
            </w:tr>
            <w:tr w14:paraId="1A0A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vMerge w:val="continue"/>
                  <w:vAlign w:val="center"/>
                </w:tcPr>
                <w:p w14:paraId="575BDB3B">
                  <w:pPr>
                    <w:widowControl/>
                    <w:jc w:val="center"/>
                    <w:rPr>
                      <w:strike w:val="0"/>
                      <w:dstrike w:val="0"/>
                      <w:color w:val="auto"/>
                      <w:szCs w:val="21"/>
                      <w:highlight w:val="none"/>
                    </w:rPr>
                  </w:pPr>
                </w:p>
              </w:tc>
              <w:tc>
                <w:tcPr>
                  <w:tcW w:w="656" w:type="dxa"/>
                  <w:vMerge w:val="continue"/>
                  <w:vAlign w:val="center"/>
                </w:tcPr>
                <w:p w14:paraId="4957CE09">
                  <w:pPr>
                    <w:widowControl/>
                    <w:jc w:val="center"/>
                    <w:rPr>
                      <w:strike w:val="0"/>
                      <w:dstrike w:val="0"/>
                      <w:color w:val="auto"/>
                      <w:szCs w:val="21"/>
                      <w:highlight w:val="none"/>
                    </w:rPr>
                  </w:pPr>
                </w:p>
              </w:tc>
              <w:tc>
                <w:tcPr>
                  <w:tcW w:w="730" w:type="dxa"/>
                  <w:vAlign w:val="center"/>
                </w:tcPr>
                <w:p w14:paraId="6099B946">
                  <w:pPr>
                    <w:widowControl/>
                    <w:jc w:val="center"/>
                    <w:rPr>
                      <w:strike w:val="0"/>
                      <w:dstrike w:val="0"/>
                      <w:color w:val="auto"/>
                      <w:kern w:val="0"/>
                      <w:szCs w:val="21"/>
                      <w:highlight w:val="none"/>
                    </w:rPr>
                  </w:pPr>
                  <w:r>
                    <w:rPr>
                      <w:rFonts w:hint="eastAsia"/>
                      <w:strike w:val="0"/>
                      <w:dstrike w:val="0"/>
                      <w:color w:val="auto"/>
                      <w:kern w:val="0"/>
                      <w:szCs w:val="21"/>
                      <w:highlight w:val="none"/>
                    </w:rPr>
                    <w:t>S8</w:t>
                  </w:r>
                </w:p>
              </w:tc>
              <w:tc>
                <w:tcPr>
                  <w:tcW w:w="987" w:type="dxa"/>
                  <w:vAlign w:val="center"/>
                </w:tcPr>
                <w:p w14:paraId="595F855D">
                  <w:pPr>
                    <w:widowControl/>
                    <w:jc w:val="center"/>
                    <w:rPr>
                      <w:strike w:val="0"/>
                      <w:dstrike w:val="0"/>
                      <w:color w:val="auto"/>
                      <w:kern w:val="0"/>
                      <w:szCs w:val="21"/>
                      <w:highlight w:val="none"/>
                    </w:rPr>
                  </w:pPr>
                  <w:r>
                    <w:rPr>
                      <w:strike w:val="0"/>
                      <w:dstrike w:val="0"/>
                      <w:color w:val="auto"/>
                      <w:kern w:val="0"/>
                      <w:szCs w:val="21"/>
                      <w:highlight w:val="none"/>
                    </w:rPr>
                    <w:t>含油污泥</w:t>
                  </w:r>
                </w:p>
              </w:tc>
              <w:tc>
                <w:tcPr>
                  <w:tcW w:w="1321" w:type="dxa"/>
                  <w:vAlign w:val="center"/>
                </w:tcPr>
                <w:p w14:paraId="5CEDB9DB">
                  <w:pPr>
                    <w:widowControl/>
                    <w:jc w:val="center"/>
                    <w:rPr>
                      <w:strike w:val="0"/>
                      <w:dstrike w:val="0"/>
                      <w:color w:val="auto"/>
                      <w:kern w:val="0"/>
                      <w:szCs w:val="21"/>
                      <w:highlight w:val="none"/>
                    </w:rPr>
                  </w:pPr>
                  <w:r>
                    <w:rPr>
                      <w:strike w:val="0"/>
                      <w:dstrike w:val="0"/>
                      <w:color w:val="auto"/>
                      <w:kern w:val="0"/>
                      <w:szCs w:val="21"/>
                      <w:highlight w:val="none"/>
                    </w:rPr>
                    <w:t>废水处理</w:t>
                  </w:r>
                </w:p>
              </w:tc>
              <w:tc>
                <w:tcPr>
                  <w:tcW w:w="1279" w:type="dxa"/>
                  <w:vAlign w:val="center"/>
                </w:tcPr>
                <w:p w14:paraId="6A69F70E">
                  <w:pPr>
                    <w:widowControl/>
                    <w:jc w:val="center"/>
                    <w:rPr>
                      <w:strike w:val="0"/>
                      <w:dstrike w:val="0"/>
                      <w:color w:val="auto"/>
                      <w:kern w:val="0"/>
                      <w:szCs w:val="21"/>
                      <w:highlight w:val="none"/>
                    </w:rPr>
                  </w:pPr>
                  <w:r>
                    <w:rPr>
                      <w:strike w:val="0"/>
                      <w:dstrike w:val="0"/>
                      <w:color w:val="auto"/>
                      <w:kern w:val="0"/>
                      <w:szCs w:val="21"/>
                      <w:highlight w:val="none"/>
                    </w:rPr>
                    <w:t>/</w:t>
                  </w:r>
                </w:p>
              </w:tc>
              <w:tc>
                <w:tcPr>
                  <w:tcW w:w="2273" w:type="dxa"/>
                  <w:vMerge w:val="continue"/>
                  <w:vAlign w:val="center"/>
                </w:tcPr>
                <w:p w14:paraId="0CABFA03">
                  <w:pPr>
                    <w:widowControl/>
                    <w:jc w:val="center"/>
                    <w:rPr>
                      <w:strike w:val="0"/>
                      <w:dstrike w:val="0"/>
                      <w:color w:val="auto"/>
                      <w:kern w:val="0"/>
                      <w:szCs w:val="21"/>
                      <w:highlight w:val="none"/>
                    </w:rPr>
                  </w:pPr>
                </w:p>
              </w:tc>
            </w:tr>
            <w:tr w14:paraId="4A9C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vMerge w:val="continue"/>
                  <w:vAlign w:val="center"/>
                </w:tcPr>
                <w:p w14:paraId="36D43D52">
                  <w:pPr>
                    <w:widowControl/>
                    <w:jc w:val="center"/>
                    <w:rPr>
                      <w:strike w:val="0"/>
                      <w:dstrike w:val="0"/>
                      <w:color w:val="auto"/>
                      <w:szCs w:val="21"/>
                      <w:highlight w:val="none"/>
                    </w:rPr>
                  </w:pPr>
                </w:p>
              </w:tc>
              <w:tc>
                <w:tcPr>
                  <w:tcW w:w="656" w:type="dxa"/>
                  <w:vMerge w:val="continue"/>
                  <w:vAlign w:val="center"/>
                </w:tcPr>
                <w:p w14:paraId="2A58CBAD">
                  <w:pPr>
                    <w:widowControl/>
                    <w:jc w:val="center"/>
                    <w:rPr>
                      <w:strike w:val="0"/>
                      <w:dstrike w:val="0"/>
                      <w:color w:val="auto"/>
                      <w:szCs w:val="21"/>
                      <w:highlight w:val="none"/>
                    </w:rPr>
                  </w:pPr>
                </w:p>
              </w:tc>
              <w:tc>
                <w:tcPr>
                  <w:tcW w:w="730" w:type="dxa"/>
                  <w:vAlign w:val="center"/>
                </w:tcPr>
                <w:p w14:paraId="596F862F">
                  <w:pPr>
                    <w:widowControl/>
                    <w:jc w:val="center"/>
                    <w:rPr>
                      <w:strike w:val="0"/>
                      <w:dstrike w:val="0"/>
                      <w:color w:val="auto"/>
                      <w:kern w:val="0"/>
                      <w:szCs w:val="21"/>
                      <w:highlight w:val="none"/>
                    </w:rPr>
                  </w:pPr>
                  <w:r>
                    <w:rPr>
                      <w:rFonts w:hint="eastAsia"/>
                      <w:strike w:val="0"/>
                      <w:dstrike w:val="0"/>
                      <w:color w:val="auto"/>
                      <w:kern w:val="0"/>
                      <w:szCs w:val="21"/>
                      <w:highlight w:val="none"/>
                    </w:rPr>
                    <w:t>S10</w:t>
                  </w:r>
                </w:p>
              </w:tc>
              <w:tc>
                <w:tcPr>
                  <w:tcW w:w="987" w:type="dxa"/>
                  <w:vAlign w:val="center"/>
                </w:tcPr>
                <w:p w14:paraId="0D56D20A">
                  <w:pPr>
                    <w:widowControl/>
                    <w:jc w:val="center"/>
                    <w:rPr>
                      <w:strike w:val="0"/>
                      <w:dstrike w:val="0"/>
                      <w:color w:val="auto"/>
                      <w:kern w:val="0"/>
                      <w:szCs w:val="21"/>
                      <w:highlight w:val="none"/>
                    </w:rPr>
                  </w:pPr>
                  <w:r>
                    <w:rPr>
                      <w:strike w:val="0"/>
                      <w:dstrike w:val="0"/>
                      <w:color w:val="auto"/>
                      <w:kern w:val="0"/>
                      <w:szCs w:val="21"/>
                      <w:highlight w:val="none"/>
                    </w:rPr>
                    <w:t>含油棉纱手套</w:t>
                  </w:r>
                </w:p>
              </w:tc>
              <w:tc>
                <w:tcPr>
                  <w:tcW w:w="1321" w:type="dxa"/>
                  <w:vAlign w:val="center"/>
                </w:tcPr>
                <w:p w14:paraId="3CD18609">
                  <w:pPr>
                    <w:widowControl/>
                    <w:jc w:val="center"/>
                    <w:rPr>
                      <w:strike w:val="0"/>
                      <w:dstrike w:val="0"/>
                      <w:color w:val="auto"/>
                      <w:kern w:val="0"/>
                      <w:szCs w:val="21"/>
                      <w:highlight w:val="none"/>
                    </w:rPr>
                  </w:pPr>
                  <w:r>
                    <w:rPr>
                      <w:strike w:val="0"/>
                      <w:dstrike w:val="0"/>
                      <w:color w:val="auto"/>
                      <w:kern w:val="0"/>
                      <w:szCs w:val="21"/>
                      <w:highlight w:val="none"/>
                    </w:rPr>
                    <w:t>加油机维修保养</w:t>
                  </w:r>
                </w:p>
              </w:tc>
              <w:tc>
                <w:tcPr>
                  <w:tcW w:w="1279" w:type="dxa"/>
                  <w:vAlign w:val="center"/>
                </w:tcPr>
                <w:p w14:paraId="5B2DD62F">
                  <w:pPr>
                    <w:widowControl/>
                    <w:jc w:val="center"/>
                    <w:rPr>
                      <w:strike w:val="0"/>
                      <w:dstrike w:val="0"/>
                      <w:color w:val="auto"/>
                      <w:kern w:val="0"/>
                      <w:szCs w:val="21"/>
                      <w:highlight w:val="none"/>
                    </w:rPr>
                  </w:pPr>
                  <w:r>
                    <w:rPr>
                      <w:strike w:val="0"/>
                      <w:dstrike w:val="0"/>
                      <w:color w:val="auto"/>
                      <w:kern w:val="0"/>
                      <w:szCs w:val="21"/>
                      <w:highlight w:val="none"/>
                    </w:rPr>
                    <w:t>/</w:t>
                  </w:r>
                </w:p>
              </w:tc>
              <w:tc>
                <w:tcPr>
                  <w:tcW w:w="2273" w:type="dxa"/>
                  <w:vMerge w:val="continue"/>
                  <w:vAlign w:val="center"/>
                </w:tcPr>
                <w:p w14:paraId="53D9DCFE">
                  <w:pPr>
                    <w:widowControl/>
                    <w:jc w:val="center"/>
                    <w:rPr>
                      <w:strike w:val="0"/>
                      <w:dstrike w:val="0"/>
                      <w:color w:val="auto"/>
                      <w:kern w:val="0"/>
                      <w:szCs w:val="21"/>
                      <w:highlight w:val="none"/>
                    </w:rPr>
                  </w:pPr>
                </w:p>
              </w:tc>
            </w:tr>
            <w:tr w14:paraId="3D08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9" w:type="dxa"/>
                  <w:vMerge w:val="continue"/>
                  <w:vAlign w:val="center"/>
                </w:tcPr>
                <w:p w14:paraId="071CAE87">
                  <w:pPr>
                    <w:widowControl/>
                    <w:jc w:val="center"/>
                    <w:rPr>
                      <w:strike w:val="0"/>
                      <w:dstrike w:val="0"/>
                      <w:color w:val="auto"/>
                      <w:szCs w:val="21"/>
                      <w:highlight w:val="none"/>
                    </w:rPr>
                  </w:pPr>
                </w:p>
              </w:tc>
              <w:tc>
                <w:tcPr>
                  <w:tcW w:w="656" w:type="dxa"/>
                  <w:vAlign w:val="center"/>
                </w:tcPr>
                <w:p w14:paraId="51023FB0">
                  <w:pPr>
                    <w:widowControl/>
                    <w:jc w:val="center"/>
                    <w:rPr>
                      <w:strike w:val="0"/>
                      <w:dstrike w:val="0"/>
                      <w:color w:val="auto"/>
                      <w:kern w:val="0"/>
                      <w:szCs w:val="21"/>
                      <w:highlight w:val="none"/>
                    </w:rPr>
                  </w:pPr>
                  <w:r>
                    <w:rPr>
                      <w:strike w:val="0"/>
                      <w:dstrike w:val="0"/>
                      <w:color w:val="auto"/>
                      <w:kern w:val="0"/>
                      <w:szCs w:val="21"/>
                      <w:highlight w:val="none"/>
                    </w:rPr>
                    <w:t>生活垃圾</w:t>
                  </w:r>
                </w:p>
              </w:tc>
              <w:tc>
                <w:tcPr>
                  <w:tcW w:w="730" w:type="dxa"/>
                  <w:vAlign w:val="center"/>
                </w:tcPr>
                <w:p w14:paraId="6E003AE4">
                  <w:pPr>
                    <w:widowControl/>
                    <w:jc w:val="center"/>
                    <w:rPr>
                      <w:strike w:val="0"/>
                      <w:dstrike w:val="0"/>
                      <w:color w:val="auto"/>
                      <w:kern w:val="0"/>
                      <w:szCs w:val="21"/>
                      <w:highlight w:val="none"/>
                    </w:rPr>
                  </w:pPr>
                  <w:r>
                    <w:rPr>
                      <w:rFonts w:hint="eastAsia"/>
                      <w:strike w:val="0"/>
                      <w:dstrike w:val="0"/>
                      <w:color w:val="auto"/>
                      <w:kern w:val="0"/>
                      <w:szCs w:val="21"/>
                      <w:highlight w:val="none"/>
                    </w:rPr>
                    <w:t>S11</w:t>
                  </w:r>
                </w:p>
              </w:tc>
              <w:tc>
                <w:tcPr>
                  <w:tcW w:w="987" w:type="dxa"/>
                  <w:vAlign w:val="center"/>
                </w:tcPr>
                <w:p w14:paraId="0D4B52BB">
                  <w:pPr>
                    <w:widowControl/>
                    <w:jc w:val="center"/>
                    <w:rPr>
                      <w:strike w:val="0"/>
                      <w:dstrike w:val="0"/>
                      <w:color w:val="auto"/>
                      <w:kern w:val="0"/>
                      <w:szCs w:val="21"/>
                      <w:highlight w:val="none"/>
                    </w:rPr>
                  </w:pPr>
                  <w:r>
                    <w:rPr>
                      <w:strike w:val="0"/>
                      <w:dstrike w:val="0"/>
                      <w:color w:val="auto"/>
                      <w:kern w:val="0"/>
                      <w:szCs w:val="21"/>
                      <w:highlight w:val="none"/>
                    </w:rPr>
                    <w:t>生活垃圾</w:t>
                  </w:r>
                </w:p>
              </w:tc>
              <w:tc>
                <w:tcPr>
                  <w:tcW w:w="1321" w:type="dxa"/>
                  <w:vAlign w:val="center"/>
                </w:tcPr>
                <w:p w14:paraId="0FB7AC3C">
                  <w:pPr>
                    <w:widowControl/>
                    <w:jc w:val="center"/>
                    <w:rPr>
                      <w:strike w:val="0"/>
                      <w:dstrike w:val="0"/>
                      <w:color w:val="auto"/>
                      <w:kern w:val="0"/>
                      <w:szCs w:val="21"/>
                      <w:highlight w:val="none"/>
                    </w:rPr>
                  </w:pPr>
                  <w:r>
                    <w:rPr>
                      <w:strike w:val="0"/>
                      <w:dstrike w:val="0"/>
                      <w:color w:val="auto"/>
                      <w:kern w:val="0"/>
                      <w:szCs w:val="21"/>
                      <w:highlight w:val="none"/>
                    </w:rPr>
                    <w:t>职工生活</w:t>
                  </w:r>
                </w:p>
              </w:tc>
              <w:tc>
                <w:tcPr>
                  <w:tcW w:w="1279" w:type="dxa"/>
                  <w:vAlign w:val="center"/>
                </w:tcPr>
                <w:p w14:paraId="25915120">
                  <w:pPr>
                    <w:widowControl/>
                    <w:jc w:val="center"/>
                    <w:rPr>
                      <w:strike w:val="0"/>
                      <w:dstrike w:val="0"/>
                      <w:color w:val="auto"/>
                      <w:kern w:val="0"/>
                      <w:szCs w:val="21"/>
                      <w:highlight w:val="none"/>
                    </w:rPr>
                  </w:pPr>
                  <w:r>
                    <w:rPr>
                      <w:strike w:val="0"/>
                      <w:dstrike w:val="0"/>
                      <w:color w:val="auto"/>
                      <w:kern w:val="0"/>
                      <w:szCs w:val="21"/>
                      <w:highlight w:val="none"/>
                    </w:rPr>
                    <w:t>员工生活垃圾</w:t>
                  </w:r>
                </w:p>
              </w:tc>
              <w:tc>
                <w:tcPr>
                  <w:tcW w:w="2273" w:type="dxa"/>
                  <w:vAlign w:val="center"/>
                </w:tcPr>
                <w:p w14:paraId="53D63F11">
                  <w:pPr>
                    <w:widowControl/>
                    <w:jc w:val="center"/>
                    <w:rPr>
                      <w:strike w:val="0"/>
                      <w:dstrike w:val="0"/>
                      <w:color w:val="auto"/>
                      <w:kern w:val="0"/>
                      <w:szCs w:val="21"/>
                      <w:highlight w:val="none"/>
                    </w:rPr>
                  </w:pPr>
                  <w:r>
                    <w:rPr>
                      <w:strike w:val="0"/>
                      <w:dstrike w:val="0"/>
                      <w:color w:val="auto"/>
                      <w:kern w:val="0"/>
                      <w:szCs w:val="21"/>
                      <w:highlight w:val="none"/>
                    </w:rPr>
                    <w:t>交由环卫部门统一处置</w:t>
                  </w:r>
                </w:p>
              </w:tc>
            </w:tr>
          </w:tbl>
          <w:p w14:paraId="73B853FB">
            <w:pPr>
              <w:pStyle w:val="11"/>
              <w:adjustRightInd w:val="0"/>
              <w:snapToGrid w:val="0"/>
              <w:spacing w:line="360" w:lineRule="auto"/>
              <w:ind w:firstLine="480" w:firstLineChars="200"/>
              <w:rPr>
                <w:rFonts w:ascii="Times New Roman" w:hAnsi="Times New Roman"/>
                <w:strike w:val="0"/>
                <w:dstrike w:val="0"/>
                <w:color w:val="auto"/>
                <w:sz w:val="24"/>
                <w:szCs w:val="24"/>
                <w:highlight w:val="none"/>
              </w:rPr>
            </w:pPr>
          </w:p>
        </w:tc>
      </w:tr>
      <w:tr w14:paraId="31F0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14:paraId="147B1572">
            <w:pPr>
              <w:pStyle w:val="18"/>
              <w:adjustRightInd w:val="0"/>
              <w:snapToGrid w:val="0"/>
              <w:spacing w:before="0" w:beforeAutospacing="0" w:after="0" w:afterAutospacing="0"/>
              <w:jc w:val="center"/>
              <w:rPr>
                <w:rFonts w:ascii="Times New Roman" w:hAnsi="Times New Roman"/>
                <w:b/>
                <w:strike w:val="0"/>
                <w:dstrike w:val="0"/>
                <w:color w:val="auto"/>
                <w:szCs w:val="24"/>
                <w:highlight w:val="none"/>
              </w:rPr>
            </w:pPr>
            <w:r>
              <w:rPr>
                <w:rFonts w:ascii="Times New Roman" w:hAnsi="Times New Roman"/>
                <w:b/>
                <w:strike w:val="0"/>
                <w:dstrike w:val="0"/>
                <w:color w:val="auto"/>
                <w:kern w:val="2"/>
                <w:szCs w:val="24"/>
                <w:highlight w:val="none"/>
              </w:rPr>
              <w:t>与项目有关的原有环境污染问题</w:t>
            </w:r>
          </w:p>
        </w:tc>
        <w:tc>
          <w:tcPr>
            <w:tcW w:w="7887" w:type="dxa"/>
            <w:gridSpan w:val="2"/>
          </w:tcPr>
          <w:p w14:paraId="3D5BF277">
            <w:pPr>
              <w:pStyle w:val="13"/>
              <w:spacing w:after="0" w:line="360" w:lineRule="auto"/>
              <w:ind w:left="0" w:leftChars="0"/>
              <w:jc w:val="left"/>
              <w:rPr>
                <w:b/>
                <w:strike w:val="0"/>
                <w:dstrike w:val="0"/>
                <w:color w:val="auto"/>
                <w:sz w:val="24"/>
                <w:highlight w:val="none"/>
              </w:rPr>
            </w:pPr>
            <w:r>
              <w:rPr>
                <w:b/>
                <w:strike w:val="0"/>
                <w:dstrike w:val="0"/>
                <w:color w:val="auto"/>
                <w:sz w:val="24"/>
                <w:highlight w:val="none"/>
              </w:rPr>
              <w:t>2.3 与本项目有关的原有污染情况及主要环境问题</w:t>
            </w:r>
          </w:p>
          <w:p w14:paraId="634A22DB">
            <w:pPr>
              <w:spacing w:line="360" w:lineRule="auto"/>
              <w:ind w:firstLine="480" w:firstLineChars="200"/>
              <w:rPr>
                <w:bCs/>
                <w:strike w:val="0"/>
                <w:dstrike w:val="0"/>
                <w:color w:val="auto"/>
                <w:sz w:val="24"/>
                <w:highlight w:val="none"/>
              </w:rPr>
            </w:pPr>
            <w:r>
              <w:rPr>
                <w:bCs/>
                <w:strike w:val="0"/>
                <w:dstrike w:val="0"/>
                <w:color w:val="auto"/>
                <w:sz w:val="24"/>
                <w:highlight w:val="none"/>
              </w:rPr>
              <w:t>本</w:t>
            </w:r>
            <w:r>
              <w:rPr>
                <w:strike w:val="0"/>
                <w:dstrike w:val="0"/>
                <w:color w:val="auto"/>
                <w:sz w:val="24"/>
                <w:highlight w:val="none"/>
              </w:rPr>
              <w:t>项目为城市建成区新建加油加气站，项目位于重庆市合川区土场镇杨柳村三社，位于TD-46-02/01地块。</w:t>
            </w:r>
            <w:r>
              <w:rPr>
                <w:rFonts w:hint="eastAsia"/>
                <w:strike w:val="0"/>
                <w:dstrike w:val="0"/>
                <w:color w:val="auto"/>
                <w:sz w:val="24"/>
                <w:szCs w:val="32"/>
                <w:highlight w:val="none"/>
                <w:lang w:val="en-US" w:eastAsia="zh-CN"/>
              </w:rPr>
              <w:t>2024年2月8日，本项目取得重庆市合川区规划和自然资源局颁发的土地产权证，产权证中明确本项目所在地的土地用途为</w:t>
            </w:r>
            <w:r>
              <w:rPr>
                <w:strike w:val="0"/>
                <w:dstrike w:val="0"/>
                <w:color w:val="auto"/>
                <w:sz w:val="24"/>
                <w:szCs w:val="32"/>
                <w:highlight w:val="none"/>
              </w:rPr>
              <w:t>B41</w:t>
            </w:r>
            <w:r>
              <w:rPr>
                <w:rFonts w:hint="eastAsia"/>
                <w:strike w:val="0"/>
                <w:dstrike w:val="0"/>
                <w:color w:val="auto"/>
                <w:sz w:val="24"/>
                <w:szCs w:val="32"/>
                <w:highlight w:val="none"/>
                <w:lang w:val="en-US" w:eastAsia="zh-CN"/>
              </w:rPr>
              <w:t>-加油加气站用地</w:t>
            </w:r>
            <w:r>
              <w:rPr>
                <w:strike w:val="0"/>
                <w:dstrike w:val="0"/>
                <w:color w:val="auto"/>
                <w:sz w:val="24"/>
                <w:szCs w:val="32"/>
                <w:highlight w:val="none"/>
              </w:rPr>
              <w:t>，符合用地规划。</w:t>
            </w:r>
            <w:r>
              <w:rPr>
                <w:strike w:val="0"/>
                <w:dstrike w:val="0"/>
                <w:color w:val="auto"/>
                <w:sz w:val="24"/>
                <w:highlight w:val="none"/>
              </w:rPr>
              <w:t>经现场勘查，</w:t>
            </w:r>
            <w:r>
              <w:rPr>
                <w:rFonts w:hint="eastAsia"/>
                <w:strike w:val="0"/>
                <w:dstrike w:val="0"/>
                <w:color w:val="auto"/>
                <w:sz w:val="24"/>
                <w:highlight w:val="none"/>
              </w:rPr>
              <w:t>场地目前为空地，</w:t>
            </w:r>
            <w:r>
              <w:rPr>
                <w:strike w:val="0"/>
                <w:dstrike w:val="0"/>
                <w:color w:val="auto"/>
                <w:sz w:val="24"/>
                <w:highlight w:val="none"/>
              </w:rPr>
              <w:t>表层主要分布</w:t>
            </w:r>
            <w:r>
              <w:rPr>
                <w:rFonts w:hint="eastAsia"/>
                <w:strike w:val="0"/>
                <w:dstrike w:val="0"/>
                <w:color w:val="auto"/>
                <w:sz w:val="24"/>
                <w:highlight w:val="none"/>
              </w:rPr>
              <w:t>有少量</w:t>
            </w:r>
            <w:r>
              <w:rPr>
                <w:strike w:val="0"/>
                <w:dstrike w:val="0"/>
                <w:color w:val="auto"/>
                <w:sz w:val="24"/>
                <w:highlight w:val="none"/>
              </w:rPr>
              <w:t>杂草灌木等植被。</w:t>
            </w:r>
            <w:r>
              <w:rPr>
                <w:rFonts w:hint="eastAsia"/>
                <w:strike w:val="0"/>
                <w:dstrike w:val="0"/>
                <w:color w:val="auto"/>
                <w:sz w:val="24"/>
                <w:highlight w:val="none"/>
              </w:rPr>
              <w:t>本</w:t>
            </w:r>
            <w:r>
              <w:rPr>
                <w:strike w:val="0"/>
                <w:dstrike w:val="0"/>
                <w:color w:val="auto"/>
                <w:sz w:val="24"/>
                <w:highlight w:val="none"/>
              </w:rPr>
              <w:t>项目所在地块无其他历史遗留环境问题，不存在原有污染情况。</w:t>
            </w:r>
          </w:p>
          <w:p w14:paraId="6585B321">
            <w:pPr>
              <w:pStyle w:val="13"/>
              <w:spacing w:after="0" w:line="360" w:lineRule="auto"/>
              <w:ind w:left="0" w:leftChars="0"/>
              <w:jc w:val="left"/>
              <w:rPr>
                <w:bCs/>
                <w:strike w:val="0"/>
                <w:dstrike w:val="0"/>
                <w:color w:val="auto"/>
                <w:sz w:val="24"/>
                <w:highlight w:val="none"/>
              </w:rPr>
            </w:pPr>
          </w:p>
          <w:p w14:paraId="0FC9D72E">
            <w:pPr>
              <w:pStyle w:val="13"/>
              <w:spacing w:after="0" w:line="360" w:lineRule="auto"/>
              <w:ind w:left="0" w:leftChars="0" w:firstLine="480"/>
              <w:jc w:val="left"/>
              <w:rPr>
                <w:bCs/>
                <w:strike w:val="0"/>
                <w:dstrike w:val="0"/>
                <w:color w:val="auto"/>
                <w:sz w:val="24"/>
                <w:highlight w:val="none"/>
              </w:rPr>
            </w:pPr>
          </w:p>
          <w:p w14:paraId="4AE674E4">
            <w:pPr>
              <w:pStyle w:val="13"/>
              <w:spacing w:after="0" w:line="360" w:lineRule="auto"/>
              <w:ind w:left="0" w:leftChars="0" w:firstLine="480"/>
              <w:jc w:val="left"/>
              <w:rPr>
                <w:bCs/>
                <w:strike w:val="0"/>
                <w:dstrike w:val="0"/>
                <w:color w:val="auto"/>
                <w:sz w:val="24"/>
                <w:highlight w:val="none"/>
              </w:rPr>
            </w:pPr>
          </w:p>
          <w:p w14:paraId="3BC64F7F">
            <w:pPr>
              <w:rPr>
                <w:bCs/>
                <w:strike w:val="0"/>
                <w:dstrike w:val="0"/>
                <w:color w:val="auto"/>
                <w:sz w:val="24"/>
                <w:highlight w:val="none"/>
              </w:rPr>
            </w:pPr>
          </w:p>
          <w:p w14:paraId="795A1409">
            <w:pPr>
              <w:rPr>
                <w:bCs/>
                <w:strike w:val="0"/>
                <w:dstrike w:val="0"/>
                <w:color w:val="auto"/>
                <w:sz w:val="24"/>
                <w:highlight w:val="none"/>
              </w:rPr>
            </w:pPr>
          </w:p>
          <w:p w14:paraId="55538D54">
            <w:pPr>
              <w:rPr>
                <w:bCs/>
                <w:strike w:val="0"/>
                <w:dstrike w:val="0"/>
                <w:color w:val="auto"/>
                <w:sz w:val="24"/>
                <w:highlight w:val="none"/>
              </w:rPr>
            </w:pPr>
          </w:p>
          <w:p w14:paraId="5983CF5A">
            <w:pPr>
              <w:rPr>
                <w:bCs/>
                <w:strike w:val="0"/>
                <w:dstrike w:val="0"/>
                <w:color w:val="auto"/>
                <w:sz w:val="24"/>
                <w:highlight w:val="none"/>
              </w:rPr>
            </w:pPr>
          </w:p>
          <w:p w14:paraId="1DE5F318">
            <w:pPr>
              <w:rPr>
                <w:bCs/>
                <w:strike w:val="0"/>
                <w:dstrike w:val="0"/>
                <w:color w:val="auto"/>
                <w:sz w:val="24"/>
                <w:highlight w:val="none"/>
              </w:rPr>
            </w:pPr>
          </w:p>
          <w:p w14:paraId="185898B7">
            <w:pPr>
              <w:rPr>
                <w:bCs/>
                <w:strike w:val="0"/>
                <w:dstrike w:val="0"/>
                <w:color w:val="auto"/>
                <w:sz w:val="24"/>
                <w:highlight w:val="none"/>
              </w:rPr>
            </w:pPr>
          </w:p>
          <w:p w14:paraId="08DAA3C0">
            <w:pPr>
              <w:rPr>
                <w:bCs/>
                <w:strike w:val="0"/>
                <w:dstrike w:val="0"/>
                <w:color w:val="auto"/>
                <w:sz w:val="24"/>
                <w:highlight w:val="none"/>
              </w:rPr>
            </w:pPr>
          </w:p>
          <w:p w14:paraId="7FF78ED1">
            <w:pPr>
              <w:rPr>
                <w:bCs/>
                <w:strike w:val="0"/>
                <w:dstrike w:val="0"/>
                <w:color w:val="auto"/>
                <w:sz w:val="24"/>
                <w:highlight w:val="none"/>
              </w:rPr>
            </w:pPr>
          </w:p>
          <w:p w14:paraId="09559D0E">
            <w:pPr>
              <w:rPr>
                <w:bCs/>
                <w:strike w:val="0"/>
                <w:dstrike w:val="0"/>
                <w:color w:val="auto"/>
                <w:sz w:val="24"/>
                <w:highlight w:val="none"/>
              </w:rPr>
            </w:pPr>
          </w:p>
          <w:p w14:paraId="0EAF84A2">
            <w:pPr>
              <w:rPr>
                <w:bCs/>
                <w:strike w:val="0"/>
                <w:dstrike w:val="0"/>
                <w:color w:val="auto"/>
                <w:sz w:val="24"/>
                <w:highlight w:val="none"/>
              </w:rPr>
            </w:pPr>
          </w:p>
          <w:p w14:paraId="1A7B8ECC">
            <w:pPr>
              <w:rPr>
                <w:bCs/>
                <w:strike w:val="0"/>
                <w:dstrike w:val="0"/>
                <w:color w:val="auto"/>
                <w:sz w:val="24"/>
                <w:highlight w:val="none"/>
              </w:rPr>
            </w:pPr>
          </w:p>
          <w:p w14:paraId="386CA766">
            <w:pPr>
              <w:rPr>
                <w:bCs/>
                <w:strike w:val="0"/>
                <w:dstrike w:val="0"/>
                <w:color w:val="auto"/>
                <w:sz w:val="24"/>
                <w:highlight w:val="none"/>
              </w:rPr>
            </w:pPr>
          </w:p>
          <w:p w14:paraId="06F3B57D">
            <w:pPr>
              <w:rPr>
                <w:bCs/>
                <w:strike w:val="0"/>
                <w:dstrike w:val="0"/>
                <w:color w:val="auto"/>
                <w:sz w:val="24"/>
                <w:highlight w:val="none"/>
              </w:rPr>
            </w:pPr>
          </w:p>
          <w:p w14:paraId="5060FEBA">
            <w:pPr>
              <w:rPr>
                <w:bCs/>
                <w:strike w:val="0"/>
                <w:dstrike w:val="0"/>
                <w:color w:val="auto"/>
                <w:sz w:val="24"/>
                <w:highlight w:val="none"/>
              </w:rPr>
            </w:pPr>
          </w:p>
          <w:p w14:paraId="3E21A4CB">
            <w:pPr>
              <w:rPr>
                <w:bCs/>
                <w:strike w:val="0"/>
                <w:dstrike w:val="0"/>
                <w:color w:val="auto"/>
                <w:sz w:val="24"/>
                <w:highlight w:val="none"/>
              </w:rPr>
            </w:pPr>
          </w:p>
          <w:p w14:paraId="0BA4F4EE">
            <w:pPr>
              <w:rPr>
                <w:bCs/>
                <w:strike w:val="0"/>
                <w:dstrike w:val="0"/>
                <w:color w:val="auto"/>
                <w:sz w:val="24"/>
                <w:highlight w:val="none"/>
              </w:rPr>
            </w:pPr>
          </w:p>
          <w:p w14:paraId="2DA2F85E">
            <w:pPr>
              <w:rPr>
                <w:strike w:val="0"/>
                <w:dstrike w:val="0"/>
                <w:color w:val="auto"/>
                <w:highlight w:val="none"/>
              </w:rPr>
            </w:pPr>
          </w:p>
        </w:tc>
      </w:tr>
    </w:tbl>
    <w:p w14:paraId="7AA8073E">
      <w:pPr>
        <w:rPr>
          <w:rFonts w:eastAsia="黑体"/>
          <w:strike w:val="0"/>
          <w:dstrike w:val="0"/>
          <w:snapToGrid w:val="0"/>
          <w:color w:val="auto"/>
          <w:sz w:val="30"/>
          <w:szCs w:val="30"/>
          <w:highlight w:val="none"/>
        </w:rPr>
      </w:pPr>
      <w:r>
        <w:rPr>
          <w:rFonts w:eastAsia="黑体"/>
          <w:strike w:val="0"/>
          <w:dstrike w:val="0"/>
          <w:snapToGrid w:val="0"/>
          <w:color w:val="auto"/>
          <w:sz w:val="30"/>
          <w:szCs w:val="30"/>
          <w:highlight w:val="none"/>
        </w:rPr>
        <w:br w:type="page"/>
      </w:r>
    </w:p>
    <w:p w14:paraId="3785E8AE">
      <w:pPr>
        <w:pStyle w:val="18"/>
        <w:spacing w:before="0" w:beforeAutospacing="0" w:after="0" w:afterAutospacing="0"/>
        <w:jc w:val="center"/>
        <w:outlineLvl w:val="0"/>
        <w:rPr>
          <w:rFonts w:ascii="Times New Roman" w:hAnsi="Times New Roman"/>
          <w:strike w:val="0"/>
          <w:dstrike w:val="0"/>
          <w:color w:val="auto"/>
          <w:highlight w:val="none"/>
        </w:rPr>
      </w:pPr>
      <w:r>
        <w:rPr>
          <w:rFonts w:ascii="Times New Roman" w:hAnsi="Times New Roman" w:eastAsia="黑体"/>
          <w:strike w:val="0"/>
          <w:dstrike w:val="0"/>
          <w:snapToGrid w:val="0"/>
          <w:color w:val="auto"/>
          <w:sz w:val="30"/>
          <w:szCs w:val="30"/>
          <w:highlight w:val="none"/>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491"/>
      </w:tblGrid>
      <w:tr w14:paraId="67EA4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99" w:type="dxa"/>
            <w:vAlign w:val="center"/>
          </w:tcPr>
          <w:p w14:paraId="5D77F8B2">
            <w:pPr>
              <w:adjustRightInd w:val="0"/>
              <w:snapToGrid w:val="0"/>
              <w:jc w:val="center"/>
              <w:rPr>
                <w:strike w:val="0"/>
                <w:dstrike w:val="0"/>
                <w:color w:val="auto"/>
                <w:kern w:val="0"/>
                <w:sz w:val="24"/>
                <w:highlight w:val="none"/>
              </w:rPr>
            </w:pPr>
            <w:r>
              <w:rPr>
                <w:strike w:val="0"/>
                <w:dstrike w:val="0"/>
                <w:color w:val="auto"/>
                <w:kern w:val="0"/>
                <w:sz w:val="24"/>
                <w:highlight w:val="none"/>
              </w:rPr>
              <w:t>区域</w:t>
            </w:r>
          </w:p>
          <w:p w14:paraId="509274D7">
            <w:pPr>
              <w:adjustRightInd w:val="0"/>
              <w:snapToGrid w:val="0"/>
              <w:jc w:val="center"/>
              <w:rPr>
                <w:strike w:val="0"/>
                <w:dstrike w:val="0"/>
                <w:color w:val="auto"/>
                <w:kern w:val="0"/>
                <w:sz w:val="24"/>
                <w:highlight w:val="none"/>
              </w:rPr>
            </w:pPr>
            <w:r>
              <w:rPr>
                <w:strike w:val="0"/>
                <w:dstrike w:val="0"/>
                <w:color w:val="auto"/>
                <w:kern w:val="0"/>
                <w:sz w:val="24"/>
                <w:highlight w:val="none"/>
              </w:rPr>
              <w:t>环境</w:t>
            </w:r>
          </w:p>
          <w:p w14:paraId="246FA125">
            <w:pPr>
              <w:adjustRightInd w:val="0"/>
              <w:snapToGrid w:val="0"/>
              <w:jc w:val="center"/>
              <w:rPr>
                <w:strike w:val="0"/>
                <w:dstrike w:val="0"/>
                <w:color w:val="auto"/>
                <w:kern w:val="0"/>
                <w:sz w:val="24"/>
                <w:highlight w:val="none"/>
              </w:rPr>
            </w:pPr>
            <w:r>
              <w:rPr>
                <w:strike w:val="0"/>
                <w:dstrike w:val="0"/>
                <w:color w:val="auto"/>
                <w:kern w:val="0"/>
                <w:sz w:val="24"/>
                <w:highlight w:val="none"/>
              </w:rPr>
              <w:t>质量</w:t>
            </w:r>
          </w:p>
          <w:p w14:paraId="5B453F0F">
            <w:pPr>
              <w:adjustRightInd w:val="0"/>
              <w:snapToGrid w:val="0"/>
              <w:jc w:val="center"/>
              <w:rPr>
                <w:strike w:val="0"/>
                <w:dstrike w:val="0"/>
                <w:color w:val="auto"/>
                <w:kern w:val="0"/>
                <w:sz w:val="24"/>
                <w:highlight w:val="none"/>
              </w:rPr>
            </w:pPr>
            <w:r>
              <w:rPr>
                <w:strike w:val="0"/>
                <w:dstrike w:val="0"/>
                <w:color w:val="auto"/>
                <w:kern w:val="0"/>
                <w:sz w:val="24"/>
                <w:highlight w:val="none"/>
              </w:rPr>
              <w:t>现状</w:t>
            </w:r>
          </w:p>
        </w:tc>
        <w:tc>
          <w:tcPr>
            <w:tcW w:w="8491" w:type="dxa"/>
          </w:tcPr>
          <w:p w14:paraId="3F232150">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3.1区域环境质量现状</w:t>
            </w:r>
          </w:p>
          <w:p w14:paraId="72F40458">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3.1.1大气环境</w:t>
            </w:r>
          </w:p>
          <w:p w14:paraId="0CD3D6CA">
            <w:pPr>
              <w:adjustRightInd w:val="0"/>
              <w:snapToGrid w:val="0"/>
              <w:spacing w:line="360" w:lineRule="auto"/>
              <w:ind w:firstLine="480" w:firstLineChars="200"/>
              <w:rPr>
                <w:strike w:val="0"/>
                <w:dstrike w:val="0"/>
                <w:color w:val="auto"/>
                <w:kern w:val="0"/>
                <w:sz w:val="24"/>
                <w:highlight w:val="none"/>
              </w:rPr>
            </w:pPr>
            <w:r>
              <w:rPr>
                <w:bCs/>
                <w:strike w:val="0"/>
                <w:dstrike w:val="0"/>
                <w:color w:val="auto"/>
                <w:sz w:val="24"/>
                <w:highlight w:val="none"/>
              </w:rPr>
              <w:t>根据</w:t>
            </w:r>
            <w:r>
              <w:rPr>
                <w:strike w:val="0"/>
                <w:dstrike w:val="0"/>
                <w:color w:val="auto"/>
                <w:sz w:val="24"/>
                <w:highlight w:val="none"/>
              </w:rPr>
              <w:t>《重庆市人民政府关于印发重庆市环境空气质量功能区划分规定的通知》（渝府发[2016]19号），项目所在地环境空气功能区划为二类区，环境空气质量执行《环境空气质量标准》（GB3095-2012）（及2018年修改单）中二级标准。</w:t>
            </w:r>
          </w:p>
          <w:p w14:paraId="489D8081">
            <w:pPr>
              <w:adjustRightInd w:val="0"/>
              <w:snapToGrid w:val="0"/>
              <w:spacing w:line="360" w:lineRule="auto"/>
              <w:ind w:firstLine="480" w:firstLineChars="200"/>
              <w:rPr>
                <w:strike w:val="0"/>
                <w:dstrike w:val="0"/>
                <w:color w:val="auto"/>
                <w:kern w:val="0"/>
                <w:sz w:val="24"/>
                <w:highlight w:val="none"/>
              </w:rPr>
            </w:pPr>
            <w:r>
              <w:rPr>
                <w:strike w:val="0"/>
                <w:dstrike w:val="0"/>
                <w:color w:val="auto"/>
                <w:kern w:val="0"/>
                <w:sz w:val="24"/>
                <w:highlight w:val="none"/>
              </w:rPr>
              <w:t>（1）基本污染物</w:t>
            </w:r>
          </w:p>
          <w:p w14:paraId="677EC577">
            <w:pPr>
              <w:keepNext/>
              <w:keepLines/>
              <w:adjustRightInd w:val="0"/>
              <w:snapToGrid w:val="0"/>
              <w:spacing w:line="360" w:lineRule="auto"/>
              <w:ind w:firstLine="480" w:firstLineChars="200"/>
              <w:outlineLvl w:val="3"/>
              <w:rPr>
                <w:strike w:val="0"/>
                <w:dstrike w:val="0"/>
                <w:color w:val="auto"/>
                <w:sz w:val="24"/>
                <w:highlight w:val="none"/>
              </w:rPr>
            </w:pPr>
            <w:r>
              <w:rPr>
                <w:strike w:val="0"/>
                <w:dstrike w:val="0"/>
                <w:color w:val="auto"/>
                <w:sz w:val="24"/>
                <w:highlight w:val="none"/>
              </w:rPr>
              <w:t>根据重庆市生态环境局发布的《</w:t>
            </w:r>
            <w:r>
              <w:rPr>
                <w:rFonts w:hint="eastAsia"/>
                <w:strike w:val="0"/>
                <w:dstrike w:val="0"/>
                <w:color w:val="auto"/>
                <w:sz w:val="24"/>
                <w:highlight w:val="none"/>
              </w:rPr>
              <w:t>2023重庆市生态环境状况公报</w:t>
            </w:r>
            <w:r>
              <w:rPr>
                <w:strike w:val="0"/>
                <w:dstrike w:val="0"/>
                <w:color w:val="auto"/>
                <w:sz w:val="24"/>
                <w:highlight w:val="none"/>
              </w:rPr>
              <w:t>》，合川区环境空气质量现状详见表3.1-1。</w:t>
            </w:r>
          </w:p>
          <w:p w14:paraId="27D64D8A">
            <w:pPr>
              <w:spacing w:line="460" w:lineRule="exact"/>
              <w:ind w:firstLine="482" w:firstLineChars="200"/>
              <w:jc w:val="center"/>
              <w:rPr>
                <w:b/>
                <w:strike w:val="0"/>
                <w:dstrike w:val="0"/>
                <w:color w:val="auto"/>
                <w:sz w:val="24"/>
                <w:highlight w:val="none"/>
                <w:vertAlign w:val="superscript"/>
                <w:lang w:val="zh-CN"/>
              </w:rPr>
            </w:pPr>
            <w:r>
              <w:rPr>
                <w:b/>
                <w:strike w:val="0"/>
                <w:dstrike w:val="0"/>
                <w:color w:val="auto"/>
                <w:sz w:val="24"/>
                <w:highlight w:val="none"/>
                <w:lang w:val="zh-CN"/>
              </w:rPr>
              <w:t>表3.1-1  环境空气质量现状监测结果  单位：</w:t>
            </w:r>
            <w:r>
              <w:rPr>
                <w:b/>
                <w:strike w:val="0"/>
                <w:dstrike w:val="0"/>
                <w:color w:val="auto"/>
                <w:sz w:val="24"/>
                <w:highlight w:val="none"/>
                <w:shd w:val="clear" w:color="auto" w:fill="FFFFFF"/>
              </w:rPr>
              <w:t>μg</w:t>
            </w:r>
            <w:r>
              <w:rPr>
                <w:b/>
                <w:strike w:val="0"/>
                <w:dstrike w:val="0"/>
                <w:color w:val="auto"/>
                <w:sz w:val="24"/>
                <w:highlight w:val="none"/>
              </w:rPr>
              <w:t>/m</w:t>
            </w:r>
            <w:r>
              <w:rPr>
                <w:b/>
                <w:strike w:val="0"/>
                <w:dstrike w:val="0"/>
                <w:color w:val="auto"/>
                <w:sz w:val="24"/>
                <w:highlight w:val="none"/>
                <w:vertAlign w:val="superscript"/>
              </w:rPr>
              <w:t>3</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870"/>
              <w:gridCol w:w="1227"/>
              <w:gridCol w:w="1173"/>
              <w:gridCol w:w="1348"/>
              <w:gridCol w:w="1348"/>
            </w:tblGrid>
            <w:tr w14:paraId="2654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4" w:type="pct"/>
                  <w:vAlign w:val="center"/>
                </w:tcPr>
                <w:p w14:paraId="16CC5819">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污染物</w:t>
                  </w:r>
                </w:p>
              </w:tc>
              <w:tc>
                <w:tcPr>
                  <w:tcW w:w="1131" w:type="pct"/>
                  <w:vAlign w:val="center"/>
                </w:tcPr>
                <w:p w14:paraId="50007367">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年评价指标</w:t>
                  </w:r>
                </w:p>
              </w:tc>
              <w:tc>
                <w:tcPr>
                  <w:tcW w:w="742" w:type="pct"/>
                  <w:vAlign w:val="center"/>
                </w:tcPr>
                <w:p w14:paraId="38EC3AE5">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现状浓度</w:t>
                  </w:r>
                </w:p>
                <w:p w14:paraId="78324189">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（μg/m</w:t>
                  </w:r>
                  <w:r>
                    <w:rPr>
                      <w:rFonts w:ascii="Times New Roman" w:hAnsi="Times New Roman"/>
                      <w:b/>
                      <w:bCs/>
                      <w:strike w:val="0"/>
                      <w:dstrike w:val="0"/>
                      <w:color w:val="auto"/>
                      <w:sz w:val="21"/>
                      <w:szCs w:val="21"/>
                      <w:highlight w:val="none"/>
                      <w:vertAlign w:val="superscript"/>
                    </w:rPr>
                    <w:t>3</w:t>
                  </w:r>
                  <w:r>
                    <w:rPr>
                      <w:rFonts w:ascii="Times New Roman" w:hAnsi="Times New Roman"/>
                      <w:b/>
                      <w:bCs/>
                      <w:strike w:val="0"/>
                      <w:dstrike w:val="0"/>
                      <w:color w:val="auto"/>
                      <w:sz w:val="21"/>
                      <w:szCs w:val="21"/>
                      <w:highlight w:val="none"/>
                    </w:rPr>
                    <w:t>）</w:t>
                  </w:r>
                </w:p>
              </w:tc>
              <w:tc>
                <w:tcPr>
                  <w:tcW w:w="709" w:type="pct"/>
                  <w:vAlign w:val="center"/>
                </w:tcPr>
                <w:p w14:paraId="58AED94E">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标准值</w:t>
                  </w:r>
                </w:p>
                <w:p w14:paraId="57E2871F">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（μg/m</w:t>
                  </w:r>
                  <w:r>
                    <w:rPr>
                      <w:rFonts w:ascii="Times New Roman" w:hAnsi="Times New Roman"/>
                      <w:b/>
                      <w:bCs/>
                      <w:strike w:val="0"/>
                      <w:dstrike w:val="0"/>
                      <w:color w:val="auto"/>
                      <w:sz w:val="21"/>
                      <w:szCs w:val="21"/>
                      <w:highlight w:val="none"/>
                      <w:vertAlign w:val="superscript"/>
                    </w:rPr>
                    <w:t>3</w:t>
                  </w:r>
                  <w:r>
                    <w:rPr>
                      <w:rFonts w:ascii="Times New Roman" w:hAnsi="Times New Roman"/>
                      <w:b/>
                      <w:bCs/>
                      <w:strike w:val="0"/>
                      <w:dstrike w:val="0"/>
                      <w:color w:val="auto"/>
                      <w:sz w:val="21"/>
                      <w:szCs w:val="21"/>
                      <w:highlight w:val="none"/>
                    </w:rPr>
                    <w:t>）</w:t>
                  </w:r>
                </w:p>
              </w:tc>
              <w:tc>
                <w:tcPr>
                  <w:tcW w:w="815" w:type="pct"/>
                  <w:vAlign w:val="center"/>
                </w:tcPr>
                <w:p w14:paraId="1D889151">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占标率%</w:t>
                  </w:r>
                </w:p>
              </w:tc>
              <w:tc>
                <w:tcPr>
                  <w:tcW w:w="815" w:type="pct"/>
                  <w:vAlign w:val="center"/>
                </w:tcPr>
                <w:p w14:paraId="165C4343">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达标情况</w:t>
                  </w:r>
                </w:p>
              </w:tc>
            </w:tr>
            <w:tr w14:paraId="3B93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84" w:type="pct"/>
                  <w:vAlign w:val="center"/>
                </w:tcPr>
                <w:p w14:paraId="6B089EFD">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PM</w:t>
                  </w:r>
                  <w:r>
                    <w:rPr>
                      <w:rFonts w:ascii="Times New Roman" w:hAnsi="Times New Roman"/>
                      <w:strike w:val="0"/>
                      <w:dstrike w:val="0"/>
                      <w:color w:val="auto"/>
                      <w:sz w:val="21"/>
                      <w:szCs w:val="21"/>
                      <w:highlight w:val="none"/>
                      <w:vertAlign w:val="subscript"/>
                    </w:rPr>
                    <w:t>10</w:t>
                  </w:r>
                </w:p>
              </w:tc>
              <w:tc>
                <w:tcPr>
                  <w:tcW w:w="1131" w:type="pct"/>
                  <w:vMerge w:val="restart"/>
                  <w:vAlign w:val="center"/>
                </w:tcPr>
                <w:p w14:paraId="07A96B30">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年平均质量浓度</w:t>
                  </w:r>
                </w:p>
              </w:tc>
              <w:tc>
                <w:tcPr>
                  <w:tcW w:w="742" w:type="pct"/>
                  <w:vAlign w:val="center"/>
                </w:tcPr>
                <w:p w14:paraId="41BCE732">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58</w:t>
                  </w:r>
                </w:p>
              </w:tc>
              <w:tc>
                <w:tcPr>
                  <w:tcW w:w="709" w:type="pct"/>
                  <w:vAlign w:val="center"/>
                </w:tcPr>
                <w:p w14:paraId="73FD5667">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70</w:t>
                  </w:r>
                </w:p>
              </w:tc>
              <w:tc>
                <w:tcPr>
                  <w:tcW w:w="815" w:type="pct"/>
                  <w:vAlign w:val="center"/>
                </w:tcPr>
                <w:p w14:paraId="484B503F">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 xml:space="preserve">82.9 </w:t>
                  </w:r>
                </w:p>
              </w:tc>
              <w:tc>
                <w:tcPr>
                  <w:tcW w:w="815" w:type="pct"/>
                  <w:vAlign w:val="center"/>
                </w:tcPr>
                <w:p w14:paraId="34FD9E71">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达标</w:t>
                  </w:r>
                </w:p>
              </w:tc>
            </w:tr>
            <w:tr w14:paraId="2B46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84" w:type="pct"/>
                  <w:vAlign w:val="center"/>
                </w:tcPr>
                <w:p w14:paraId="54B001F1">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PM</w:t>
                  </w:r>
                  <w:r>
                    <w:rPr>
                      <w:rFonts w:ascii="Times New Roman" w:hAnsi="Times New Roman"/>
                      <w:strike w:val="0"/>
                      <w:dstrike w:val="0"/>
                      <w:color w:val="auto"/>
                      <w:sz w:val="21"/>
                      <w:szCs w:val="21"/>
                      <w:highlight w:val="none"/>
                      <w:vertAlign w:val="subscript"/>
                    </w:rPr>
                    <w:t>2.5</w:t>
                  </w:r>
                </w:p>
              </w:tc>
              <w:tc>
                <w:tcPr>
                  <w:tcW w:w="1131" w:type="pct"/>
                  <w:vMerge w:val="continue"/>
                  <w:vAlign w:val="center"/>
                </w:tcPr>
                <w:p w14:paraId="5302CD06">
                  <w:pPr>
                    <w:pStyle w:val="48"/>
                    <w:spacing w:line="240" w:lineRule="auto"/>
                    <w:rPr>
                      <w:rFonts w:ascii="Times New Roman" w:hAnsi="Times New Roman"/>
                      <w:strike w:val="0"/>
                      <w:dstrike w:val="0"/>
                      <w:color w:val="auto"/>
                      <w:sz w:val="21"/>
                      <w:szCs w:val="21"/>
                      <w:highlight w:val="none"/>
                    </w:rPr>
                  </w:pPr>
                </w:p>
              </w:tc>
              <w:tc>
                <w:tcPr>
                  <w:tcW w:w="742" w:type="pct"/>
                  <w:vAlign w:val="center"/>
                </w:tcPr>
                <w:p w14:paraId="3F73FDCB">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47</w:t>
                  </w:r>
                </w:p>
              </w:tc>
              <w:tc>
                <w:tcPr>
                  <w:tcW w:w="709" w:type="pct"/>
                  <w:vAlign w:val="center"/>
                </w:tcPr>
                <w:p w14:paraId="16880F6C">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35</w:t>
                  </w:r>
                </w:p>
              </w:tc>
              <w:tc>
                <w:tcPr>
                  <w:tcW w:w="815" w:type="pct"/>
                  <w:vAlign w:val="center"/>
                </w:tcPr>
                <w:p w14:paraId="4C93C28A">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 xml:space="preserve">134.3 </w:t>
                  </w:r>
                </w:p>
              </w:tc>
              <w:tc>
                <w:tcPr>
                  <w:tcW w:w="815" w:type="pct"/>
                  <w:shd w:val="clear" w:color="auto" w:fill="auto"/>
                  <w:vAlign w:val="center"/>
                </w:tcPr>
                <w:p w14:paraId="7912DE95">
                  <w:pPr>
                    <w:pStyle w:val="48"/>
                    <w:spacing w:line="240" w:lineRule="auto"/>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不达标</w:t>
                  </w:r>
                </w:p>
              </w:tc>
            </w:tr>
            <w:tr w14:paraId="24A4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4" w:type="pct"/>
                  <w:vAlign w:val="center"/>
                </w:tcPr>
                <w:p w14:paraId="3A943915">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SO</w:t>
                  </w:r>
                  <w:r>
                    <w:rPr>
                      <w:rFonts w:ascii="Times New Roman" w:hAnsi="Times New Roman"/>
                      <w:strike w:val="0"/>
                      <w:dstrike w:val="0"/>
                      <w:color w:val="auto"/>
                      <w:sz w:val="21"/>
                      <w:szCs w:val="21"/>
                      <w:highlight w:val="none"/>
                      <w:vertAlign w:val="subscript"/>
                    </w:rPr>
                    <w:t>2</w:t>
                  </w:r>
                </w:p>
              </w:tc>
              <w:tc>
                <w:tcPr>
                  <w:tcW w:w="1131" w:type="pct"/>
                  <w:vMerge w:val="continue"/>
                  <w:vAlign w:val="center"/>
                </w:tcPr>
                <w:p w14:paraId="206CC9CA">
                  <w:pPr>
                    <w:pStyle w:val="48"/>
                    <w:spacing w:line="240" w:lineRule="auto"/>
                    <w:rPr>
                      <w:rFonts w:ascii="Times New Roman" w:hAnsi="Times New Roman"/>
                      <w:strike w:val="0"/>
                      <w:dstrike w:val="0"/>
                      <w:color w:val="auto"/>
                      <w:sz w:val="21"/>
                      <w:szCs w:val="21"/>
                      <w:highlight w:val="none"/>
                    </w:rPr>
                  </w:pPr>
                </w:p>
              </w:tc>
              <w:tc>
                <w:tcPr>
                  <w:tcW w:w="742" w:type="pct"/>
                  <w:vAlign w:val="center"/>
                </w:tcPr>
                <w:p w14:paraId="590033B3">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10</w:t>
                  </w:r>
                </w:p>
              </w:tc>
              <w:tc>
                <w:tcPr>
                  <w:tcW w:w="709" w:type="pct"/>
                  <w:vAlign w:val="center"/>
                </w:tcPr>
                <w:p w14:paraId="35641200">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60</w:t>
                  </w:r>
                </w:p>
              </w:tc>
              <w:tc>
                <w:tcPr>
                  <w:tcW w:w="815" w:type="pct"/>
                  <w:vAlign w:val="center"/>
                </w:tcPr>
                <w:p w14:paraId="293C6BCD">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 xml:space="preserve">16.7 </w:t>
                  </w:r>
                </w:p>
              </w:tc>
              <w:tc>
                <w:tcPr>
                  <w:tcW w:w="815" w:type="pct"/>
                  <w:vAlign w:val="center"/>
                </w:tcPr>
                <w:p w14:paraId="3DEDFAD6">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达标</w:t>
                  </w:r>
                </w:p>
              </w:tc>
            </w:tr>
            <w:tr w14:paraId="7434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4" w:type="pct"/>
                  <w:vAlign w:val="center"/>
                </w:tcPr>
                <w:p w14:paraId="0CCC52AF">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NO</w:t>
                  </w:r>
                  <w:r>
                    <w:rPr>
                      <w:rFonts w:ascii="Times New Roman" w:hAnsi="Times New Roman"/>
                      <w:strike w:val="0"/>
                      <w:dstrike w:val="0"/>
                      <w:color w:val="auto"/>
                      <w:sz w:val="21"/>
                      <w:szCs w:val="21"/>
                      <w:highlight w:val="none"/>
                      <w:vertAlign w:val="subscript"/>
                    </w:rPr>
                    <w:t>2</w:t>
                  </w:r>
                </w:p>
              </w:tc>
              <w:tc>
                <w:tcPr>
                  <w:tcW w:w="1131" w:type="pct"/>
                  <w:vMerge w:val="continue"/>
                  <w:vAlign w:val="center"/>
                </w:tcPr>
                <w:p w14:paraId="3536F352">
                  <w:pPr>
                    <w:pStyle w:val="48"/>
                    <w:spacing w:line="240" w:lineRule="auto"/>
                    <w:rPr>
                      <w:rFonts w:ascii="Times New Roman" w:hAnsi="Times New Roman"/>
                      <w:strike w:val="0"/>
                      <w:dstrike w:val="0"/>
                      <w:color w:val="auto"/>
                      <w:sz w:val="21"/>
                      <w:szCs w:val="21"/>
                      <w:highlight w:val="none"/>
                    </w:rPr>
                  </w:pPr>
                </w:p>
              </w:tc>
              <w:tc>
                <w:tcPr>
                  <w:tcW w:w="742" w:type="pct"/>
                  <w:vAlign w:val="center"/>
                </w:tcPr>
                <w:p w14:paraId="4A63CFE0">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26</w:t>
                  </w:r>
                </w:p>
              </w:tc>
              <w:tc>
                <w:tcPr>
                  <w:tcW w:w="709" w:type="pct"/>
                  <w:vAlign w:val="center"/>
                </w:tcPr>
                <w:p w14:paraId="2EC51015">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40</w:t>
                  </w:r>
                </w:p>
              </w:tc>
              <w:tc>
                <w:tcPr>
                  <w:tcW w:w="815" w:type="pct"/>
                  <w:vAlign w:val="center"/>
                </w:tcPr>
                <w:p w14:paraId="5A512F25">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 xml:space="preserve">65.0 </w:t>
                  </w:r>
                </w:p>
              </w:tc>
              <w:tc>
                <w:tcPr>
                  <w:tcW w:w="815" w:type="pct"/>
                  <w:vAlign w:val="center"/>
                </w:tcPr>
                <w:p w14:paraId="44258A33">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达标</w:t>
                  </w:r>
                </w:p>
              </w:tc>
            </w:tr>
            <w:tr w14:paraId="1F79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Align w:val="center"/>
                </w:tcPr>
                <w:p w14:paraId="704EFD95">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O</w:t>
                  </w:r>
                  <w:r>
                    <w:rPr>
                      <w:rFonts w:ascii="Times New Roman" w:hAnsi="Times New Roman"/>
                      <w:strike w:val="0"/>
                      <w:dstrike w:val="0"/>
                      <w:color w:val="auto"/>
                      <w:sz w:val="21"/>
                      <w:szCs w:val="21"/>
                      <w:highlight w:val="none"/>
                      <w:vertAlign w:val="subscript"/>
                    </w:rPr>
                    <w:t>3</w:t>
                  </w:r>
                </w:p>
              </w:tc>
              <w:tc>
                <w:tcPr>
                  <w:tcW w:w="1131" w:type="pct"/>
                  <w:vAlign w:val="center"/>
                </w:tcPr>
                <w:p w14:paraId="524B8C29">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第90百分位数日最大8h平均浓度</w:t>
                  </w:r>
                </w:p>
              </w:tc>
              <w:tc>
                <w:tcPr>
                  <w:tcW w:w="742" w:type="pct"/>
                  <w:vAlign w:val="center"/>
                </w:tcPr>
                <w:p w14:paraId="2DAC5062">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158</w:t>
                  </w:r>
                </w:p>
              </w:tc>
              <w:tc>
                <w:tcPr>
                  <w:tcW w:w="709" w:type="pct"/>
                  <w:vAlign w:val="center"/>
                </w:tcPr>
                <w:p w14:paraId="2B8B419A">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160</w:t>
                  </w:r>
                </w:p>
              </w:tc>
              <w:tc>
                <w:tcPr>
                  <w:tcW w:w="815" w:type="pct"/>
                  <w:vAlign w:val="center"/>
                </w:tcPr>
                <w:p w14:paraId="422FD62A">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 xml:space="preserve">98.8 </w:t>
                  </w:r>
                </w:p>
              </w:tc>
              <w:tc>
                <w:tcPr>
                  <w:tcW w:w="815" w:type="pct"/>
                  <w:shd w:val="clear" w:color="auto" w:fill="auto"/>
                  <w:vAlign w:val="center"/>
                </w:tcPr>
                <w:p w14:paraId="731023BC">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达标</w:t>
                  </w:r>
                </w:p>
              </w:tc>
            </w:tr>
            <w:tr w14:paraId="787C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Align w:val="center"/>
                </w:tcPr>
                <w:p w14:paraId="10D8B6DA">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CO（mg/m</w:t>
                  </w:r>
                  <w:r>
                    <w:rPr>
                      <w:rFonts w:ascii="Times New Roman" w:hAnsi="Times New Roman"/>
                      <w:strike w:val="0"/>
                      <w:dstrike w:val="0"/>
                      <w:color w:val="auto"/>
                      <w:sz w:val="21"/>
                      <w:szCs w:val="21"/>
                      <w:highlight w:val="none"/>
                      <w:vertAlign w:val="superscript"/>
                    </w:rPr>
                    <w:t>3</w:t>
                  </w:r>
                  <w:r>
                    <w:rPr>
                      <w:rFonts w:ascii="Times New Roman" w:hAnsi="Times New Roman"/>
                      <w:strike w:val="0"/>
                      <w:dstrike w:val="0"/>
                      <w:color w:val="auto"/>
                      <w:sz w:val="21"/>
                      <w:szCs w:val="21"/>
                      <w:highlight w:val="none"/>
                    </w:rPr>
                    <w:t>）</w:t>
                  </w:r>
                </w:p>
              </w:tc>
              <w:tc>
                <w:tcPr>
                  <w:tcW w:w="1131" w:type="pct"/>
                  <w:vAlign w:val="center"/>
                </w:tcPr>
                <w:p w14:paraId="4C3893BF">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第95百分位数的日均浓度</w:t>
                  </w:r>
                </w:p>
              </w:tc>
              <w:tc>
                <w:tcPr>
                  <w:tcW w:w="742" w:type="pct"/>
                  <w:vAlign w:val="center"/>
                </w:tcPr>
                <w:p w14:paraId="25C538D4">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1.0</w:t>
                  </w:r>
                </w:p>
              </w:tc>
              <w:tc>
                <w:tcPr>
                  <w:tcW w:w="709" w:type="pct"/>
                  <w:vAlign w:val="center"/>
                </w:tcPr>
                <w:p w14:paraId="69962A3B">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4</w:t>
                  </w:r>
                </w:p>
              </w:tc>
              <w:tc>
                <w:tcPr>
                  <w:tcW w:w="815" w:type="pct"/>
                  <w:vAlign w:val="center"/>
                </w:tcPr>
                <w:p w14:paraId="6BA004DA">
                  <w:pPr>
                    <w:pStyle w:val="48"/>
                    <w:spacing w:line="240" w:lineRule="auto"/>
                    <w:rPr>
                      <w:rFonts w:ascii="Times New Roman" w:hAnsi="Times New Roman"/>
                      <w:strike w:val="0"/>
                      <w:dstrike w:val="0"/>
                      <w:color w:val="auto"/>
                      <w:sz w:val="21"/>
                      <w:szCs w:val="21"/>
                      <w:highlight w:val="none"/>
                    </w:rPr>
                  </w:pPr>
                  <w:r>
                    <w:rPr>
                      <w:rFonts w:hint="eastAsia" w:ascii="Times New Roman" w:hAnsi="Times New Roman"/>
                      <w:strike w:val="0"/>
                      <w:dstrike w:val="0"/>
                      <w:color w:val="auto"/>
                      <w:sz w:val="21"/>
                      <w:szCs w:val="21"/>
                      <w:highlight w:val="none"/>
                    </w:rPr>
                    <w:t xml:space="preserve">25.0 </w:t>
                  </w:r>
                </w:p>
              </w:tc>
              <w:tc>
                <w:tcPr>
                  <w:tcW w:w="815" w:type="pct"/>
                  <w:vAlign w:val="center"/>
                </w:tcPr>
                <w:p w14:paraId="72D3168A">
                  <w:pPr>
                    <w:pStyle w:val="48"/>
                    <w:spacing w:line="240" w:lineRule="auto"/>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达标</w:t>
                  </w:r>
                </w:p>
              </w:tc>
            </w:tr>
          </w:tbl>
          <w:p w14:paraId="0191FE9D">
            <w:pPr>
              <w:spacing w:line="360" w:lineRule="auto"/>
              <w:ind w:firstLine="480" w:firstLineChars="200"/>
              <w:rPr>
                <w:strike w:val="0"/>
                <w:dstrike w:val="0"/>
                <w:color w:val="auto"/>
                <w:sz w:val="24"/>
                <w:highlight w:val="none"/>
              </w:rPr>
            </w:pPr>
            <w:r>
              <w:rPr>
                <w:strike w:val="0"/>
                <w:dstrike w:val="0"/>
                <w:color w:val="auto"/>
                <w:sz w:val="24"/>
                <w:highlight w:val="none"/>
              </w:rPr>
              <w:t>根据表3.1-1可知，区域</w:t>
            </w:r>
            <w:r>
              <w:rPr>
                <w:strike w:val="0"/>
                <w:dstrike w:val="0"/>
                <w:color w:val="auto"/>
                <w:szCs w:val="21"/>
                <w:highlight w:val="none"/>
              </w:rPr>
              <w:t>PM</w:t>
            </w:r>
            <w:r>
              <w:rPr>
                <w:strike w:val="0"/>
                <w:dstrike w:val="0"/>
                <w:color w:val="auto"/>
                <w:szCs w:val="21"/>
                <w:highlight w:val="none"/>
                <w:vertAlign w:val="subscript"/>
              </w:rPr>
              <w:t>2.5</w:t>
            </w:r>
            <w:r>
              <w:rPr>
                <w:strike w:val="0"/>
                <w:dstrike w:val="0"/>
                <w:color w:val="auto"/>
                <w:sz w:val="24"/>
                <w:highlight w:val="none"/>
              </w:rPr>
              <w:t>不满足环境空气质量标准，其余因子均满足相应标准要求，项目所在区域属不达标区。</w:t>
            </w:r>
          </w:p>
          <w:p w14:paraId="1DC16D8F">
            <w:pPr>
              <w:spacing w:line="360" w:lineRule="auto"/>
              <w:ind w:firstLine="480" w:firstLineChars="200"/>
              <w:rPr>
                <w:strike w:val="0"/>
                <w:dstrike w:val="0"/>
                <w:color w:val="auto"/>
                <w:sz w:val="24"/>
                <w:highlight w:val="none"/>
              </w:rPr>
            </w:pPr>
            <w:r>
              <w:rPr>
                <w:strike w:val="0"/>
                <w:dstrike w:val="0"/>
                <w:color w:val="auto"/>
                <w:sz w:val="24"/>
                <w:highlight w:val="none"/>
              </w:rPr>
              <w:t>根据《合川区生态环境保护“十四五</w:t>
            </w:r>
            <w:r>
              <w:rPr>
                <w:rFonts w:hint="eastAsia"/>
                <w:strike w:val="0"/>
                <w:dstrike w:val="0"/>
                <w:color w:val="auto"/>
                <w:sz w:val="24"/>
                <w:highlight w:val="none"/>
              </w:rPr>
              <w:t>”</w:t>
            </w:r>
            <w:r>
              <w:rPr>
                <w:strike w:val="0"/>
                <w:dstrike w:val="0"/>
                <w:color w:val="auto"/>
                <w:sz w:val="24"/>
                <w:highlight w:val="none"/>
              </w:rPr>
              <w:t>规划（2021-2025年）》中“五、深入打好污染防治攻坚战，实现生态环境质量持续改善（一）精准施策改善空气环境质量</w:t>
            </w:r>
            <w:r>
              <w:rPr>
                <w:rFonts w:hint="eastAsia"/>
                <w:strike w:val="0"/>
                <w:dstrike w:val="0"/>
                <w:color w:val="auto"/>
                <w:sz w:val="24"/>
                <w:highlight w:val="none"/>
              </w:rPr>
              <w:t>”</w:t>
            </w:r>
            <w:r>
              <w:rPr>
                <w:strike w:val="0"/>
                <w:dstrike w:val="0"/>
                <w:color w:val="auto"/>
                <w:sz w:val="24"/>
                <w:highlight w:val="none"/>
              </w:rPr>
              <w:t>明确</w:t>
            </w:r>
            <w:bookmarkStart w:id="77" w:name="OfficeAI_Add_1_78"/>
            <w:r>
              <w:rPr>
                <w:rFonts w:hint="eastAsia"/>
                <w:strike w:val="0"/>
                <w:dstrike w:val="0"/>
                <w:color w:val="auto"/>
                <w:sz w:val="24"/>
                <w:highlight w:val="none"/>
                <w:lang w:eastAsia="zh-CN"/>
              </w:rPr>
              <w:t>的</w:t>
            </w:r>
            <w:bookmarkEnd w:id="77"/>
            <w:r>
              <w:rPr>
                <w:strike w:val="0"/>
                <w:dstrike w:val="0"/>
                <w:color w:val="auto"/>
                <w:sz w:val="24"/>
                <w:highlight w:val="none"/>
              </w:rPr>
              <w:t>减缓方案如下：</w:t>
            </w:r>
          </w:p>
          <w:p w14:paraId="34EBA07C">
            <w:pPr>
              <w:spacing w:line="360" w:lineRule="auto"/>
              <w:ind w:firstLine="480" w:firstLineChars="200"/>
              <w:rPr>
                <w:strike w:val="0"/>
                <w:dstrike w:val="0"/>
                <w:color w:val="auto"/>
                <w:sz w:val="24"/>
                <w:highlight w:val="none"/>
              </w:rPr>
            </w:pPr>
            <w:r>
              <w:rPr>
                <w:strike w:val="0"/>
                <w:dstrike w:val="0"/>
                <w:color w:val="auto"/>
                <w:sz w:val="24"/>
                <w:highlight w:val="none"/>
              </w:rPr>
              <w:t>①强化大气环境空间管控和约束。按照《重庆市合川区人民政府关于印发合川区大气污染防治工作任务考核办法（试行）的通知》要求，结合“三线一单</w:t>
            </w:r>
            <w:r>
              <w:rPr>
                <w:rFonts w:hint="eastAsia"/>
                <w:strike w:val="0"/>
                <w:dstrike w:val="0"/>
                <w:color w:val="auto"/>
                <w:sz w:val="24"/>
                <w:highlight w:val="none"/>
              </w:rPr>
              <w:t>”</w:t>
            </w:r>
            <w:r>
              <w:rPr>
                <w:strike w:val="0"/>
                <w:dstrike w:val="0"/>
                <w:color w:val="auto"/>
                <w:sz w:val="24"/>
                <w:highlight w:val="none"/>
              </w:rPr>
              <w:t>和环境空气质量功能区划，将全区划分为大气污染防治重点控制区和一般控制区。重点控制区内的产业布局方案应根据大气环境承载力和输送规律合理制定，形成有利于大气污染物扩散的城市空间格局。</w:t>
            </w:r>
          </w:p>
          <w:p w14:paraId="79C09285">
            <w:pPr>
              <w:spacing w:line="360" w:lineRule="auto"/>
              <w:ind w:firstLine="480" w:firstLineChars="200"/>
              <w:rPr>
                <w:strike w:val="0"/>
                <w:dstrike w:val="0"/>
                <w:color w:val="auto"/>
                <w:sz w:val="24"/>
                <w:highlight w:val="none"/>
              </w:rPr>
            </w:pPr>
            <w:r>
              <w:rPr>
                <w:strike w:val="0"/>
                <w:dstrike w:val="0"/>
                <w:color w:val="auto"/>
                <w:sz w:val="24"/>
                <w:highlight w:val="none"/>
              </w:rPr>
              <w:t>②加大工业废气综合治理力度。严格执行大气污染物特别排放限值，全面开展挥发性有机物治理，深化重点行业挥发性有机物摸查，持续开展挥发性有机物排放企业专项整治，加大重点行业、重点企业VOCs全过程污染治理整治，鼓励区内挥发性有机物企业安装在线监测监控和工况监测设施，并接入环保物联网系统。严格落实VOCs含量限制标准，大力推进低（无）VOCs原辅材料替代，将生产和使用高VOCs含量产品的企业列入强制性清洁生产审核名单。</w:t>
            </w:r>
            <w:bookmarkStart w:id="78" w:name="OfficeAI_Add_3_207"/>
            <w:r>
              <w:rPr>
                <w:rFonts w:hint="eastAsia"/>
                <w:strike w:val="0"/>
                <w:dstrike w:val="0"/>
                <w:color w:val="auto"/>
                <w:sz w:val="24"/>
                <w:highlight w:val="none"/>
                <w:lang w:eastAsia="zh-CN"/>
              </w:rPr>
              <w:t>强</w:t>
            </w:r>
            <w:bookmarkEnd w:id="78"/>
            <w:r>
              <w:rPr>
                <w:strike w:val="0"/>
                <w:dstrike w:val="0"/>
                <w:color w:val="auto"/>
                <w:sz w:val="24"/>
                <w:highlight w:val="none"/>
              </w:rPr>
              <w:t>化污染企业台账管理，台账保存期限不少于三年。加强污染源监督监测。</w:t>
            </w:r>
          </w:p>
          <w:p w14:paraId="7EC7F647">
            <w:pPr>
              <w:spacing w:line="360" w:lineRule="auto"/>
              <w:ind w:firstLine="480" w:firstLineChars="200"/>
              <w:rPr>
                <w:strike w:val="0"/>
                <w:dstrike w:val="0"/>
                <w:color w:val="auto"/>
                <w:sz w:val="24"/>
                <w:highlight w:val="none"/>
              </w:rPr>
            </w:pPr>
            <w:r>
              <w:rPr>
                <w:strike w:val="0"/>
                <w:dstrike w:val="0"/>
                <w:color w:val="auto"/>
                <w:sz w:val="24"/>
                <w:highlight w:val="none"/>
              </w:rPr>
              <w:t>③全面控制交通污染。加快优化调整交通运输结构，构建以电气化铁路、清洁船舶为主的中长途客货运，以低排放车、新能源车为主的短途客货运体系。</w:t>
            </w:r>
          </w:p>
          <w:p w14:paraId="5A3AF544">
            <w:pPr>
              <w:spacing w:line="360" w:lineRule="auto"/>
              <w:ind w:firstLine="480" w:firstLineChars="200"/>
              <w:rPr>
                <w:strike w:val="0"/>
                <w:dstrike w:val="0"/>
                <w:color w:val="auto"/>
                <w:sz w:val="24"/>
                <w:highlight w:val="none"/>
              </w:rPr>
            </w:pPr>
            <w:r>
              <w:rPr>
                <w:strike w:val="0"/>
                <w:dstrike w:val="0"/>
                <w:color w:val="auto"/>
                <w:sz w:val="24"/>
                <w:highlight w:val="none"/>
              </w:rPr>
              <w:t>④有效防治扬尘污染。严格施工扬尘管理，建筑面积8万平方米以上工地全部安装扬尘在线监测系统并联网，落实施工扬尘控制“十项规定</w:t>
            </w:r>
            <w:r>
              <w:rPr>
                <w:rFonts w:hint="eastAsia"/>
                <w:strike w:val="0"/>
                <w:dstrike w:val="0"/>
                <w:color w:val="auto"/>
                <w:sz w:val="24"/>
                <w:highlight w:val="none"/>
              </w:rPr>
              <w:t>”</w:t>
            </w:r>
            <w:r>
              <w:rPr>
                <w:strike w:val="0"/>
                <w:dstrike w:val="0"/>
                <w:color w:val="auto"/>
                <w:sz w:val="24"/>
                <w:highlight w:val="none"/>
              </w:rPr>
              <w:t>和“红黄绿</w:t>
            </w:r>
            <w:r>
              <w:rPr>
                <w:rFonts w:hint="eastAsia"/>
                <w:strike w:val="0"/>
                <w:dstrike w:val="0"/>
                <w:color w:val="auto"/>
                <w:sz w:val="24"/>
                <w:highlight w:val="none"/>
              </w:rPr>
              <w:t>”</w:t>
            </w:r>
            <w:r>
              <w:rPr>
                <w:strike w:val="0"/>
                <w:dstrike w:val="0"/>
                <w:color w:val="auto"/>
                <w:sz w:val="24"/>
                <w:highlight w:val="none"/>
              </w:rPr>
              <w:t>名单分级管理制度，开展扬尘控制示范工地和扬尘控制示范区建设和评比，力争每年创建（巩固）10个以上扬尘控制示范工地。</w:t>
            </w:r>
          </w:p>
          <w:p w14:paraId="65C1A7BC">
            <w:pPr>
              <w:spacing w:line="360" w:lineRule="auto"/>
              <w:ind w:firstLine="480" w:firstLineChars="200"/>
              <w:rPr>
                <w:strike w:val="0"/>
                <w:dstrike w:val="0"/>
                <w:color w:val="auto"/>
                <w:sz w:val="24"/>
                <w:highlight w:val="none"/>
              </w:rPr>
            </w:pPr>
            <w:r>
              <w:rPr>
                <w:strike w:val="0"/>
                <w:dstrike w:val="0"/>
                <w:color w:val="auto"/>
                <w:sz w:val="24"/>
                <w:highlight w:val="none"/>
              </w:rPr>
              <w:t>⑤深化生活污染治理。巩固扩大高污染燃料禁燃区，推进城市近郊区划入禁燃区，严格执行高污染燃料目录并定期组织开展联合执法，禁止燃烧高污染燃料。</w:t>
            </w:r>
          </w:p>
          <w:p w14:paraId="213617B1">
            <w:pPr>
              <w:spacing w:line="360" w:lineRule="auto"/>
              <w:ind w:firstLine="480" w:firstLineChars="200"/>
              <w:rPr>
                <w:strike w:val="0"/>
                <w:dstrike w:val="0"/>
                <w:color w:val="auto"/>
                <w:sz w:val="24"/>
                <w:highlight w:val="none"/>
              </w:rPr>
            </w:pPr>
            <w:r>
              <w:rPr>
                <w:strike w:val="0"/>
                <w:dstrike w:val="0"/>
                <w:color w:val="auto"/>
                <w:sz w:val="24"/>
                <w:highlight w:val="none"/>
              </w:rPr>
              <w:t>⑥加强区域大气污染协作防治。深化开展部门联动、区域联动，建设合川区区级部门联动机制，深化与周边区县合作，形成区县之间、部门之间大气污染防治联防联控、重大项目会商、大气污染预警应急与联合执法、信息共享与交互等机制的常态化运行，协调共同解决颗粒物、臭氧污染等区域大气污染突出问题。</w:t>
            </w:r>
          </w:p>
          <w:p w14:paraId="546FFE45">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在合川区执行相应的整治措施后，可改善区域环境质量达标情况。</w:t>
            </w:r>
          </w:p>
          <w:p w14:paraId="57AA3BBD">
            <w:pPr>
              <w:adjustRightInd w:val="0"/>
              <w:snapToGrid w:val="0"/>
              <w:spacing w:line="360" w:lineRule="auto"/>
              <w:ind w:firstLine="480" w:firstLineChars="200"/>
              <w:rPr>
                <w:strike w:val="0"/>
                <w:dstrike w:val="0"/>
                <w:color w:val="auto"/>
                <w:kern w:val="0"/>
                <w:sz w:val="24"/>
                <w:highlight w:val="none"/>
              </w:rPr>
            </w:pPr>
            <w:r>
              <w:rPr>
                <w:strike w:val="0"/>
                <w:dstrike w:val="0"/>
                <w:color w:val="auto"/>
                <w:kern w:val="0"/>
                <w:sz w:val="24"/>
                <w:highlight w:val="none"/>
              </w:rPr>
              <w:t>（2）其他污染物</w:t>
            </w:r>
          </w:p>
          <w:p w14:paraId="0B3475F9">
            <w:pPr>
              <w:spacing w:line="360" w:lineRule="auto"/>
              <w:ind w:firstLine="480" w:firstLineChars="200"/>
              <w:rPr>
                <w:strike w:val="0"/>
                <w:dstrike w:val="0"/>
                <w:color w:val="auto"/>
                <w:sz w:val="24"/>
                <w:highlight w:val="none"/>
              </w:rPr>
            </w:pPr>
            <w:r>
              <w:rPr>
                <w:strike w:val="0"/>
                <w:dstrike w:val="0"/>
                <w:color w:val="auto"/>
                <w:sz w:val="24"/>
                <w:highlight w:val="none"/>
              </w:rPr>
              <w:t>为进一步了解项目所在地的环境空气质量现状，本次评价委托重庆欧鸣检测有限公司于2024年9月11日至2024年9月13日对项目所在地大气特征因子进行实测。监测情况如下：</w:t>
            </w:r>
          </w:p>
          <w:p w14:paraId="56C32F1E">
            <w:pPr>
              <w:spacing w:line="360" w:lineRule="auto"/>
              <w:ind w:firstLine="480" w:firstLineChars="200"/>
              <w:rPr>
                <w:strike w:val="0"/>
                <w:dstrike w:val="0"/>
                <w:color w:val="auto"/>
                <w:sz w:val="24"/>
                <w:highlight w:val="none"/>
              </w:rPr>
            </w:pPr>
            <w:r>
              <w:rPr>
                <w:strike w:val="0"/>
                <w:dstrike w:val="0"/>
                <w:color w:val="auto"/>
                <w:sz w:val="24"/>
                <w:highlight w:val="none"/>
              </w:rPr>
              <w:t>①监测布点：拟建厂区外西南侧（G1）</w:t>
            </w:r>
          </w:p>
          <w:p w14:paraId="5090A969">
            <w:pPr>
              <w:spacing w:line="360" w:lineRule="auto"/>
              <w:ind w:firstLine="480" w:firstLineChars="200"/>
              <w:rPr>
                <w:strike w:val="0"/>
                <w:dstrike w:val="0"/>
                <w:color w:val="auto"/>
                <w:sz w:val="24"/>
                <w:highlight w:val="none"/>
              </w:rPr>
            </w:pPr>
            <w:r>
              <w:rPr>
                <w:strike w:val="0"/>
                <w:dstrike w:val="0"/>
                <w:color w:val="auto"/>
                <w:sz w:val="24"/>
                <w:highlight w:val="none"/>
              </w:rPr>
              <w:t>②监测因子：非甲烷总烃</w:t>
            </w:r>
          </w:p>
          <w:p w14:paraId="15DD8135">
            <w:pPr>
              <w:spacing w:line="360" w:lineRule="auto"/>
              <w:ind w:firstLine="480" w:firstLineChars="200"/>
              <w:rPr>
                <w:strike w:val="0"/>
                <w:dstrike w:val="0"/>
                <w:color w:val="auto"/>
                <w:sz w:val="24"/>
                <w:highlight w:val="none"/>
              </w:rPr>
            </w:pPr>
            <w:r>
              <w:rPr>
                <w:strike w:val="0"/>
                <w:dstrike w:val="0"/>
                <w:color w:val="auto"/>
                <w:sz w:val="24"/>
                <w:highlight w:val="none"/>
              </w:rPr>
              <w:t>③监测时间：2024年9月11日至2024年9月13日</w:t>
            </w:r>
          </w:p>
          <w:p w14:paraId="33C03DD4">
            <w:pPr>
              <w:spacing w:line="360" w:lineRule="auto"/>
              <w:ind w:firstLine="480" w:firstLineChars="200"/>
              <w:rPr>
                <w:strike w:val="0"/>
                <w:dstrike w:val="0"/>
                <w:color w:val="auto"/>
                <w:sz w:val="24"/>
                <w:highlight w:val="none"/>
              </w:rPr>
            </w:pPr>
            <w:r>
              <w:rPr>
                <w:strike w:val="0"/>
                <w:dstrike w:val="0"/>
                <w:color w:val="auto"/>
                <w:sz w:val="24"/>
                <w:highlight w:val="none"/>
              </w:rPr>
              <w:t>④监测频次：非甲烷总烃连续监测3天，测小时值。</w:t>
            </w:r>
          </w:p>
          <w:p w14:paraId="5C8A43D9">
            <w:pPr>
              <w:spacing w:line="360" w:lineRule="auto"/>
              <w:ind w:firstLine="480" w:firstLineChars="200"/>
              <w:rPr>
                <w:strike w:val="0"/>
                <w:dstrike w:val="0"/>
                <w:color w:val="auto"/>
                <w:sz w:val="24"/>
                <w:highlight w:val="none"/>
              </w:rPr>
            </w:pPr>
            <w:r>
              <w:rPr>
                <w:strike w:val="0"/>
                <w:dstrike w:val="0"/>
                <w:color w:val="auto"/>
                <w:sz w:val="24"/>
                <w:highlight w:val="none"/>
              </w:rPr>
              <w:t>⑤评价方法及标准</w:t>
            </w:r>
          </w:p>
          <w:p w14:paraId="65600A83">
            <w:pPr>
              <w:spacing w:line="360" w:lineRule="auto"/>
              <w:ind w:firstLine="480" w:firstLineChars="200"/>
              <w:rPr>
                <w:strike w:val="0"/>
                <w:dstrike w:val="0"/>
                <w:color w:val="auto"/>
                <w:sz w:val="24"/>
                <w:highlight w:val="none"/>
              </w:rPr>
            </w:pPr>
            <w:r>
              <w:rPr>
                <w:strike w:val="0"/>
                <w:dstrike w:val="0"/>
                <w:color w:val="auto"/>
                <w:sz w:val="24"/>
                <w:highlight w:val="none"/>
              </w:rPr>
              <w:t>评价方法采用超标率、最大浓度占标率对环境空气质量进行现状评价。</w:t>
            </w:r>
          </w:p>
          <w:p w14:paraId="7D7A288D">
            <w:pPr>
              <w:spacing w:line="360" w:lineRule="auto"/>
              <w:ind w:firstLine="480" w:firstLineChars="200"/>
              <w:rPr>
                <w:strike w:val="0"/>
                <w:dstrike w:val="0"/>
                <w:color w:val="auto"/>
                <w:sz w:val="24"/>
                <w:highlight w:val="none"/>
              </w:rPr>
            </w:pPr>
            <w:r>
              <w:rPr>
                <w:strike w:val="0"/>
                <w:dstrike w:val="0"/>
                <w:color w:val="auto"/>
                <w:sz w:val="24"/>
                <w:highlight w:val="none"/>
              </w:rPr>
              <w:t>最大浓度占标率：</w:t>
            </w:r>
            <w:r>
              <w:rPr>
                <w:strike w:val="0"/>
                <w:dstrike w:val="0"/>
                <w:color w:val="auto"/>
                <w:sz w:val="24"/>
                <w:highlight w:val="none"/>
              </w:rPr>
              <w:fldChar w:fldCharType="begin"/>
            </w:r>
            <w:r>
              <w:rPr>
                <w:strike w:val="0"/>
                <w:dstrike w:val="0"/>
                <w:color w:val="auto"/>
                <w:sz w:val="24"/>
                <w:highlight w:val="none"/>
              </w:rPr>
              <w:instrText xml:space="preserve"> QUOTE </w:instrText>
            </w:r>
            <w:r>
              <w:rPr>
                <w:strike w:val="0"/>
                <w:dstrike w:val="0"/>
                <w:color w:val="auto"/>
                <w:position w:val="-17"/>
                <w:sz w:val="24"/>
                <w:highlight w:val="none"/>
              </w:rPr>
              <w:pict>
                <v:shape id="_x0000_i1030" o:spt="75" type="#_x0000_t75" style="height:22.55pt;width:80.1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quot;/&gt;&lt;w:noLineBreaksBefore w:lang=&quot;ZH-CN&quot; w:val=&quot;!),.:;?]}¨·ˇˉ―‖’”…∶、。〃々〉》」』】〕〗！＂＇），．：；？］｀｜｝～￠&quot;/&gt;&lt;w:webPageEncoding w:val=&quot;x-cp20936&quot;/&gt;&lt;w:optimizeForBrowser/&gt;&lt;w:tarl w:val=&quot;CompressPunctuation&quot;/&gt;&lt;w:noLineBreaksAfter gew:val=&quot;CompressPunctuation&quot;/&gt;&lt;w:noLineBreaksAfter w: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14947&quot;/&gt;&lt;wsp:rsid wsp:val=&quot;000060B3&quot;/&gt;&lt;wsp:rsid wsp:val=&quot;0004364B&quot;/&gt;&lt;wsp:rsid wsp:val=&quot;00061B1F&quot;/&gt;&lt;wsp:rsid wsp:val=&quot;000733C4&quot;/&gt;&lt;wsp:rsid wsp:val=&quot;00074783&quot;/&gt;&lt;wsp:rsid wsp:val=&quot;0008070B&quot;/&gt;&lt;wsp:rsid wsp:val=&quot;000810AC&quot;/&gt;&lt;wsp:rsid wsp:val=&quot;00081A02&quot;/&gt;&lt;wsp:rsid wsp:val=&quot;00082231&quot;/&gt;&lt;wsp:rsid wsp:val=&quot;00092D38&quot;/&gt;&lt;wsp:rsid wsp:val=&quot;0009377B&quot;/&gt;&lt;wsp:rsid wsp:val=&quot;00094D65&quot;/&gt;&lt;wsp:rsid wsp:val=&quot;000A20C9&quot;/&gt;&lt;wsp:rsid wsp:val=&quot;000B058F&quot;/&gt;&lt;wsp:rsid wsp:val=&quot;000B4467&quot;/&gt;&lt;wsp:rsid wsp:val=&quot;000B4DB9&quot;/&gt;&lt;wsp:rsid wsp:val=&quot;000C09AC&quot;/&gt;&lt;wsp:rsid wsp:val=&quot;000C767F&quot;/&gt;&lt;wsp:rsid wsp:val=&quot;000D5A44&quot;/&gt;&lt;wsp:rsid wsp:val=&quot;000E20BF&quot;/&gt;&lt;wsp:rsid wsp:val=&quot;000E3ED2&quot;/&gt;&lt;wsp:rsid wsp:val=&quot;00131F42&quot;/&gt;&lt;wsp:rsid wsp:val=&quot;001357F1&quot;/&gt;&lt;wsp:rsid wsp:val=&quot;00140FA8&quot;/&gt;&lt;wsp:rsid wsp:val=&quot;00142FEB&quot;/&gt;&lt;wsp:rsid wsp:val=&quot;00143A2D&quot;/&gt;&lt;wsp:rsid wsp:val=&quot;00145A41&quot;/&gt;&lt;wsp:rsid wsp:val=&quot;00151675&quot;/&gt;&lt;wsp:rsid wsp:val=&quot;00157435&quot;/&gt;&lt;wsp:rsid wsp:val=&quot;0017504D&quot;/&gt;&lt;wsp:rsid wsp:val=&quot;0017671A&quot;/&gt;&lt;wsp:rsid wsp:val=&quot;00177422&quot;/&gt;&lt;wsp:rsid wsp:val=&quot;00184590&quot;/&gt;&lt;wsp:rsid wsp:val=&quot;001870D1&quot;/&gt;&lt;wsp:rsid wsp:val=&quot;0018781E&quot;/&gt;&lt;wsp:rsid wsp:val=&quot;0019262D&quot;/&gt;&lt;wsp:rsid wsp:val=&quot;001A1B35&quot;/&gt;&lt;wsp:rsid wsp:val=&quot;001A48A2&quot;/&gt;&lt;wsp:rsid wsp:val=&quot;001A6F61&quot;/&gt;&lt;wsp:rsid wsp:val=&quot;001B72B8&quot;/&gt;&lt;wsp:rsid wsp:val=&quot;001C59A1&quot;/&gt;&lt;wsp:rsid wsp:val=&quot;001C69B3&quot;/&gt;&lt;wsp:rsid wsp:val=&quot;001D5595&quot;/&gt;&lt;wsp:rsid wsp:val=&quot;001D7874&quot;/&gt;&lt;wsp:rsid wsp:val=&quot;001D7F22&quot;/&gt;&lt;wsp:rsid wsp:val=&quot;001E7827&quot;/&gt;&lt;wsp:rsid wsp:val=&quot;001F0F17&quot;/&gt;&lt;wsp:rsid wsp:val=&quot;001F3347&quot;/&gt;&lt;wsp:rsid wsp:val=&quot;001F69E4&quot;/&gt;&lt;wsp:rsid wsp:val=&quot;001F71D5&quot;/&gt;&lt;wsp:rsid wsp:val=&quot;002125B4&quot;/&gt;&lt;wsp:rsid wsp:val=&quot;002155B8&quot;/&gt;&lt;wsp:rsid wsp:val=&quot;00224839&quot;/&gt;&lt;wsp:rsid wsp:val=&quot;002249B2&quot;/&gt;&lt;wsp:rsid wsp:val=&quot;00226574&quot;/&gt;&lt;wsp:rsid wsp:val=&quot;002278EC&quot;/&gt;&lt;wsp:rsid wsp:val=&quot;0023280E&quot;/&gt;&lt;wsp:rsid wsp:val=&quot;002377D1&quot;/&gt;&lt;wsp:rsid wsp:val=&quot;002506BC&quot;/&gt;&lt;wsp:rsid wsp:val=&quot;00254345&quot;/&gt;&lt;wsp:rsid wsp:val=&quot;00264557&quot;/&gt;&lt;wsp:rsid wsp:val=&quot;002805AB&quot;/&gt;&lt;wsp:rsid wsp:val=&quot;00284204&quot;/&gt;&lt;wsp:rsid wsp:val=&quot;002911C0&quot;/&gt;&lt;wsp:rsid wsp:val=&quot;00291773&quot;/&gt;&lt;wsp:rsid wsp:val=&quot;002A168C&quot;/&gt;&lt;wsp:rsid wsp:val=&quot;002A3DC7&quot;/&gt;&lt;wsp:rsid wsp:val=&quot;002B49E2&quot;/&gt;&lt;wsp:rsid wsp:val=&quot;002B7B00&quot;/&gt;&lt;wsp:rsid wsp:val=&quot;002B7C44&quot;/&gt;&lt;wsp:rsid wsp:val=&quot;002C2B17&quot;/&gt;&lt;wsp:rsid wsp:val=&quot;002D3DD0&quot;/&gt;&lt;wsp:rsid wsp:val=&quot;002D544C&quot;/&gt;&lt;wsp:rsid wsp:val=&quot;002E1F3A&quot;/&gt;&lt;wsp:rsid wsp:val=&quot;002E298A&quot;/&gt;&lt;wsp:rsid wsp:val=&quot;00301978&quot;/&gt;&lt;wsp:rsid wsp:val=&quot;0030332C&quot;/&gt;&lt;wsp:rsid wsp:val=&quot;003051C2&quot;/&gt;&lt;wsp:rsid wsp:val=&quot;00312296&quot;/&gt;&lt;wsp:rsid wsp:val=&quot;00314F0E&quot;/&gt;&lt;wsp:rsid wsp:val=&quot;00321D8E&quot;/&gt;&lt;wsp:rsid wsp:val=&quot;00325928&quot;/&gt;&lt;wsp:rsid wsp:val=&quot;00332863&quot;/&gt;&lt;wsp:rsid wsp:val=&quot;0033684D&quot;/&gt;&lt;wsp:rsid wsp:val=&quot;00337B42&quot;/&gt;&lt;wsp:rsid wsp:val=&quot;00341B42&quot;/&gt;&lt;wsp:rsid wsp:val=&quot;0034348F&quot;/&gt;&lt;wsp:rsid wsp:val=&quot;00356653&quot;/&gt;&lt;wsp:rsid wsp:val=&quot;0035743F&quot;/&gt;&lt;wsp:rsid wsp:val=&quot;00357BE2&quot;/&gt;&lt;wsp:rsid wsp:val=&quot;0036170C&quot;/&gt;&lt;wsp:rsid wsp:val=&quot;00366E0F&quot;/&gt;&lt;wsp:rsid wsp:val=&quot;00381A72&quot;/&gt;&lt;wsp:rsid wsp:val=&quot;00383CE0&quot;/&gt;&lt;wsp:rsid wsp:val=&quot;00384676&quot;/&gt;&lt;wsp:rsid wsp:val=&quot;00390857&quot;/&gt;&lt;wsp:rsid wsp:val=&quot;003A4BF3&quot;/&gt;&lt;wsp:rsid wsp:val=&quot;003B420D&quot;/&gt;&lt;wsp:rsid wsp:val=&quot;003C6C16&quot;/&gt;&lt;wsp:rsid wsp:val=&quot;003D794D&quot;/&gt;&lt;wsp:rsid wsp:val=&quot;003E3058&quot;/&gt;&lt;wsp:rsid wsp:val=&quot;003E76A9&quot;/&gt;&lt;wsp:rsid wsp:val=&quot;003F0809&quot;/&gt;&lt;wsp:rsid wsp:val=&quot;003F6A8C&quot;/&gt;&lt;wsp:rsid wsp:val=&quot;003F755C&quot;/&gt;&lt;wsp:rsid wsp:val=&quot;00406F01&quot;/&gt;&lt;wsp:rsid wsp:val=&quot;00416D50&quot;/&gt;&lt;wsp:rsid wsp:val=&quot;00416FD5&quot;/&gt;&lt;wsp:rsid wsp:val=&quot;00417772&quot;/&gt;&lt;wsp:rsid wsp:val=&quot;00420E6A&quot;/&gt;&lt;wsp:rsid wsp:val=&quot;00423500&quot;/&gt;&lt;wsp:rsid wsp:val=&quot;00425A9E&quot;/&gt;&lt;wsp:rsid wsp:val=&quot;00426D6B&quot;/&gt;&lt;wsp:rsid wsp:val=&quot;00431E6C&quot;/&gt;&lt;wsp:rsid wsp:val=&quot;00433CE7&quot;/&gt;&lt;wsp:rsid wsp:val=&quot;00452738&quot;/&gt;&lt;wsp:rsid wsp:val=&quot;00456091&quot;/&gt;&lt;wsp:rsid wsp:val=&quot;00466321&quot;/&gt;&lt;wsp:rsid wsp:val=&quot;004675B9&quot;/&gt;&lt;wsp:rsid wsp:val=&quot;00484B9B&quot;/&gt;&lt;wsp:rsid wsp:val=&quot;004855F6&quot;/&gt;&lt;wsp:rsid wsp:val=&quot;0048661E&quot;/&gt;&lt;wsp:rsid wsp:val=&quot;00494670&quot;/&gt;&lt;wsp:rsid wsp:val=&quot;004A3823&quot;/&gt;&lt;wsp:rsid wsp:val=&quot;004D2423&quot;/&gt;&lt;wsp:rsid wsp:val=&quot;004E6946&quot;/&gt;&lt;wsp:rsid wsp:val=&quot;004F1AD8&quot;/&gt;&lt;wsp:rsid wsp:val=&quot;004F21CA&quot;/&gt;&lt;wsp:rsid wsp:val=&quot;005039CB&quot;/&gt;&lt;wsp:rsid wsp:val=&quot;0050558F&quot;/&gt;&lt;wsp:rsid wsp:val=&quot;00506286&quot;/&gt;&lt;wsp:rsid wsp:val=&quot;00510813&quot;/&gt;&lt;wsp:rsid wsp:val=&quot;00511990&quot;/&gt;&lt;wsp:rsid wsp:val=&quot;00511DE0&quot;/&gt;&lt;wsp:rsid wsp:val=&quot;00514870&quot;/&gt;&lt;wsp:rsid wsp:val=&quot;00514B9B&quot;/&gt;&lt;wsp:rsid wsp:val=&quot;00517F02&quot;/&gt;&lt;wsp:rsid wsp:val=&quot;00524303&quot;/&gt;&lt;wsp:rsid wsp:val=&quot;005258A2&quot;/&gt;&lt;wsp:rsid wsp:val=&quot;005401AE&quot;/&gt;&lt;wsp:rsid wsp:val=&quot;00542E07&quot;/&gt;&lt;wsp:rsid wsp:val=&quot;00545424&quot;/&gt;&lt;wsp:rsid wsp:val=&quot;00554A7B&quot;/&gt;&lt;wsp:rsid wsp:val=&quot;0055572C&quot;/&gt;&lt;wsp:rsid wsp:val=&quot;0056106A&quot;/&gt;&lt;wsp:rsid wsp:val=&quot;005720AE&quot;/&gt;&lt;wsp:rsid wsp:val=&quot;00594D77&quot;/&gt;&lt;wsp:rsid wsp:val=&quot;005969E4&quot;/&gt;&lt;wsp:rsid wsp:val=&quot;005A06B7&quot;/&gt;&lt;wsp:rsid wsp:val=&quot;005A1759&quot;/&gt;&lt;wsp:rsid wsp:val=&quot;005A68A7&quot;/&gt;&lt;wsp:rsid wsp:val=&quot;005D36AB&quot;/&gt;&lt;wsp:rsid wsp:val=&quot;00617CC3&quot;/&gt;&lt;wsp:rsid wsp:val=&quot;006377A6&quot;/&gt;&lt;wsp:rsid wsp:val=&quot;00637A3D&quot;/&gt;&lt;wsp:rsid wsp:val=&quot;006411EF&quot;/&gt;&lt;wsp:rsid wsp:val=&quot;00663329&quot;/&gt;&lt;wsp:rsid wsp:val=&quot;006748B8&quot;/&gt;&lt;wsp:rsid wsp:val=&quot;006775C3&quot;/&gt;&lt;wsp:rsid wsp:val=&quot;0069290A&quot;/&gt;&lt;wsp:rsid wsp:val=&quot;0069775A&quot;/&gt;&lt;wsp:rsid wsp:val=&quot;00697813&quot;/&gt;&lt;wsp:rsid wsp:val=&quot;006A3EE8&quot;/&gt;&lt;wsp:rsid wsp:val=&quot;006A72BF&quot;/&gt;&lt;wsp:rsid wsp:val=&quot;006B03F2&quot;/&gt;&lt;wsp:rsid wsp:val=&quot;006B37DC&quot;/&gt;&lt;wsp:rsid wsp:val=&quot;006B4F68&quot;/&gt;&lt;wsp:rsid wsp:val=&quot;006C0592&quot;/&gt;&lt;wsp:rsid wsp:val=&quot;006C272E&quot;/&gt;&lt;wsp:rsid wsp:val=&quot;006C5479&quot;/&gt;&lt;wsp:rsid wsp:val=&quot;006D13B5&quot;/&gt;&lt;wsp:rsid wsp:val=&quot;006E12FF&quot;/&gt;&lt;wsp:rsid wsp:val=&quot;006E607E&quot;/&gt;&lt;wsp:rsid wsp:val=&quot;00706C5D&quot;/&gt;&lt;wsp:rsid wsp:val=&quot;00732922&quot;/&gt;&lt;wsp:rsid wsp:val=&quot;0075162E&quot;/&gt;&lt;wsp:rsid wsp:val=&quot;00754034&quot;/&gt;&lt;wsp:rsid wsp:val=&quot;00756556&quot;/&gt;&lt;wsp:rsid wsp:val=&quot;007618C4&quot;/&gt;&lt;wsp:rsid wsp:val=&quot;00767980&quot;/&gt;&lt;wsp:rsid wsp:val=&quot;00770B19&quot;/&gt;&lt;wsp:rsid wsp:val=&quot;0077463F&quot;/&gt;&lt;wsp:rsid wsp:val=&quot;007836EA&quot;/&gt;&lt;wsp:rsid wsp:val=&quot;00784CDA&quot;/&gt;&lt;wsp:rsid wsp:val=&quot;007906C4&quot;/&gt;&lt;wsp:rsid wsp:val=&quot;00791026&quot;/&gt;&lt;wsp:rsid wsp:val=&quot;007940EA&quot;/&gt;&lt;wsp:rsid wsp:val=&quot;007967E8&quot;/&gt;&lt;wsp:rsid wsp:val=&quot;007A2170&quot;/&gt;&lt;wsp:rsid wsp:val=&quot;007A22BF&quot;/&gt;&lt;wsp:rsid wsp:val=&quot;007A3323&quot;/&gt;&lt;wsp:rsid wsp:val=&quot;007B72B8&quot;/&gt;&lt;wsp:rsid wsp:val=&quot;007B7A58&quot;/&gt;&lt;wsp:rsid wsp:val=&quot;007C21B5&quot;/&gt;&lt;wsp:rsid wsp:val=&quot;007E4BD2&quot;/&gt;&lt;wsp:rsid wsp:val=&quot;00801393&quot;/&gt;&lt;wsp:rsid wsp:val=&quot;00802F88&quot;/&gt;&lt;wsp:rsid wsp:val=&quot;0081293E&quot;/&gt;&lt;wsp:rsid wsp:val=&quot;00815465&quot;/&gt;&lt;wsp:rsid wsp:val=&quot;00817550&quot;/&gt;&lt;wsp:rsid wsp:val=&quot;00817E9A&quot;/&gt;&lt;wsp:rsid wsp:val=&quot;008306BD&quot;/&gt;&lt;wsp:rsid wsp:val=&quot;00831A80&quot;/&gt;&lt;wsp:rsid wsp:val=&quot;00833743&quot;/&gt;&lt;wsp:rsid wsp:val=&quot;008340A4&quot;/&gt;&lt;wsp:rsid wsp:val=&quot;008421AA&quot;/&gt;&lt;wsp:rsid wsp:val=&quot;0084359B&quot;/&gt;&lt;wsp:rsid wsp:val=&quot;00864B23&quot;/&gt;&lt;wsp:rsid wsp:val=&quot;0087135F&quot;/&gt;&lt;wsp:rsid wsp:val=&quot;00872D94&quot;/&gt;&lt;wsp:rsid wsp:val=&quot;00880364&quot;/&gt;&lt;wsp:rsid wsp:val=&quot;00891592&quot;/&gt;&lt;wsp:rsid wsp:val=&quot;00891E9E&quot;/&gt;&lt;wsp:rsid wsp:val=&quot;008A2F68&quot;/&gt;&lt;wsp:rsid wsp:val=&quot;008B4FA6&quot;/&gt;&lt;wsp:rsid wsp:val=&quot;008B5282&quot;/&gt;&lt;wsp:rsid wsp:val=&quot;008B7C17&quot;/&gt;&lt;wsp:rsid wsp:val=&quot;008C1431&quot;/&gt;&lt;wsp:rsid wsp:val=&quot;008C2D01&quot;/&gt;&lt;wsp:rsid wsp:val=&quot;008C3BF0&quot;/&gt;&lt;wsp:rsid wsp:val=&quot;008C40E6&quot;/&gt;&lt;wsp:rsid wsp:val=&quot;008D0F7A&quot;/&gt;&lt;wsp:rsid wsp:val=&quot;008D68E4&quot;/&gt;&lt;wsp:rsid wsp:val=&quot;008E0506&quot;/&gt;&lt;wsp:rsid wsp:val=&quot;008E0CFF&quot;/&gt;&lt;wsp:rsid wsp:val=&quot;008E5D6B&quot;/&gt;&lt;wsp:rsid wsp:val=&quot;008E76F0&quot;/&gt;&lt;wsp:rsid wsp:val=&quot;008F15FE&quot;/&gt;&lt;wsp:rsid wsp:val=&quot;008F202D&quot;/&gt;&lt;wsp:rsid wsp:val=&quot;008F2D29&quot;/&gt;&lt;wsp:rsid wsp:val=&quot;008F4F83&quot;/&gt;&lt;wsp:rsid wsp:val=&quot;008F5187&quot;/&gt;&lt;wsp:rsid wsp:val=&quot;008F60D8&quot;/&gt;&lt;wsp:rsid wsp:val=&quot;00902727&quot;/&gt;&lt;wsp:rsid wsp:val=&quot;0090312B&quot;/&gt;&lt;wsp:rsid wsp:val=&quot;0091736D&quot;/&gt;&lt;wsp:rsid wsp:val=&quot;0093037A&quot;/&gt;&lt;wsp:rsid wsp:val=&quot;0094154D&quot;/&gt;&lt;wsp:rsid wsp:val=&quot;0095155F&quot;/&gt;&lt;wsp:rsid wsp:val=&quot;00953CE1&quot;/&gt;&lt;wsp:rsid wsp:val=&quot;00954429&quot;/&gt;&lt;wsp:rsid wsp:val=&quot;009563CE&quot;/&gt;&lt;wsp:rsid wsp:val=&quot;00976328&quot;/&gt;&lt;wsp:rsid wsp:val=&quot;0097680D&quot;/&gt;&lt;wsp:rsid wsp:val=&quot;00982438&quot;/&gt;&lt;wsp:rsid wsp:val=&quot;0098404C&quot;/&gt;&lt;wsp:rsid wsp:val=&quot;00985283&quot;/&gt;&lt;wsp:rsid wsp:val=&quot;00995992&quot;/&gt;&lt;wsp:rsid wsp:val=&quot;009A03E5&quot;/&gt;&lt;wsp:rsid wsp:val=&quot;009A0F3B&quot;/&gt;&lt;wsp:rsid wsp:val=&quot;009A1BB4&quot;/&gt;&lt;wsp:rsid wsp:val=&quot;009A2628&quot;/&gt;&lt;wsp:rsid wsp:val=&quot;009A3200&quot;/&gt;&lt;wsp:rsid wsp:val=&quot;009A7443&quot;/&gt;&lt;wsp:rsid wsp:val=&quot;009B0897&quot;/&gt;&lt;wsp:rsid wsp:val=&quot;009B7BD9&quot;/&gt;&lt;wsp:rsid wsp:val=&quot;009C7DD5&quot;/&gt;&lt;wsp:rsid wsp:val=&quot;009E227D&quot;/&gt;&lt;wsp:rsid wsp:val=&quot;009E5019&quot;/&gt;&lt;wsp:rsid wsp:val=&quot;009F43C6&quot;/&gt;&lt;wsp:rsid wsp:val=&quot;00A04F1B&quot;/&gt;&lt;wsp:rsid wsp:val=&quot;00A0501B&quot;/&gt;&lt;wsp:rsid wsp:val=&quot;00A14947&quot;/&gt;&lt;wsp:rsid wsp:val=&quot;00A32A83&quot;/&gt;&lt;wsp:rsid wsp:val=&quot;00A368DB&quot;/&gt;&lt;wsp:rsid wsp:val=&quot;00A423AA&quot;/&gt;&lt;wsp:rsid wsp:val=&quot;00A53EC6&quot;/&gt;&lt;wsp:rsid wsp:val=&quot;00A55C0F&quot;/&gt;&lt;wsp:rsid wsp:val=&quot;00A8713F&quot;/&gt;&lt;wsp:rsid wsp:val=&quot;00A90BA1&quot;/&gt;&lt;wsp:rsid wsp:val=&quot;00A97A9A&quot;/&gt;&lt;wsp:rsid wsp:val=&quot;00AA0671&quot;/&gt;&lt;wsp:rsid wsp:val=&quot;00AA2531&quot;/&gt;&lt;wsp:rsid wsp:val=&quot;00AB1E09&quot;/&gt;&lt;wsp:rsid wsp:val=&quot;00AB5330&quot;/&gt;&lt;wsp:rsid wsp:val=&quot;00AB7747&quot;/&gt;&lt;wsp:rsid wsp:val=&quot;00AC14CE&quot;/&gt;&lt;wsp:rsid wsp:val=&quot;00AC2A56&quot;/&gt;&lt;wsp:rsid wsp:val=&quot;00AD055E&quot;/&gt;&lt;wsp:rsid wsp:val=&quot;00AD47A7&quot;/&gt;&lt;wsp:rsid wsp:val=&quot;00AF0CBF&quot;/&gt;&lt;wsp:rsid wsp:val=&quot;00AF257F&quot;/&gt;&lt;wsp:rsid wsp:val=&quot;00AF33CF&quot;/&gt;&lt;wsp:rsid wsp:val=&quot;00AF4D50&quot;/&gt;&lt;wsp:rsid wsp:val=&quot;00AF6179&quot;/&gt;&lt;wsp:rsid wsp:val=&quot;00B1295A&quot;/&gt;&lt;wsp:rsid wsp:val=&quot;00B20A45&quot;/&gt;&lt;wsp:rsid wsp:val=&quot;00B22C5C&quot;/&gt;&lt;wsp:rsid wsp:val=&quot;00B24F30&quot;/&gt;&lt;wsp:rsid wsp:val=&quot;00B31ABF&quot;/&gt;&lt;wsp:rsid wsp:val=&quot;00B33BE3&quot;/&gt;&lt;wsp:rsid wsp:val=&quot;00B53B5D&quot;/&gt;&lt;wsp:rsid wsp:val=&quot;00B6055E&quot;/&gt;&lt;wsp:rsid wsp:val=&quot;00B6317D&quot;/&gt;&lt;wsp:rsid wsp:val=&quot;00B7723F&quot;/&gt;&lt;wsp:rsid wsp:val=&quot;00B80534&quot;/&gt;&lt;wsp:rsid wsp:val=&quot;00B8433C&quot;/&gt;&lt;wsp:rsid wsp:val=&quot;00B87491&quot;/&gt;&lt;wsp:rsid wsp:val=&quot;00BA29E9&quot;/&gt;&lt;wsp:rsid wsp:val=&quot;00BA7142&quot;/&gt;&lt;wsp:rsid wsp:val=&quot;00BB237C&quot;/&gt;&lt;wsp:rsid wsp:val=&quot;00BB41A3&quot;/&gt;&lt;wsp:rsid wsp:val=&quot;00BC32DC&quot;/&gt;&lt;wsp:rsid wsp:val=&quot;00BC35B6&quot;/&gt;&lt;wsp:rsid wsp:val=&quot;00BD1B51&quot;/&gt;&lt;wsp:rsid wsp:val=&quot;00BD4596&quot;/&gt;&lt;wsp:rsid wsp:val=&quot;00BE1405&quot;/&gt;&lt;wsp:rsid wsp:val=&quot;00BE312D&quot;/&gt;&lt;wsp:rsid wsp:val=&quot;00BF1C20&quot;/&gt;&lt;wsp:rsid wsp:val=&quot;00C10013&quot;/&gt;&lt;wsp:rsid wsp:val=&quot;00C10578&quot;/&gt;&lt;wsp:rsid wsp:val=&quot;00C135BC&quot;/&gt;&lt;wsp:rsid wsp:val=&quot;00C15C95&quot;/&gt;&lt;wsp:rsid wsp:val=&quot;00C2596A&quot;/&gt;&lt;wsp:rsid wsp:val=&quot;00C27537&quot;/&gt;&lt;wsp:rsid wsp:val=&quot;00C328FE&quot;/&gt;&lt;wsp:rsid wsp:val=&quot;00C33507&quot;/&gt;&lt;wsp:rsid wsp:val=&quot;00C4409D&quot;/&gt;&lt;wsp:rsid wsp:val=&quot;00C44E72&quot;/&gt;&lt;wsp:rsid wsp:val=&quot;00C45A06&quot;/&gt;&lt;wsp:rsid wsp:val=&quot;00C47E5B&quot;/&gt;&lt;wsp:rsid wsp:val=&quot;00C61E4B&quot;/&gt;&lt;wsp:rsid wsp:val=&quot;00C64845&quot;/&gt;&lt;wsp:rsid wsp:val=&quot;00C64BFF&quot;/&gt;&lt;wsp:rsid wsp:val=&quot;00C704E9&quot;/&gt;&lt;wsp:rsid wsp:val=&quot;00C763C9&quot;/&gt;&lt;wsp:rsid wsp:val=&quot;00C80057&quot;/&gt;&lt;wsp:rsid wsp:val=&quot;00C82232&quot;/&gt;&lt;wsp:rsid wsp:val=&quot;00C82913&quot;/&gt;&lt;wsp:rsid wsp:val=&quot;00C90F50&quot;/&gt;&lt;wsp:rsid wsp:val=&quot;00C972B1&quot;/&gt;&lt;wsp:rsid wsp:val=&quot;00CA0DA4&quot;/&gt;&lt;wsp:rsid wsp:val=&quot;00CA2CCE&quot;/&gt;&lt;wsp:rsid wsp:val=&quot;00CA43FD&quot;/&gt;&lt;wsp:rsid wsp:val=&quot;00CA7EF8&quot;/&gt;&lt;wsp:rsid wsp:val=&quot;00CC489B&quot;/&gt;&lt;wsp:rsid wsp:val=&quot;00CD2BCD&quot;/&gt;&lt;wsp:rsid wsp:val=&quot;00CD3A4C&quot;/&gt;&lt;wsp:rsid wsp:val=&quot;00CE10E9&quot;/&gt;&lt;wsp:rsid wsp:val=&quot;00CE2910&quot;/&gt;&lt;wsp:rsid wsp:val=&quot;00CE5109&quot;/&gt;&lt;wsp:rsid wsp:val=&quot;00CE5393&quot;/&gt;&lt;wsp:rsid wsp:val=&quot;00CF36BE&quot;/&gt;&lt;wsp:rsid wsp:val=&quot;00CF6000&quot;/&gt;&lt;wsp:rsid wsp:val=&quot;00D003F3&quot;/&gt;&lt;wsp:rsid wsp:val=&quot;00D0364F&quot;/&gt;&lt;wsp:rsid wsp:val=&quot;00D06834&quot;/&gt;&lt;wsp:rsid wsp:val=&quot;00D308ED&quot;/&gt;&lt;wsp:rsid wsp:val=&quot;00D36D86&quot;/&gt;&lt;wsp:rsid wsp:val=&quot;00D428AA&quot;/&gt;&lt;wsp:rsid wsp:val=&quot;00D50A34&quot;/&gt;&lt;wsp:rsid wsp:val=&quot;00D53EFA&quot;/&gt;&lt;wsp:rsid wsp:val=&quot;00D842F7&quot;/&gt;&lt;wsp:rsid wsp:val=&quot;00D94A7C&quot;/&gt;&lt;wsp:rsid wsp:val=&quot;00D95896&quot;/&gt;&lt;wsp:rsid wsp:val=&quot;00D9685A&quot;/&gt;&lt;wsp:rsid wsp:val=&quot;00DB2983&quot;/&gt;&lt;wsp:rsid wsp:val=&quot;00DC1257&quot;/&gt;&lt;wsp:rsid wsp:val=&quot;00DC3DC0&quot;/&gt;&lt;wsp:rsid wsp:val=&quot;00DC5B2B&quot;/&gt;&lt;wsp:rsid wsp:val=&quot;00DD318D&quot;/&gt;&lt;wsp:rsid wsp:val=&quot;00DF2E12&quot;/&gt;&lt;wsp:rsid wsp:val=&quot;00DF514A&quot;/&gt;&lt;wsp:rsid wsp:val=&quot;00DF6690&quot;/&gt;&lt;wsp:rsid wsp:val=&quot;00DF6804&quot;/&gt;&lt;wsp:rsid wsp:val=&quot;00E0358D&quot;/&gt;&lt;wsp:rsid wsp:val=&quot;00E04323&quot;/&gt;&lt;wsp:rsid wsp:val=&quot;00E070A2&quot;/&gt;&lt;wsp:rsid wsp:val=&quot;00E2656A&quot;/&gt;&lt;wsp:rsid wsp:val=&quot;00E412D0&quot;/&gt;&lt;wsp:rsid wsp:val=&quot;00E56322&quot;/&gt;&lt;wsp:rsid wsp:val=&quot;00E60982&quot;/&gt;&lt;wsp:rsid wsp:val=&quot;00E62C62&quot;/&gt;&lt;wsp:rsid wsp:val=&quot;00E654C1&quot;/&gt;&lt;wsp:rsid wsp:val=&quot;00E65D97&quot;/&gt;&lt;wsp:rsid wsp:val=&quot;00E72A5A&quot;/&gt;&lt;wsp:rsid wsp:val=&quot;00E73354&quot;/&gt;&lt;wsp:rsid wsp:val=&quot;00E9242D&quot;/&gt;&lt;wsp:rsid wsp:val=&quot;00EB5255&quot;/&gt;&lt;wsp:rsid wsp:val=&quot;00EB5C47&quot;/&gt;&lt;wsp:rsid wsp:val=&quot;00ED0639&quot;/&gt;&lt;wsp:rsid wsp:val=&quot;00EF4755&quot;/&gt;&lt;wsp:rsid wsp:val=&quot;00EF7135&quot;/&gt;&lt;wsp:rsid wsp:val=&quot;00F027DB&quot;/&gt;&lt;wsp:rsid wsp:val=&quot;00F14A7A&quot;/&gt;&lt;wsp:rsid wsp:val=&quot;00F22985&quot;/&gt;&lt;wsp:rsid wsp:val=&quot;00F3383E&quot;/&gt;&lt;wsp:rsid wsp:val=&quot;00F465A7&quot;/&gt;&lt;wsp:rsid wsp:val=&quot;00F50B7C&quot;/&gt;&lt;wsp:rsid wsp:val=&quot;00F550E6&quot;/&gt;&lt;wsp:rsid wsp:val=&quot;00F74345&quot;/&gt;&lt;wsp:rsid wsp:val=&quot;00F80A0A&quot;/&gt;&lt;wsp:rsid wsp:val=&quot;00F8130B&quot;/&gt;&lt;wsp:rsid wsp:val=&quot;00F82B19&quot;/&gt;&lt;wsp:rsid wsp:val=&quot;00F9212D&quot;/&gt;&lt;wsp:rsid wsp:val=&quot;00F965DA&quot;/&gt;&lt;wsp:rsid wsp:val=&quot;00FA406A&quot;/&gt;&lt;wsp:rsid wsp:val=&quot;00FB503A&quot;/&gt;&lt;wsp:rsid wsp:val=&quot;00FB516C&quot;/&gt;&lt;wsp:rsid wsp:val=&quot;00FC5542&quot;/&gt;&lt;wsp:rsid wsp:val=&quot;00FD0236&quot;/&gt;&lt;wsp:rsid wsp:val=&quot;00FD18F4&quot;/&gt;&lt;wsp:rsid wsp:val=&quot;00FD54DB&quot;/&gt;&lt;wsp:rsid wsp:val=&quot;00FD619F&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663329&quot; wsp:rsidP=&quot;00663329&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I&lt;/m:t&gt;&lt;/m:r&gt;&lt;/m:e&gt;&lt;m:sub&gt;&lt;m:r&gt;&lt;w:rPr&gt;&lt;w:rFonts w:ascii=&quot;Cambria Math&quot; w:h-ansi=&quot;Cambria Math&quot; w:hint=&quot;fareast&quot;/&gt;&lt;wx:font wx:val=&quot;Cambria Math&quot;/&gt;&lt;w:i/&gt;&lt;w:color w:val=&quot;000000&quot;/&gt;&lt;w:sz w:val=&quot;24&quot;/&gt;&lt;/w:rPr&gt;&lt;m:t&gt;i&lt;/m:t&gt;&lt;/m:r&gt;&lt;/m:sub&gt;&lt;/m:sSub&gt;&lt;m:r&gt;&lt;m:rPr&gt;&lt;m:sty m:val=&quot;p&quot;/&gt;&lt;/m:rPr&gt;&lt;w:rPr&gt;&lt;w:rFonts w:ascii=&quot;Cambria Math&quot; w:h-ansi=&quot;Cambria Math&quot; w:hint=&quot;fareast&quot;/&gt;&lt;wx:font wx:val=&quot;Cambria Math&quot;/&gt;&lt;w:color w:val=&quot;000000&quot;/&gt;&lt;w:sz w:val=&quot;24&quot;/&gt;&lt;/w:rPr&gt;&lt;m:t&gt;=&lt;/m:t&gt;&lt;/m:r&gt;&lt;m:f&gt;&lt;m:fPr&gt;&lt;m:ctrlPr&gt;&lt;w:rPr&gt;&lt;w:rFonts w:ascii=&quot;Cambria Math&quot; w:h-ansi=&quot;Cambria Math&quot;/&gt;&lt;wx:font wx:val=&quot;Cambria Math&quot;/&gt;&lt;w:color w:val=&quot;000000&quot;/&gt;&lt;w:sz w:val=&quot;24&quot;/&gt;&lt;/w:rPr&gt;&lt;/m:ctrlPr&gt;&lt;/m:fPr&gt;&lt;m:num&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C&lt;/m:t&gt;&lt;/m:r&gt;&lt;/m:e&gt;&lt;m:sub&gt;&lt;m:r&gt;&lt;w:rPr&gt;&lt;w:rFonts w:ascii=&quot;Cambria Math&quot; w:h-ansi=&quot;Cambria Math&quot; w:hint=&quot;fareast&quot;/&gt;&lt;wx:font wx:val=&quot;Cambria Math&quot;/&gt;&lt;w:i/&gt;&lt;w:color w:val=&quot;000000&quot;/&gt;&lt;w:sz w:val=&quot;24&quot;/&gt;&lt;/w:rPr&gt;&lt;m:t&gt;i&lt;/m:t&gt;&lt;/m:r&gt;&lt;/m:sub&gt;&lt;/m:sSub&gt;&lt;/m:num&gt;&lt;m:den&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C&lt;/m:t&gt;&lt;/m:r&gt;&lt;/m:e&gt;&lt;m:sub&gt;&lt;m:r&gt;&lt;w:rPr&gt;&lt;w:rFonts w:ascii=&quot;Cambria Math&quot; w:h-ansi=&quot;Cambria Math&quot; w:hint=&quot;fareast&quot;/&gt;&lt;wx:font wx:val=&quot;Cambria Math&quot;/&gt;&lt;w:i/&gt;&lt;w:color w:val=&quot;000000&quot;/&gt;&lt;w:sz w:val=&quot;24&quot;/&gt;&lt;/w:rPr&gt;&lt;m:t&gt;oi&lt;/m:t&gt;&lt;/m:r&gt;&lt;/m:sub&gt;&lt;/m:sSub&gt;&lt;/m:den&gt;&lt;/m:f&gt;&lt;m:r&gt;&lt;w:rPr&gt;&lt;w:rFonts w:ascii=&quot;Cambria Math&quot; w:h-ansi=&quot;Cambria Math&quot;/&gt;&lt;wx:font wx:val=&quot;Cambria Math&quot;/&gt;&lt;w:i/&gt;&lt;w:color w:val=&quot;000000&quot;/&gt;&lt;w:sz w:val=&quot;24&quot;/&gt;&lt;/w:rPr&gt;&lt;m:t&gt;×&lt;/m:t&gt;&lt;/m:r&gt;&lt;m:r&gt;&lt;w:rPr&gt;&lt;w:rFon&gt;ts w:ascii=&quot;Cambria Math&quot; w:h-ansi=&quot;Cambria Math&quot; w:hint=&quot;fareast&quot;/&gt;&lt;wx:font wx:val=&quot;Cambria Math&quot;/&gt;&lt;w:i/&gt;&lt;w:color w:val=&quot;000000&quot;/&gt;&lt;w:sz w:val=&quot;24&quot;/&gt;&lt;/w:rPr&gt;&lt;m:t&gt;100%&lt;/m:t&gt;&lt;/m:r&gt;&lt;/m:oMath&gt;&lt;/m:oMathPara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5" chromakey="#FFFFFF" o:title=""/>
                  <o:lock v:ext="edit" aspectratio="t"/>
                  <w10:wrap type="none"/>
                  <w10:anchorlock/>
                </v:shape>
              </w:pict>
            </w:r>
            <w:r>
              <w:rPr>
                <w:strike w:val="0"/>
                <w:dstrike w:val="0"/>
                <w:color w:val="auto"/>
                <w:sz w:val="24"/>
                <w:highlight w:val="none"/>
              </w:rPr>
              <w:instrText xml:space="preserve"> </w:instrText>
            </w:r>
            <w:r>
              <w:rPr>
                <w:strike w:val="0"/>
                <w:dstrike w:val="0"/>
                <w:color w:val="auto"/>
                <w:sz w:val="24"/>
                <w:highlight w:val="none"/>
              </w:rPr>
              <w:fldChar w:fldCharType="separate"/>
            </w:r>
            <w:r>
              <w:rPr>
                <w:strike w:val="0"/>
                <w:dstrike w:val="0"/>
                <w:color w:val="auto"/>
                <w:position w:val="-17"/>
                <w:sz w:val="24"/>
                <w:highlight w:val="none"/>
              </w:rPr>
              <w:pict>
                <v:shape id="_x0000_i1031" o:spt="75" type="#_x0000_t75" style="height:22.55pt;width:80.1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quot;/&gt;&lt;w:noLineBreaksBefore w:lang=&quot;ZH-CN&quot; w:val=&quot;!),.:;?]}¨·ˇˉ―‖’”…∶、。〃々〉》」』】〕〗！＂＇），．：；？］｀｜｝～￠&quot;/&gt;&lt;w:webPageEncoding w:val=&quot;x-cp20936&quot;/&gt;&lt;w:optimizeForBrowser/&gt;&lt;w:tarl w:val=&quot;CompressPunctuation&quot;/&gt;&lt;w:noLineBreaksAfter gew:val=&quot;CompressPunctuation&quot;/&gt;&lt;w:noLineBreaksAfter w: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14947&quot;/&gt;&lt;wsp:rsid wsp:val=&quot;000060B3&quot;/&gt;&lt;wsp:rsid wsp:val=&quot;0004364B&quot;/&gt;&lt;wsp:rsid wsp:val=&quot;00061B1F&quot;/&gt;&lt;wsp:rsid wsp:val=&quot;000733C4&quot;/&gt;&lt;wsp:rsid wsp:val=&quot;00074783&quot;/&gt;&lt;wsp:rsid wsp:val=&quot;0008070B&quot;/&gt;&lt;wsp:rsid wsp:val=&quot;000810AC&quot;/&gt;&lt;wsp:rsid wsp:val=&quot;00081A02&quot;/&gt;&lt;wsp:rsid wsp:val=&quot;00082231&quot;/&gt;&lt;wsp:rsid wsp:val=&quot;00092D38&quot;/&gt;&lt;wsp:rsid wsp:val=&quot;0009377B&quot;/&gt;&lt;wsp:rsid wsp:val=&quot;00094D65&quot;/&gt;&lt;wsp:rsid wsp:val=&quot;000A20C9&quot;/&gt;&lt;wsp:rsid wsp:val=&quot;000B058F&quot;/&gt;&lt;wsp:rsid wsp:val=&quot;000B4467&quot;/&gt;&lt;wsp:rsid wsp:val=&quot;000B4DB9&quot;/&gt;&lt;wsp:rsid wsp:val=&quot;000C09AC&quot;/&gt;&lt;wsp:rsid wsp:val=&quot;000C767F&quot;/&gt;&lt;wsp:rsid wsp:val=&quot;000D5A44&quot;/&gt;&lt;wsp:rsid wsp:val=&quot;000E20BF&quot;/&gt;&lt;wsp:rsid wsp:val=&quot;000E3ED2&quot;/&gt;&lt;wsp:rsid wsp:val=&quot;00131F42&quot;/&gt;&lt;wsp:rsid wsp:val=&quot;001357F1&quot;/&gt;&lt;wsp:rsid wsp:val=&quot;00140FA8&quot;/&gt;&lt;wsp:rsid wsp:val=&quot;00142FEB&quot;/&gt;&lt;wsp:rsid wsp:val=&quot;00143A2D&quot;/&gt;&lt;wsp:rsid wsp:val=&quot;00145A41&quot;/&gt;&lt;wsp:rsid wsp:val=&quot;00151675&quot;/&gt;&lt;wsp:rsid wsp:val=&quot;00157435&quot;/&gt;&lt;wsp:rsid wsp:val=&quot;0017504D&quot;/&gt;&lt;wsp:rsid wsp:val=&quot;0017671A&quot;/&gt;&lt;wsp:rsid wsp:val=&quot;00177422&quot;/&gt;&lt;wsp:rsid wsp:val=&quot;00184590&quot;/&gt;&lt;wsp:rsid wsp:val=&quot;001870D1&quot;/&gt;&lt;wsp:rsid wsp:val=&quot;0018781E&quot;/&gt;&lt;wsp:rsid wsp:val=&quot;0019262D&quot;/&gt;&lt;wsp:rsid wsp:val=&quot;001A1B35&quot;/&gt;&lt;wsp:rsid wsp:val=&quot;001A48A2&quot;/&gt;&lt;wsp:rsid wsp:val=&quot;001A6F61&quot;/&gt;&lt;wsp:rsid wsp:val=&quot;001B72B8&quot;/&gt;&lt;wsp:rsid wsp:val=&quot;001C59A1&quot;/&gt;&lt;wsp:rsid wsp:val=&quot;001C69B3&quot;/&gt;&lt;wsp:rsid wsp:val=&quot;001D5595&quot;/&gt;&lt;wsp:rsid wsp:val=&quot;001D7874&quot;/&gt;&lt;wsp:rsid wsp:val=&quot;001D7F22&quot;/&gt;&lt;wsp:rsid wsp:val=&quot;001E7827&quot;/&gt;&lt;wsp:rsid wsp:val=&quot;001F0F17&quot;/&gt;&lt;wsp:rsid wsp:val=&quot;001F3347&quot;/&gt;&lt;wsp:rsid wsp:val=&quot;001F69E4&quot;/&gt;&lt;wsp:rsid wsp:val=&quot;001F71D5&quot;/&gt;&lt;wsp:rsid wsp:val=&quot;002125B4&quot;/&gt;&lt;wsp:rsid wsp:val=&quot;002155B8&quot;/&gt;&lt;wsp:rsid wsp:val=&quot;00224839&quot;/&gt;&lt;wsp:rsid wsp:val=&quot;002249B2&quot;/&gt;&lt;wsp:rsid wsp:val=&quot;00226574&quot;/&gt;&lt;wsp:rsid wsp:val=&quot;002278EC&quot;/&gt;&lt;wsp:rsid wsp:val=&quot;0023280E&quot;/&gt;&lt;wsp:rsid wsp:val=&quot;002377D1&quot;/&gt;&lt;wsp:rsid wsp:val=&quot;002506BC&quot;/&gt;&lt;wsp:rsid wsp:val=&quot;00254345&quot;/&gt;&lt;wsp:rsid wsp:val=&quot;00264557&quot;/&gt;&lt;wsp:rsid wsp:val=&quot;002805AB&quot;/&gt;&lt;wsp:rsid wsp:val=&quot;00284204&quot;/&gt;&lt;wsp:rsid wsp:val=&quot;002911C0&quot;/&gt;&lt;wsp:rsid wsp:val=&quot;00291773&quot;/&gt;&lt;wsp:rsid wsp:val=&quot;002A168C&quot;/&gt;&lt;wsp:rsid wsp:val=&quot;002A3DC7&quot;/&gt;&lt;wsp:rsid wsp:val=&quot;002B49E2&quot;/&gt;&lt;wsp:rsid wsp:val=&quot;002B7B00&quot;/&gt;&lt;wsp:rsid wsp:val=&quot;002B7C44&quot;/&gt;&lt;wsp:rsid wsp:val=&quot;002C2B17&quot;/&gt;&lt;wsp:rsid wsp:val=&quot;002D3DD0&quot;/&gt;&lt;wsp:rsid wsp:val=&quot;002D544C&quot;/&gt;&lt;wsp:rsid wsp:val=&quot;002E1F3A&quot;/&gt;&lt;wsp:rsid wsp:val=&quot;002E298A&quot;/&gt;&lt;wsp:rsid wsp:val=&quot;00301978&quot;/&gt;&lt;wsp:rsid wsp:val=&quot;0030332C&quot;/&gt;&lt;wsp:rsid wsp:val=&quot;003051C2&quot;/&gt;&lt;wsp:rsid wsp:val=&quot;00312296&quot;/&gt;&lt;wsp:rsid wsp:val=&quot;00314F0E&quot;/&gt;&lt;wsp:rsid wsp:val=&quot;00321D8E&quot;/&gt;&lt;wsp:rsid wsp:val=&quot;00325928&quot;/&gt;&lt;wsp:rsid wsp:val=&quot;00332863&quot;/&gt;&lt;wsp:rsid wsp:val=&quot;0033684D&quot;/&gt;&lt;wsp:rsid wsp:val=&quot;00337B42&quot;/&gt;&lt;wsp:rsid wsp:val=&quot;00341B42&quot;/&gt;&lt;wsp:rsid wsp:val=&quot;0034348F&quot;/&gt;&lt;wsp:rsid wsp:val=&quot;00356653&quot;/&gt;&lt;wsp:rsid wsp:val=&quot;0035743F&quot;/&gt;&lt;wsp:rsid wsp:val=&quot;00357BE2&quot;/&gt;&lt;wsp:rsid wsp:val=&quot;0036170C&quot;/&gt;&lt;wsp:rsid wsp:val=&quot;00366E0F&quot;/&gt;&lt;wsp:rsid wsp:val=&quot;00381A72&quot;/&gt;&lt;wsp:rsid wsp:val=&quot;00383CE0&quot;/&gt;&lt;wsp:rsid wsp:val=&quot;00384676&quot;/&gt;&lt;wsp:rsid wsp:val=&quot;00390857&quot;/&gt;&lt;wsp:rsid wsp:val=&quot;003A4BF3&quot;/&gt;&lt;wsp:rsid wsp:val=&quot;003B420D&quot;/&gt;&lt;wsp:rsid wsp:val=&quot;003C6C16&quot;/&gt;&lt;wsp:rsid wsp:val=&quot;003D794D&quot;/&gt;&lt;wsp:rsid wsp:val=&quot;003E3058&quot;/&gt;&lt;wsp:rsid wsp:val=&quot;003E76A9&quot;/&gt;&lt;wsp:rsid wsp:val=&quot;003F0809&quot;/&gt;&lt;wsp:rsid wsp:val=&quot;003F6A8C&quot;/&gt;&lt;wsp:rsid wsp:val=&quot;003F755C&quot;/&gt;&lt;wsp:rsid wsp:val=&quot;00406F01&quot;/&gt;&lt;wsp:rsid wsp:val=&quot;00416D50&quot;/&gt;&lt;wsp:rsid wsp:val=&quot;00416FD5&quot;/&gt;&lt;wsp:rsid wsp:val=&quot;00417772&quot;/&gt;&lt;wsp:rsid wsp:val=&quot;00420E6A&quot;/&gt;&lt;wsp:rsid wsp:val=&quot;00423500&quot;/&gt;&lt;wsp:rsid wsp:val=&quot;00425A9E&quot;/&gt;&lt;wsp:rsid wsp:val=&quot;00426D6B&quot;/&gt;&lt;wsp:rsid wsp:val=&quot;00431E6C&quot;/&gt;&lt;wsp:rsid wsp:val=&quot;00433CE7&quot;/&gt;&lt;wsp:rsid wsp:val=&quot;00452738&quot;/&gt;&lt;wsp:rsid wsp:val=&quot;00456091&quot;/&gt;&lt;wsp:rsid wsp:val=&quot;00466321&quot;/&gt;&lt;wsp:rsid wsp:val=&quot;004675B9&quot;/&gt;&lt;wsp:rsid wsp:val=&quot;00484B9B&quot;/&gt;&lt;wsp:rsid wsp:val=&quot;004855F6&quot;/&gt;&lt;wsp:rsid wsp:val=&quot;0048661E&quot;/&gt;&lt;wsp:rsid wsp:val=&quot;00494670&quot;/&gt;&lt;wsp:rsid wsp:val=&quot;004A3823&quot;/&gt;&lt;wsp:rsid wsp:val=&quot;004D2423&quot;/&gt;&lt;wsp:rsid wsp:val=&quot;004E6946&quot;/&gt;&lt;wsp:rsid wsp:val=&quot;004F1AD8&quot;/&gt;&lt;wsp:rsid wsp:val=&quot;004F21CA&quot;/&gt;&lt;wsp:rsid wsp:val=&quot;005039CB&quot;/&gt;&lt;wsp:rsid wsp:val=&quot;0050558F&quot;/&gt;&lt;wsp:rsid wsp:val=&quot;00506286&quot;/&gt;&lt;wsp:rsid wsp:val=&quot;00510813&quot;/&gt;&lt;wsp:rsid wsp:val=&quot;00511990&quot;/&gt;&lt;wsp:rsid wsp:val=&quot;00511DE0&quot;/&gt;&lt;wsp:rsid wsp:val=&quot;00514870&quot;/&gt;&lt;wsp:rsid wsp:val=&quot;00514B9B&quot;/&gt;&lt;wsp:rsid wsp:val=&quot;00517F02&quot;/&gt;&lt;wsp:rsid wsp:val=&quot;00524303&quot;/&gt;&lt;wsp:rsid wsp:val=&quot;005258A2&quot;/&gt;&lt;wsp:rsid wsp:val=&quot;005401AE&quot;/&gt;&lt;wsp:rsid wsp:val=&quot;00542E07&quot;/&gt;&lt;wsp:rsid wsp:val=&quot;00545424&quot;/&gt;&lt;wsp:rsid wsp:val=&quot;00554A7B&quot;/&gt;&lt;wsp:rsid wsp:val=&quot;0055572C&quot;/&gt;&lt;wsp:rsid wsp:val=&quot;0056106A&quot;/&gt;&lt;wsp:rsid wsp:val=&quot;005720AE&quot;/&gt;&lt;wsp:rsid wsp:val=&quot;00594D77&quot;/&gt;&lt;wsp:rsid wsp:val=&quot;005969E4&quot;/&gt;&lt;wsp:rsid wsp:val=&quot;005A06B7&quot;/&gt;&lt;wsp:rsid wsp:val=&quot;005A1759&quot;/&gt;&lt;wsp:rsid wsp:val=&quot;005A68A7&quot;/&gt;&lt;wsp:rsid wsp:val=&quot;005D36AB&quot;/&gt;&lt;wsp:rsid wsp:val=&quot;00617CC3&quot;/&gt;&lt;wsp:rsid wsp:val=&quot;006377A6&quot;/&gt;&lt;wsp:rsid wsp:val=&quot;00637A3D&quot;/&gt;&lt;wsp:rsid wsp:val=&quot;006411EF&quot;/&gt;&lt;wsp:rsid wsp:val=&quot;00663329&quot;/&gt;&lt;wsp:rsid wsp:val=&quot;006748B8&quot;/&gt;&lt;wsp:rsid wsp:val=&quot;006775C3&quot;/&gt;&lt;wsp:rsid wsp:val=&quot;0069290A&quot;/&gt;&lt;wsp:rsid wsp:val=&quot;0069775A&quot;/&gt;&lt;wsp:rsid wsp:val=&quot;00697813&quot;/&gt;&lt;wsp:rsid wsp:val=&quot;006A3EE8&quot;/&gt;&lt;wsp:rsid wsp:val=&quot;006A72BF&quot;/&gt;&lt;wsp:rsid wsp:val=&quot;006B03F2&quot;/&gt;&lt;wsp:rsid wsp:val=&quot;006B37DC&quot;/&gt;&lt;wsp:rsid wsp:val=&quot;006B4F68&quot;/&gt;&lt;wsp:rsid wsp:val=&quot;006C0592&quot;/&gt;&lt;wsp:rsid wsp:val=&quot;006C272E&quot;/&gt;&lt;wsp:rsid wsp:val=&quot;006C5479&quot;/&gt;&lt;wsp:rsid wsp:val=&quot;006D13B5&quot;/&gt;&lt;wsp:rsid wsp:val=&quot;006E12FF&quot;/&gt;&lt;wsp:rsid wsp:val=&quot;006E607E&quot;/&gt;&lt;wsp:rsid wsp:val=&quot;00706C5D&quot;/&gt;&lt;wsp:rsid wsp:val=&quot;00732922&quot;/&gt;&lt;wsp:rsid wsp:val=&quot;0075162E&quot;/&gt;&lt;wsp:rsid wsp:val=&quot;00754034&quot;/&gt;&lt;wsp:rsid wsp:val=&quot;00756556&quot;/&gt;&lt;wsp:rsid wsp:val=&quot;007618C4&quot;/&gt;&lt;wsp:rsid wsp:val=&quot;00767980&quot;/&gt;&lt;wsp:rsid wsp:val=&quot;00770B19&quot;/&gt;&lt;wsp:rsid wsp:val=&quot;0077463F&quot;/&gt;&lt;wsp:rsid wsp:val=&quot;007836EA&quot;/&gt;&lt;wsp:rsid wsp:val=&quot;00784CDA&quot;/&gt;&lt;wsp:rsid wsp:val=&quot;007906C4&quot;/&gt;&lt;wsp:rsid wsp:val=&quot;00791026&quot;/&gt;&lt;wsp:rsid wsp:val=&quot;007940EA&quot;/&gt;&lt;wsp:rsid wsp:val=&quot;007967E8&quot;/&gt;&lt;wsp:rsid wsp:val=&quot;007A2170&quot;/&gt;&lt;wsp:rsid wsp:val=&quot;007A22BF&quot;/&gt;&lt;wsp:rsid wsp:val=&quot;007A3323&quot;/&gt;&lt;wsp:rsid wsp:val=&quot;007B72B8&quot;/&gt;&lt;wsp:rsid wsp:val=&quot;007B7A58&quot;/&gt;&lt;wsp:rsid wsp:val=&quot;007C21B5&quot;/&gt;&lt;wsp:rsid wsp:val=&quot;007E4BD2&quot;/&gt;&lt;wsp:rsid wsp:val=&quot;00801393&quot;/&gt;&lt;wsp:rsid wsp:val=&quot;00802F88&quot;/&gt;&lt;wsp:rsid wsp:val=&quot;0081293E&quot;/&gt;&lt;wsp:rsid wsp:val=&quot;00815465&quot;/&gt;&lt;wsp:rsid wsp:val=&quot;00817550&quot;/&gt;&lt;wsp:rsid wsp:val=&quot;00817E9A&quot;/&gt;&lt;wsp:rsid wsp:val=&quot;008306BD&quot;/&gt;&lt;wsp:rsid wsp:val=&quot;00831A80&quot;/&gt;&lt;wsp:rsid wsp:val=&quot;00833743&quot;/&gt;&lt;wsp:rsid wsp:val=&quot;008340A4&quot;/&gt;&lt;wsp:rsid wsp:val=&quot;008421AA&quot;/&gt;&lt;wsp:rsid wsp:val=&quot;0084359B&quot;/&gt;&lt;wsp:rsid wsp:val=&quot;00864B23&quot;/&gt;&lt;wsp:rsid wsp:val=&quot;0087135F&quot;/&gt;&lt;wsp:rsid wsp:val=&quot;00872D94&quot;/&gt;&lt;wsp:rsid wsp:val=&quot;00880364&quot;/&gt;&lt;wsp:rsid wsp:val=&quot;00891592&quot;/&gt;&lt;wsp:rsid wsp:val=&quot;00891E9E&quot;/&gt;&lt;wsp:rsid wsp:val=&quot;008A2F68&quot;/&gt;&lt;wsp:rsid wsp:val=&quot;008B4FA6&quot;/&gt;&lt;wsp:rsid wsp:val=&quot;008B5282&quot;/&gt;&lt;wsp:rsid wsp:val=&quot;008B7C17&quot;/&gt;&lt;wsp:rsid wsp:val=&quot;008C1431&quot;/&gt;&lt;wsp:rsid wsp:val=&quot;008C2D01&quot;/&gt;&lt;wsp:rsid wsp:val=&quot;008C3BF0&quot;/&gt;&lt;wsp:rsid wsp:val=&quot;008C40E6&quot;/&gt;&lt;wsp:rsid wsp:val=&quot;008D0F7A&quot;/&gt;&lt;wsp:rsid wsp:val=&quot;008D68E4&quot;/&gt;&lt;wsp:rsid wsp:val=&quot;008E0506&quot;/&gt;&lt;wsp:rsid wsp:val=&quot;008E0CFF&quot;/&gt;&lt;wsp:rsid wsp:val=&quot;008E5D6B&quot;/&gt;&lt;wsp:rsid wsp:val=&quot;008E76F0&quot;/&gt;&lt;wsp:rsid wsp:val=&quot;008F15FE&quot;/&gt;&lt;wsp:rsid wsp:val=&quot;008F202D&quot;/&gt;&lt;wsp:rsid wsp:val=&quot;008F2D29&quot;/&gt;&lt;wsp:rsid wsp:val=&quot;008F4F83&quot;/&gt;&lt;wsp:rsid wsp:val=&quot;008F5187&quot;/&gt;&lt;wsp:rsid wsp:val=&quot;008F60D8&quot;/&gt;&lt;wsp:rsid wsp:val=&quot;00902727&quot;/&gt;&lt;wsp:rsid wsp:val=&quot;0090312B&quot;/&gt;&lt;wsp:rsid wsp:val=&quot;0091736D&quot;/&gt;&lt;wsp:rsid wsp:val=&quot;0093037A&quot;/&gt;&lt;wsp:rsid wsp:val=&quot;0094154D&quot;/&gt;&lt;wsp:rsid wsp:val=&quot;0095155F&quot;/&gt;&lt;wsp:rsid wsp:val=&quot;00953CE1&quot;/&gt;&lt;wsp:rsid wsp:val=&quot;00954429&quot;/&gt;&lt;wsp:rsid wsp:val=&quot;009563CE&quot;/&gt;&lt;wsp:rsid wsp:val=&quot;00976328&quot;/&gt;&lt;wsp:rsid wsp:val=&quot;0097680D&quot;/&gt;&lt;wsp:rsid wsp:val=&quot;00982438&quot;/&gt;&lt;wsp:rsid wsp:val=&quot;0098404C&quot;/&gt;&lt;wsp:rsid wsp:val=&quot;00985283&quot;/&gt;&lt;wsp:rsid wsp:val=&quot;00995992&quot;/&gt;&lt;wsp:rsid wsp:val=&quot;009A03E5&quot;/&gt;&lt;wsp:rsid wsp:val=&quot;009A0F3B&quot;/&gt;&lt;wsp:rsid wsp:val=&quot;009A1BB4&quot;/&gt;&lt;wsp:rsid wsp:val=&quot;009A2628&quot;/&gt;&lt;wsp:rsid wsp:val=&quot;009A3200&quot;/&gt;&lt;wsp:rsid wsp:val=&quot;009A7443&quot;/&gt;&lt;wsp:rsid wsp:val=&quot;009B0897&quot;/&gt;&lt;wsp:rsid wsp:val=&quot;009B7BD9&quot;/&gt;&lt;wsp:rsid wsp:val=&quot;009C7DD5&quot;/&gt;&lt;wsp:rsid wsp:val=&quot;009E227D&quot;/&gt;&lt;wsp:rsid wsp:val=&quot;009E5019&quot;/&gt;&lt;wsp:rsid wsp:val=&quot;009F43C6&quot;/&gt;&lt;wsp:rsid wsp:val=&quot;00A04F1B&quot;/&gt;&lt;wsp:rsid wsp:val=&quot;00A0501B&quot;/&gt;&lt;wsp:rsid wsp:val=&quot;00A14947&quot;/&gt;&lt;wsp:rsid wsp:val=&quot;00A32A83&quot;/&gt;&lt;wsp:rsid wsp:val=&quot;00A368DB&quot;/&gt;&lt;wsp:rsid wsp:val=&quot;00A423AA&quot;/&gt;&lt;wsp:rsid wsp:val=&quot;00A53EC6&quot;/&gt;&lt;wsp:rsid wsp:val=&quot;00A55C0F&quot;/&gt;&lt;wsp:rsid wsp:val=&quot;00A8713F&quot;/&gt;&lt;wsp:rsid wsp:val=&quot;00A90BA1&quot;/&gt;&lt;wsp:rsid wsp:val=&quot;00A97A9A&quot;/&gt;&lt;wsp:rsid wsp:val=&quot;00AA0671&quot;/&gt;&lt;wsp:rsid wsp:val=&quot;00AA2531&quot;/&gt;&lt;wsp:rsid wsp:val=&quot;00AB1E09&quot;/&gt;&lt;wsp:rsid wsp:val=&quot;00AB5330&quot;/&gt;&lt;wsp:rsid wsp:val=&quot;00AB7747&quot;/&gt;&lt;wsp:rsid wsp:val=&quot;00AC14CE&quot;/&gt;&lt;wsp:rsid wsp:val=&quot;00AC2A56&quot;/&gt;&lt;wsp:rsid wsp:val=&quot;00AD055E&quot;/&gt;&lt;wsp:rsid wsp:val=&quot;00AD47A7&quot;/&gt;&lt;wsp:rsid wsp:val=&quot;00AF0CBF&quot;/&gt;&lt;wsp:rsid wsp:val=&quot;00AF257F&quot;/&gt;&lt;wsp:rsid wsp:val=&quot;00AF33CF&quot;/&gt;&lt;wsp:rsid wsp:val=&quot;00AF4D50&quot;/&gt;&lt;wsp:rsid wsp:val=&quot;00AF6179&quot;/&gt;&lt;wsp:rsid wsp:val=&quot;00B1295A&quot;/&gt;&lt;wsp:rsid wsp:val=&quot;00B20A45&quot;/&gt;&lt;wsp:rsid wsp:val=&quot;00B22C5C&quot;/&gt;&lt;wsp:rsid wsp:val=&quot;00B24F30&quot;/&gt;&lt;wsp:rsid wsp:val=&quot;00B31ABF&quot;/&gt;&lt;wsp:rsid wsp:val=&quot;00B33BE3&quot;/&gt;&lt;wsp:rsid wsp:val=&quot;00B53B5D&quot;/&gt;&lt;wsp:rsid wsp:val=&quot;00B6055E&quot;/&gt;&lt;wsp:rsid wsp:val=&quot;00B6317D&quot;/&gt;&lt;wsp:rsid wsp:val=&quot;00B7723F&quot;/&gt;&lt;wsp:rsid wsp:val=&quot;00B80534&quot;/&gt;&lt;wsp:rsid wsp:val=&quot;00B8433C&quot;/&gt;&lt;wsp:rsid wsp:val=&quot;00B87491&quot;/&gt;&lt;wsp:rsid wsp:val=&quot;00BA29E9&quot;/&gt;&lt;wsp:rsid wsp:val=&quot;00BA7142&quot;/&gt;&lt;wsp:rsid wsp:val=&quot;00BB237C&quot;/&gt;&lt;wsp:rsid wsp:val=&quot;00BB41A3&quot;/&gt;&lt;wsp:rsid wsp:val=&quot;00BC32DC&quot;/&gt;&lt;wsp:rsid wsp:val=&quot;00BC35B6&quot;/&gt;&lt;wsp:rsid wsp:val=&quot;00BD1B51&quot;/&gt;&lt;wsp:rsid wsp:val=&quot;00BD4596&quot;/&gt;&lt;wsp:rsid wsp:val=&quot;00BE1405&quot;/&gt;&lt;wsp:rsid wsp:val=&quot;00BE312D&quot;/&gt;&lt;wsp:rsid wsp:val=&quot;00BF1C20&quot;/&gt;&lt;wsp:rsid wsp:val=&quot;00C10013&quot;/&gt;&lt;wsp:rsid wsp:val=&quot;00C10578&quot;/&gt;&lt;wsp:rsid wsp:val=&quot;00C135BC&quot;/&gt;&lt;wsp:rsid wsp:val=&quot;00C15C95&quot;/&gt;&lt;wsp:rsid wsp:val=&quot;00C2596A&quot;/&gt;&lt;wsp:rsid wsp:val=&quot;00C27537&quot;/&gt;&lt;wsp:rsid wsp:val=&quot;00C328FE&quot;/&gt;&lt;wsp:rsid wsp:val=&quot;00C33507&quot;/&gt;&lt;wsp:rsid wsp:val=&quot;00C4409D&quot;/&gt;&lt;wsp:rsid wsp:val=&quot;00C44E72&quot;/&gt;&lt;wsp:rsid wsp:val=&quot;00C45A06&quot;/&gt;&lt;wsp:rsid wsp:val=&quot;00C47E5B&quot;/&gt;&lt;wsp:rsid wsp:val=&quot;00C61E4B&quot;/&gt;&lt;wsp:rsid wsp:val=&quot;00C64845&quot;/&gt;&lt;wsp:rsid wsp:val=&quot;00C64BFF&quot;/&gt;&lt;wsp:rsid wsp:val=&quot;00C704E9&quot;/&gt;&lt;wsp:rsid wsp:val=&quot;00C763C9&quot;/&gt;&lt;wsp:rsid wsp:val=&quot;00C80057&quot;/&gt;&lt;wsp:rsid wsp:val=&quot;00C82232&quot;/&gt;&lt;wsp:rsid wsp:val=&quot;00C82913&quot;/&gt;&lt;wsp:rsid wsp:val=&quot;00C90F50&quot;/&gt;&lt;wsp:rsid wsp:val=&quot;00C972B1&quot;/&gt;&lt;wsp:rsid wsp:val=&quot;00CA0DA4&quot;/&gt;&lt;wsp:rsid wsp:val=&quot;00CA2CCE&quot;/&gt;&lt;wsp:rsid wsp:val=&quot;00CA43FD&quot;/&gt;&lt;wsp:rsid wsp:val=&quot;00CA7EF8&quot;/&gt;&lt;wsp:rsid wsp:val=&quot;00CC489B&quot;/&gt;&lt;wsp:rsid wsp:val=&quot;00CD2BCD&quot;/&gt;&lt;wsp:rsid wsp:val=&quot;00CD3A4C&quot;/&gt;&lt;wsp:rsid wsp:val=&quot;00CE10E9&quot;/&gt;&lt;wsp:rsid wsp:val=&quot;00CE2910&quot;/&gt;&lt;wsp:rsid wsp:val=&quot;00CE5109&quot;/&gt;&lt;wsp:rsid wsp:val=&quot;00CE5393&quot;/&gt;&lt;wsp:rsid wsp:val=&quot;00CF36BE&quot;/&gt;&lt;wsp:rsid wsp:val=&quot;00CF6000&quot;/&gt;&lt;wsp:rsid wsp:val=&quot;00D003F3&quot;/&gt;&lt;wsp:rsid wsp:val=&quot;00D0364F&quot;/&gt;&lt;wsp:rsid wsp:val=&quot;00D06834&quot;/&gt;&lt;wsp:rsid wsp:val=&quot;00D308ED&quot;/&gt;&lt;wsp:rsid wsp:val=&quot;00D36D86&quot;/&gt;&lt;wsp:rsid wsp:val=&quot;00D428AA&quot;/&gt;&lt;wsp:rsid wsp:val=&quot;00D50A34&quot;/&gt;&lt;wsp:rsid wsp:val=&quot;00D53EFA&quot;/&gt;&lt;wsp:rsid wsp:val=&quot;00D842F7&quot;/&gt;&lt;wsp:rsid wsp:val=&quot;00D94A7C&quot;/&gt;&lt;wsp:rsid wsp:val=&quot;00D95896&quot;/&gt;&lt;wsp:rsid wsp:val=&quot;00D9685A&quot;/&gt;&lt;wsp:rsid wsp:val=&quot;00DB2983&quot;/&gt;&lt;wsp:rsid wsp:val=&quot;00DC1257&quot;/&gt;&lt;wsp:rsid wsp:val=&quot;00DC3DC0&quot;/&gt;&lt;wsp:rsid wsp:val=&quot;00DC5B2B&quot;/&gt;&lt;wsp:rsid wsp:val=&quot;00DD318D&quot;/&gt;&lt;wsp:rsid wsp:val=&quot;00DF2E12&quot;/&gt;&lt;wsp:rsid wsp:val=&quot;00DF514A&quot;/&gt;&lt;wsp:rsid wsp:val=&quot;00DF6690&quot;/&gt;&lt;wsp:rsid wsp:val=&quot;00DF6804&quot;/&gt;&lt;wsp:rsid wsp:val=&quot;00E0358D&quot;/&gt;&lt;wsp:rsid wsp:val=&quot;00E04323&quot;/&gt;&lt;wsp:rsid wsp:val=&quot;00E070A2&quot;/&gt;&lt;wsp:rsid wsp:val=&quot;00E2656A&quot;/&gt;&lt;wsp:rsid wsp:val=&quot;00E412D0&quot;/&gt;&lt;wsp:rsid wsp:val=&quot;00E56322&quot;/&gt;&lt;wsp:rsid wsp:val=&quot;00E60982&quot;/&gt;&lt;wsp:rsid wsp:val=&quot;00E62C62&quot;/&gt;&lt;wsp:rsid wsp:val=&quot;00E654C1&quot;/&gt;&lt;wsp:rsid wsp:val=&quot;00E65D97&quot;/&gt;&lt;wsp:rsid wsp:val=&quot;00E72A5A&quot;/&gt;&lt;wsp:rsid wsp:val=&quot;00E73354&quot;/&gt;&lt;wsp:rsid wsp:val=&quot;00E9242D&quot;/&gt;&lt;wsp:rsid wsp:val=&quot;00EB5255&quot;/&gt;&lt;wsp:rsid wsp:val=&quot;00EB5C47&quot;/&gt;&lt;wsp:rsid wsp:val=&quot;00ED0639&quot;/&gt;&lt;wsp:rsid wsp:val=&quot;00EF4755&quot;/&gt;&lt;wsp:rsid wsp:val=&quot;00EF7135&quot;/&gt;&lt;wsp:rsid wsp:val=&quot;00F027DB&quot;/&gt;&lt;wsp:rsid wsp:val=&quot;00F14A7A&quot;/&gt;&lt;wsp:rsid wsp:val=&quot;00F22985&quot;/&gt;&lt;wsp:rsid wsp:val=&quot;00F3383E&quot;/&gt;&lt;wsp:rsid wsp:val=&quot;00F465A7&quot;/&gt;&lt;wsp:rsid wsp:val=&quot;00F50B7C&quot;/&gt;&lt;wsp:rsid wsp:val=&quot;00F550E6&quot;/&gt;&lt;wsp:rsid wsp:val=&quot;00F74345&quot;/&gt;&lt;wsp:rsid wsp:val=&quot;00F80A0A&quot;/&gt;&lt;wsp:rsid wsp:val=&quot;00F8130B&quot;/&gt;&lt;wsp:rsid wsp:val=&quot;00F82B19&quot;/&gt;&lt;wsp:rsid wsp:val=&quot;00F9212D&quot;/&gt;&lt;wsp:rsid wsp:val=&quot;00F965DA&quot;/&gt;&lt;wsp:rsid wsp:val=&quot;00FA406A&quot;/&gt;&lt;wsp:rsid wsp:val=&quot;00FB503A&quot;/&gt;&lt;wsp:rsid wsp:val=&quot;00FB516C&quot;/&gt;&lt;wsp:rsid wsp:val=&quot;00FC5542&quot;/&gt;&lt;wsp:rsid wsp:val=&quot;00FD0236&quot;/&gt;&lt;wsp:rsid wsp:val=&quot;00FD18F4&quot;/&gt;&lt;wsp:rsid wsp:val=&quot;00FD54DB&quot;/&gt;&lt;wsp:rsid wsp:val=&quot;00FD619F&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663329&quot; wsp:rsidP=&quot;00663329&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I&lt;/m:t&gt;&lt;/m:r&gt;&lt;/m:e&gt;&lt;m:sub&gt;&lt;m:r&gt;&lt;w:rPr&gt;&lt;w:rFonts w:ascii=&quot;Cambria Math&quot; w:h-ansi=&quot;Cambria Math&quot; w:hint=&quot;fareast&quot;/&gt;&lt;wx:font wx:val=&quot;Cambria Math&quot;/&gt;&lt;w:i/&gt;&lt;w:color w:val=&quot;000000&quot;/&gt;&lt;w:sz w:val=&quot;24&quot;/&gt;&lt;/w:rPr&gt;&lt;m:t&gt;i&lt;/m:t&gt;&lt;/m:r&gt;&lt;/m:sub&gt;&lt;/m:sSub&gt;&lt;m:r&gt;&lt;m:rPr&gt;&lt;m:sty m:val=&quot;p&quot;/&gt;&lt;/m:rPr&gt;&lt;w:rPr&gt;&lt;w:rFonts w:ascii=&quot;Cambria Math&quot; w:h-ansi=&quot;Cambria Math&quot; w:hint=&quot;fareast&quot;/&gt;&lt;wx:font wx:val=&quot;Cambria Math&quot;/&gt;&lt;w:color w:val=&quot;000000&quot;/&gt;&lt;w:sz w:val=&quot;24&quot;/&gt;&lt;/w:rPr&gt;&lt;m:t&gt;=&lt;/m:t&gt;&lt;/m:r&gt;&lt;m:f&gt;&lt;m:fPr&gt;&lt;m:ctrlPr&gt;&lt;w:rPr&gt;&lt;w:rFonts w:ascii=&quot;Cambria Math&quot; w:h-ansi=&quot;Cambria Math&quot;/&gt;&lt;wx:font wx:val=&quot;Cambria Math&quot;/&gt;&lt;w:color w:val=&quot;000000&quot;/&gt;&lt;w:sz w:val=&quot;24&quot;/&gt;&lt;/w:rPr&gt;&lt;/m:ctrlPr&gt;&lt;/m:fPr&gt;&lt;m:num&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C&lt;/m:t&gt;&lt;/m:r&gt;&lt;/m:e&gt;&lt;m:sub&gt;&lt;m:r&gt;&lt;w:rPr&gt;&lt;w:rFonts w:ascii=&quot;Cambria Math&quot; w:h-ansi=&quot;Cambria Math&quot; w:hint=&quot;fareast&quot;/&gt;&lt;wx:font wx:val=&quot;Cambria Math&quot;/&gt;&lt;w:i/&gt;&lt;w:color w:val=&quot;000000&quot;/&gt;&lt;w:sz w:val=&quot;24&quot;/&gt;&lt;/w:rPr&gt;&lt;m:t&gt;i&lt;/m:t&gt;&lt;/m:r&gt;&lt;/m:sub&gt;&lt;/m:sSub&gt;&lt;/m:num&gt;&lt;m:den&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C&lt;/m:t&gt;&lt;/m:r&gt;&lt;/m:e&gt;&lt;m:sub&gt;&lt;m:r&gt;&lt;w:rPr&gt;&lt;w:rFonts w:ascii=&quot;Cambria Math&quot; w:h-ansi=&quot;Cambria Math&quot; w:hint=&quot;fareast&quot;/&gt;&lt;wx:font wx:val=&quot;Cambria Math&quot;/&gt;&lt;w:i/&gt;&lt;w:color w:val=&quot;000000&quot;/&gt;&lt;w:sz w:val=&quot;24&quot;/&gt;&lt;/w:rPr&gt;&lt;m:t&gt;oi&lt;/m:t&gt;&lt;/m:r&gt;&lt;/m:sub&gt;&lt;/m:sSub&gt;&lt;/m:den&gt;&lt;/m:f&gt;&lt;m:r&gt;&lt;w:rPr&gt;&lt;w:rFonts w:ascii=&quot;Cambria Math&quot; w:h-ansi=&quot;Cambria Math&quot;/&gt;&lt;wx:font wx:val=&quot;Cambria Math&quot;/&gt;&lt;w:i/&gt;&lt;w:color w:val=&quot;000000&quot;/&gt;&lt;w:sz w:val=&quot;24&quot;/&gt;&lt;/w:rPr&gt;&lt;m:t&gt;×&lt;/m:t&gt;&lt;/m:r&gt;&lt;m:r&gt;&lt;w:rPr&gt;&lt;w:rFon&gt;ts w:ascii=&quot;Cambria Math&quot; w:h-ansi=&quot;Cambria Math&quot; w:hint=&quot;fareast&quot;/&gt;&lt;wx:font wx:val=&quot;Cambria Math&quot;/&gt;&lt;w:i/&gt;&lt;w:color w:val=&quot;000000&quot;/&gt;&lt;w:sz w:val=&quot;24&quot;/&gt;&lt;/w:rPr&gt;&lt;m:t&gt;100%&lt;/m:t&gt;&lt;/m:r&gt;&lt;/m:oMath&gt;&lt;/m:oMathPara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5" chromakey="#FFFFFF" o:title=""/>
                  <o:lock v:ext="edit" aspectratio="t"/>
                  <w10:wrap type="none"/>
                  <w10:anchorlock/>
                </v:shape>
              </w:pict>
            </w:r>
            <w:r>
              <w:rPr>
                <w:strike w:val="0"/>
                <w:dstrike w:val="0"/>
                <w:color w:val="auto"/>
                <w:sz w:val="24"/>
                <w:highlight w:val="none"/>
              </w:rPr>
              <w:fldChar w:fldCharType="end"/>
            </w:r>
          </w:p>
          <w:p w14:paraId="01BF43F4">
            <w:pPr>
              <w:adjustRightInd w:val="0"/>
              <w:snapToGrid w:val="0"/>
              <w:spacing w:line="460" w:lineRule="exact"/>
              <w:ind w:firstLine="422" w:firstLineChars="176"/>
              <w:rPr>
                <w:strike w:val="0"/>
                <w:dstrike w:val="0"/>
                <w:color w:val="auto"/>
                <w:sz w:val="24"/>
                <w:highlight w:val="none"/>
              </w:rPr>
            </w:pPr>
            <w:r>
              <w:rPr>
                <w:strike w:val="0"/>
                <w:dstrike w:val="0"/>
                <w:color w:val="auto"/>
                <w:sz w:val="24"/>
                <w:highlight w:val="none"/>
              </w:rPr>
              <w:t>式中：I</w:t>
            </w:r>
            <w:r>
              <w:rPr>
                <w:strike w:val="0"/>
                <w:dstrike w:val="0"/>
                <w:color w:val="auto"/>
                <w:sz w:val="24"/>
                <w:highlight w:val="none"/>
                <w:vertAlign w:val="subscript"/>
              </w:rPr>
              <w:t>i</w:t>
            </w:r>
            <w:r>
              <w:rPr>
                <w:strike w:val="0"/>
                <w:dstrike w:val="0"/>
                <w:color w:val="auto"/>
                <w:sz w:val="24"/>
                <w:highlight w:val="none"/>
              </w:rPr>
              <w:t>-为i污染物的最大占标率，%；</w:t>
            </w:r>
          </w:p>
          <w:p w14:paraId="0D4C90D7">
            <w:pPr>
              <w:adjustRightInd w:val="0"/>
              <w:snapToGrid w:val="0"/>
              <w:spacing w:line="460" w:lineRule="exact"/>
              <w:ind w:firstLine="1142" w:firstLineChars="476"/>
              <w:rPr>
                <w:strike w:val="0"/>
                <w:dstrike w:val="0"/>
                <w:color w:val="auto"/>
                <w:sz w:val="24"/>
                <w:highlight w:val="none"/>
              </w:rPr>
            </w:pPr>
            <w:r>
              <w:rPr>
                <w:strike w:val="0"/>
                <w:dstrike w:val="0"/>
                <w:color w:val="auto"/>
                <w:sz w:val="24"/>
                <w:highlight w:val="none"/>
              </w:rPr>
              <w:t>C</w:t>
            </w:r>
            <w:r>
              <w:rPr>
                <w:strike w:val="0"/>
                <w:dstrike w:val="0"/>
                <w:color w:val="auto"/>
                <w:sz w:val="24"/>
                <w:highlight w:val="none"/>
                <w:vertAlign w:val="subscript"/>
              </w:rPr>
              <w:t>i</w:t>
            </w:r>
            <w:r>
              <w:rPr>
                <w:strike w:val="0"/>
                <w:dstrike w:val="0"/>
                <w:color w:val="auto"/>
                <w:sz w:val="24"/>
                <w:highlight w:val="none"/>
              </w:rPr>
              <w:t>-为i污染因子的最大实测浓度（mg/m</w:t>
            </w:r>
            <w:r>
              <w:rPr>
                <w:strike w:val="0"/>
                <w:dstrike w:val="0"/>
                <w:color w:val="auto"/>
                <w:sz w:val="24"/>
                <w:highlight w:val="none"/>
                <w:vertAlign w:val="superscript"/>
              </w:rPr>
              <w:t>3</w:t>
            </w:r>
            <w:r>
              <w:rPr>
                <w:strike w:val="0"/>
                <w:dstrike w:val="0"/>
                <w:color w:val="auto"/>
                <w:sz w:val="24"/>
                <w:highlight w:val="none"/>
              </w:rPr>
              <w:t>）；</w:t>
            </w:r>
          </w:p>
          <w:p w14:paraId="1CF24C97">
            <w:pPr>
              <w:adjustRightInd w:val="0"/>
              <w:snapToGrid w:val="0"/>
              <w:spacing w:line="460" w:lineRule="exact"/>
              <w:ind w:firstLine="1142" w:firstLineChars="476"/>
              <w:rPr>
                <w:strike w:val="0"/>
                <w:dstrike w:val="0"/>
                <w:color w:val="auto"/>
                <w:sz w:val="24"/>
                <w:highlight w:val="none"/>
              </w:rPr>
            </w:pPr>
            <w:r>
              <w:rPr>
                <w:strike w:val="0"/>
                <w:dstrike w:val="0"/>
                <w:color w:val="auto"/>
                <w:sz w:val="24"/>
                <w:highlight w:val="none"/>
              </w:rPr>
              <w:t>C</w:t>
            </w:r>
            <w:r>
              <w:rPr>
                <w:strike w:val="0"/>
                <w:dstrike w:val="0"/>
                <w:color w:val="auto"/>
                <w:sz w:val="24"/>
                <w:highlight w:val="none"/>
                <w:vertAlign w:val="subscript"/>
              </w:rPr>
              <w:t>Oi</w:t>
            </w:r>
            <w:r>
              <w:rPr>
                <w:strike w:val="0"/>
                <w:dstrike w:val="0"/>
                <w:color w:val="auto"/>
                <w:sz w:val="24"/>
                <w:highlight w:val="none"/>
              </w:rPr>
              <w:t>-为i污染物与监测浓度相适应的评价标准(mg/m</w:t>
            </w:r>
            <w:r>
              <w:rPr>
                <w:strike w:val="0"/>
                <w:dstrike w:val="0"/>
                <w:color w:val="auto"/>
                <w:sz w:val="24"/>
                <w:highlight w:val="none"/>
                <w:vertAlign w:val="superscript"/>
              </w:rPr>
              <w:t>3</w:t>
            </w:r>
            <w:r>
              <w:rPr>
                <w:strike w:val="0"/>
                <w:dstrike w:val="0"/>
                <w:color w:val="auto"/>
                <w:sz w:val="24"/>
                <w:highlight w:val="none"/>
              </w:rPr>
              <w:t>)。</w:t>
            </w:r>
          </w:p>
          <w:p w14:paraId="28D87CE0">
            <w:pPr>
              <w:pStyle w:val="10"/>
              <w:adjustRightInd w:val="0"/>
              <w:spacing w:before="0" w:after="0" w:line="240" w:lineRule="auto"/>
              <w:ind w:right="0"/>
              <w:jc w:val="center"/>
              <w:rPr>
                <w:b/>
                <w:strike w:val="0"/>
                <w:dstrike w:val="0"/>
                <w:color w:val="auto"/>
                <w:sz w:val="24"/>
                <w:szCs w:val="24"/>
                <w:highlight w:val="none"/>
              </w:rPr>
            </w:pPr>
            <w:r>
              <w:rPr>
                <w:b/>
                <w:strike w:val="0"/>
                <w:dstrike w:val="0"/>
                <w:color w:val="auto"/>
                <w:sz w:val="24"/>
                <w:szCs w:val="24"/>
                <w:highlight w:val="none"/>
              </w:rPr>
              <w:t>表3.1-2  监测结果分析一览表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908"/>
              <w:gridCol w:w="725"/>
              <w:gridCol w:w="739"/>
              <w:gridCol w:w="1202"/>
              <w:gridCol w:w="1121"/>
              <w:gridCol w:w="891"/>
              <w:gridCol w:w="714"/>
            </w:tblGrid>
            <w:tr w14:paraId="2B63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3" w:type="pct"/>
                  <w:gridSpan w:val="4"/>
                  <w:vAlign w:val="center"/>
                </w:tcPr>
                <w:p w14:paraId="0F185F31">
                  <w:pPr>
                    <w:jc w:val="center"/>
                    <w:rPr>
                      <w:b/>
                      <w:strike w:val="0"/>
                      <w:dstrike w:val="0"/>
                      <w:color w:val="auto"/>
                      <w:kern w:val="0"/>
                      <w:szCs w:val="21"/>
                      <w:highlight w:val="none"/>
                    </w:rPr>
                  </w:pPr>
                  <w:r>
                    <w:rPr>
                      <w:b/>
                      <w:strike w:val="0"/>
                      <w:dstrike w:val="0"/>
                      <w:color w:val="auto"/>
                      <w:kern w:val="0"/>
                      <w:szCs w:val="21"/>
                      <w:highlight w:val="none"/>
                    </w:rPr>
                    <w:t>采样点及监测项目</w:t>
                  </w:r>
                </w:p>
              </w:tc>
              <w:tc>
                <w:tcPr>
                  <w:tcW w:w="727" w:type="pct"/>
                  <w:vMerge w:val="restart"/>
                  <w:vAlign w:val="center"/>
                </w:tcPr>
                <w:p w14:paraId="6492E1ED">
                  <w:pPr>
                    <w:jc w:val="center"/>
                    <w:rPr>
                      <w:b/>
                      <w:strike w:val="0"/>
                      <w:dstrike w:val="0"/>
                      <w:color w:val="auto"/>
                      <w:kern w:val="0"/>
                      <w:szCs w:val="21"/>
                      <w:highlight w:val="none"/>
                    </w:rPr>
                  </w:pPr>
                  <w:r>
                    <w:rPr>
                      <w:b/>
                      <w:strike w:val="0"/>
                      <w:dstrike w:val="0"/>
                      <w:color w:val="auto"/>
                      <w:kern w:val="0"/>
                      <w:szCs w:val="21"/>
                      <w:highlight w:val="none"/>
                    </w:rPr>
                    <w:t>浓度范围</w:t>
                  </w:r>
                </w:p>
                <w:p w14:paraId="30EBB6C9">
                  <w:pPr>
                    <w:jc w:val="center"/>
                    <w:rPr>
                      <w:b/>
                      <w:strike w:val="0"/>
                      <w:dstrike w:val="0"/>
                      <w:color w:val="auto"/>
                      <w:kern w:val="0"/>
                      <w:szCs w:val="21"/>
                      <w:highlight w:val="none"/>
                    </w:rPr>
                  </w:pPr>
                  <w:r>
                    <w:rPr>
                      <w:b/>
                      <w:strike w:val="0"/>
                      <w:dstrike w:val="0"/>
                      <w:color w:val="auto"/>
                      <w:kern w:val="0"/>
                      <w:szCs w:val="21"/>
                      <w:highlight w:val="none"/>
                    </w:rPr>
                    <w:t>（mg/m</w:t>
                  </w:r>
                  <w:r>
                    <w:rPr>
                      <w:b/>
                      <w:strike w:val="0"/>
                      <w:dstrike w:val="0"/>
                      <w:color w:val="auto"/>
                      <w:kern w:val="0"/>
                      <w:szCs w:val="21"/>
                      <w:highlight w:val="none"/>
                      <w:vertAlign w:val="superscript"/>
                    </w:rPr>
                    <w:t>3</w:t>
                  </w:r>
                  <w:r>
                    <w:rPr>
                      <w:b/>
                      <w:strike w:val="0"/>
                      <w:dstrike w:val="0"/>
                      <w:color w:val="auto"/>
                      <w:kern w:val="0"/>
                      <w:szCs w:val="21"/>
                      <w:highlight w:val="none"/>
                    </w:rPr>
                    <w:t>）</w:t>
                  </w:r>
                </w:p>
              </w:tc>
              <w:tc>
                <w:tcPr>
                  <w:tcW w:w="678" w:type="pct"/>
                  <w:vMerge w:val="restart"/>
                  <w:vAlign w:val="center"/>
                </w:tcPr>
                <w:p w14:paraId="71638E39">
                  <w:pPr>
                    <w:jc w:val="center"/>
                    <w:rPr>
                      <w:b/>
                      <w:strike w:val="0"/>
                      <w:dstrike w:val="0"/>
                      <w:color w:val="auto"/>
                      <w:kern w:val="0"/>
                      <w:szCs w:val="21"/>
                      <w:highlight w:val="none"/>
                    </w:rPr>
                  </w:pPr>
                  <w:r>
                    <w:rPr>
                      <w:b/>
                      <w:strike w:val="0"/>
                      <w:dstrike w:val="0"/>
                      <w:color w:val="auto"/>
                      <w:kern w:val="0"/>
                      <w:szCs w:val="21"/>
                      <w:highlight w:val="none"/>
                    </w:rPr>
                    <w:t>标准限值</w:t>
                  </w:r>
                </w:p>
                <w:p w14:paraId="6202C534">
                  <w:pPr>
                    <w:jc w:val="center"/>
                    <w:rPr>
                      <w:b/>
                      <w:strike w:val="0"/>
                      <w:dstrike w:val="0"/>
                      <w:color w:val="auto"/>
                      <w:kern w:val="0"/>
                      <w:szCs w:val="21"/>
                      <w:highlight w:val="none"/>
                    </w:rPr>
                  </w:pPr>
                  <w:r>
                    <w:rPr>
                      <w:b/>
                      <w:strike w:val="0"/>
                      <w:dstrike w:val="0"/>
                      <w:color w:val="auto"/>
                      <w:kern w:val="0"/>
                      <w:szCs w:val="21"/>
                      <w:highlight w:val="none"/>
                    </w:rPr>
                    <w:t>（mg/m</w:t>
                  </w:r>
                  <w:r>
                    <w:rPr>
                      <w:b/>
                      <w:strike w:val="0"/>
                      <w:dstrike w:val="0"/>
                      <w:color w:val="auto"/>
                      <w:kern w:val="0"/>
                      <w:szCs w:val="21"/>
                      <w:highlight w:val="none"/>
                      <w:vertAlign w:val="superscript"/>
                    </w:rPr>
                    <w:t>3</w:t>
                  </w:r>
                  <w:r>
                    <w:rPr>
                      <w:b/>
                      <w:strike w:val="0"/>
                      <w:dstrike w:val="0"/>
                      <w:color w:val="auto"/>
                      <w:kern w:val="0"/>
                      <w:szCs w:val="21"/>
                      <w:highlight w:val="none"/>
                    </w:rPr>
                    <w:t>）</w:t>
                  </w:r>
                </w:p>
              </w:tc>
              <w:tc>
                <w:tcPr>
                  <w:tcW w:w="539" w:type="pct"/>
                  <w:vMerge w:val="restart"/>
                  <w:vAlign w:val="center"/>
                </w:tcPr>
                <w:p w14:paraId="477C66E4">
                  <w:pPr>
                    <w:jc w:val="center"/>
                    <w:rPr>
                      <w:b/>
                      <w:strike w:val="0"/>
                      <w:dstrike w:val="0"/>
                      <w:color w:val="auto"/>
                      <w:kern w:val="0"/>
                      <w:szCs w:val="21"/>
                      <w:highlight w:val="none"/>
                    </w:rPr>
                  </w:pPr>
                  <w:r>
                    <w:rPr>
                      <w:b/>
                      <w:strike w:val="0"/>
                      <w:dstrike w:val="0"/>
                      <w:color w:val="auto"/>
                      <w:kern w:val="0"/>
                      <w:szCs w:val="21"/>
                      <w:highlight w:val="none"/>
                    </w:rPr>
                    <w:t>超标率</w:t>
                  </w:r>
                </w:p>
                <w:p w14:paraId="7A3B7AC3">
                  <w:pPr>
                    <w:jc w:val="center"/>
                    <w:rPr>
                      <w:b/>
                      <w:strike w:val="0"/>
                      <w:dstrike w:val="0"/>
                      <w:color w:val="auto"/>
                      <w:kern w:val="0"/>
                      <w:szCs w:val="21"/>
                      <w:highlight w:val="none"/>
                    </w:rPr>
                  </w:pPr>
                  <w:r>
                    <w:rPr>
                      <w:b/>
                      <w:strike w:val="0"/>
                      <w:dstrike w:val="0"/>
                      <w:color w:val="auto"/>
                      <w:kern w:val="0"/>
                      <w:szCs w:val="21"/>
                      <w:highlight w:val="none"/>
                    </w:rPr>
                    <w:t>（%）</w:t>
                  </w:r>
                </w:p>
              </w:tc>
              <w:tc>
                <w:tcPr>
                  <w:tcW w:w="431" w:type="pct"/>
                  <w:vMerge w:val="restart"/>
                  <w:vAlign w:val="center"/>
                </w:tcPr>
                <w:p w14:paraId="232E517E">
                  <w:pPr>
                    <w:jc w:val="center"/>
                    <w:rPr>
                      <w:b/>
                      <w:strike w:val="0"/>
                      <w:dstrike w:val="0"/>
                      <w:color w:val="auto"/>
                      <w:kern w:val="0"/>
                      <w:szCs w:val="21"/>
                      <w:highlight w:val="none"/>
                    </w:rPr>
                  </w:pPr>
                  <w:r>
                    <w:rPr>
                      <w:b/>
                      <w:strike w:val="0"/>
                      <w:dstrike w:val="0"/>
                      <w:color w:val="auto"/>
                      <w:kern w:val="0"/>
                      <w:szCs w:val="21"/>
                      <w:highlight w:val="none"/>
                    </w:rPr>
                    <w:t>最大占标率%</w:t>
                  </w:r>
                </w:p>
              </w:tc>
            </w:tr>
            <w:tr w14:paraId="0C72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3" w:type="pct"/>
                  <w:vAlign w:val="center"/>
                </w:tcPr>
                <w:p w14:paraId="1C0F2C74">
                  <w:pPr>
                    <w:jc w:val="center"/>
                    <w:rPr>
                      <w:b/>
                      <w:strike w:val="0"/>
                      <w:dstrike w:val="0"/>
                      <w:color w:val="auto"/>
                      <w:kern w:val="0"/>
                      <w:szCs w:val="21"/>
                      <w:highlight w:val="none"/>
                    </w:rPr>
                  </w:pPr>
                  <w:r>
                    <w:rPr>
                      <w:b/>
                      <w:strike w:val="0"/>
                      <w:dstrike w:val="0"/>
                      <w:color w:val="auto"/>
                      <w:kern w:val="0"/>
                      <w:szCs w:val="21"/>
                      <w:highlight w:val="none"/>
                    </w:rPr>
                    <w:t>采样点</w:t>
                  </w:r>
                </w:p>
              </w:tc>
              <w:tc>
                <w:tcPr>
                  <w:tcW w:w="1154" w:type="pct"/>
                  <w:vAlign w:val="center"/>
                </w:tcPr>
                <w:p w14:paraId="0B9481DD">
                  <w:pPr>
                    <w:jc w:val="center"/>
                    <w:rPr>
                      <w:b/>
                      <w:strike w:val="0"/>
                      <w:dstrike w:val="0"/>
                      <w:color w:val="auto"/>
                      <w:kern w:val="0"/>
                      <w:szCs w:val="21"/>
                      <w:highlight w:val="none"/>
                    </w:rPr>
                  </w:pPr>
                  <w:r>
                    <w:rPr>
                      <w:b/>
                      <w:strike w:val="0"/>
                      <w:dstrike w:val="0"/>
                      <w:color w:val="auto"/>
                      <w:kern w:val="0"/>
                      <w:szCs w:val="21"/>
                      <w:highlight w:val="none"/>
                    </w:rPr>
                    <w:t>经纬度</w:t>
                  </w:r>
                </w:p>
              </w:tc>
              <w:tc>
                <w:tcPr>
                  <w:tcW w:w="438" w:type="pct"/>
                  <w:vAlign w:val="center"/>
                </w:tcPr>
                <w:p w14:paraId="656594E6">
                  <w:pPr>
                    <w:jc w:val="center"/>
                    <w:rPr>
                      <w:b/>
                      <w:strike w:val="0"/>
                      <w:dstrike w:val="0"/>
                      <w:color w:val="auto"/>
                      <w:kern w:val="0"/>
                      <w:szCs w:val="21"/>
                      <w:highlight w:val="none"/>
                    </w:rPr>
                  </w:pPr>
                  <w:r>
                    <w:rPr>
                      <w:b/>
                      <w:strike w:val="0"/>
                      <w:dstrike w:val="0"/>
                      <w:color w:val="auto"/>
                      <w:kern w:val="0"/>
                      <w:szCs w:val="21"/>
                      <w:highlight w:val="none"/>
                    </w:rPr>
                    <w:t>监测项目</w:t>
                  </w:r>
                </w:p>
              </w:tc>
              <w:tc>
                <w:tcPr>
                  <w:tcW w:w="447" w:type="pct"/>
                  <w:vAlign w:val="center"/>
                </w:tcPr>
                <w:p w14:paraId="36D16287">
                  <w:pPr>
                    <w:jc w:val="center"/>
                    <w:rPr>
                      <w:b/>
                      <w:strike w:val="0"/>
                      <w:dstrike w:val="0"/>
                      <w:color w:val="auto"/>
                      <w:kern w:val="0"/>
                      <w:szCs w:val="21"/>
                      <w:highlight w:val="none"/>
                    </w:rPr>
                  </w:pPr>
                  <w:r>
                    <w:rPr>
                      <w:b/>
                      <w:strike w:val="0"/>
                      <w:dstrike w:val="0"/>
                      <w:color w:val="auto"/>
                      <w:kern w:val="0"/>
                      <w:szCs w:val="21"/>
                      <w:highlight w:val="none"/>
                    </w:rPr>
                    <w:t>评价指标</w:t>
                  </w:r>
                </w:p>
              </w:tc>
              <w:tc>
                <w:tcPr>
                  <w:tcW w:w="727" w:type="pct"/>
                  <w:vMerge w:val="continue"/>
                  <w:vAlign w:val="center"/>
                </w:tcPr>
                <w:p w14:paraId="6A8C6301">
                  <w:pPr>
                    <w:jc w:val="center"/>
                    <w:rPr>
                      <w:b/>
                      <w:strike w:val="0"/>
                      <w:dstrike w:val="0"/>
                      <w:color w:val="auto"/>
                      <w:kern w:val="0"/>
                      <w:szCs w:val="21"/>
                      <w:highlight w:val="none"/>
                    </w:rPr>
                  </w:pPr>
                </w:p>
              </w:tc>
              <w:tc>
                <w:tcPr>
                  <w:tcW w:w="678" w:type="pct"/>
                  <w:vMerge w:val="continue"/>
                  <w:vAlign w:val="center"/>
                </w:tcPr>
                <w:p w14:paraId="017DFEB9">
                  <w:pPr>
                    <w:jc w:val="center"/>
                    <w:rPr>
                      <w:b/>
                      <w:strike w:val="0"/>
                      <w:dstrike w:val="0"/>
                      <w:color w:val="auto"/>
                      <w:kern w:val="0"/>
                      <w:szCs w:val="21"/>
                      <w:highlight w:val="none"/>
                    </w:rPr>
                  </w:pPr>
                </w:p>
              </w:tc>
              <w:tc>
                <w:tcPr>
                  <w:tcW w:w="539" w:type="pct"/>
                  <w:vMerge w:val="continue"/>
                  <w:vAlign w:val="center"/>
                </w:tcPr>
                <w:p w14:paraId="125C07D8">
                  <w:pPr>
                    <w:jc w:val="center"/>
                    <w:rPr>
                      <w:b/>
                      <w:strike w:val="0"/>
                      <w:dstrike w:val="0"/>
                      <w:color w:val="auto"/>
                      <w:kern w:val="0"/>
                      <w:szCs w:val="21"/>
                      <w:highlight w:val="none"/>
                    </w:rPr>
                  </w:pPr>
                </w:p>
              </w:tc>
              <w:tc>
                <w:tcPr>
                  <w:tcW w:w="431" w:type="pct"/>
                  <w:vMerge w:val="continue"/>
                  <w:vAlign w:val="center"/>
                </w:tcPr>
                <w:p w14:paraId="7E9830EB">
                  <w:pPr>
                    <w:jc w:val="center"/>
                    <w:rPr>
                      <w:b/>
                      <w:strike w:val="0"/>
                      <w:dstrike w:val="0"/>
                      <w:color w:val="auto"/>
                      <w:kern w:val="0"/>
                      <w:szCs w:val="21"/>
                      <w:highlight w:val="none"/>
                    </w:rPr>
                  </w:pPr>
                </w:p>
              </w:tc>
            </w:tr>
            <w:tr w14:paraId="636A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3" w:type="pct"/>
                  <w:vAlign w:val="center"/>
                </w:tcPr>
                <w:p w14:paraId="166A1D9E">
                  <w:pPr>
                    <w:rPr>
                      <w:bCs/>
                      <w:strike w:val="0"/>
                      <w:dstrike w:val="0"/>
                      <w:color w:val="auto"/>
                      <w:kern w:val="0"/>
                      <w:szCs w:val="21"/>
                      <w:highlight w:val="none"/>
                    </w:rPr>
                  </w:pPr>
                  <w:r>
                    <w:rPr>
                      <w:strike w:val="0"/>
                      <w:dstrike w:val="0"/>
                      <w:color w:val="auto"/>
                      <w:highlight w:val="none"/>
                    </w:rPr>
                    <w:t>拟建厂区外西南侧（G1）</w:t>
                  </w:r>
                </w:p>
              </w:tc>
              <w:tc>
                <w:tcPr>
                  <w:tcW w:w="1154" w:type="pct"/>
                  <w:vAlign w:val="center"/>
                </w:tcPr>
                <w:p w14:paraId="2B246E56">
                  <w:pPr>
                    <w:rPr>
                      <w:strike w:val="0"/>
                      <w:dstrike w:val="0"/>
                      <w:color w:val="auto"/>
                      <w:highlight w:val="none"/>
                    </w:rPr>
                  </w:pPr>
                  <w:r>
                    <w:rPr>
                      <w:strike w:val="0"/>
                      <w:dstrike w:val="0"/>
                      <w:color w:val="auto"/>
                      <w:highlight w:val="none"/>
                    </w:rPr>
                    <w:t>经度：106.478642，纬度：29.934059</w:t>
                  </w:r>
                </w:p>
              </w:tc>
              <w:tc>
                <w:tcPr>
                  <w:tcW w:w="438" w:type="pct"/>
                  <w:vAlign w:val="center"/>
                </w:tcPr>
                <w:p w14:paraId="704AD240">
                  <w:pPr>
                    <w:jc w:val="center"/>
                    <w:rPr>
                      <w:bCs/>
                      <w:strike w:val="0"/>
                      <w:dstrike w:val="0"/>
                      <w:color w:val="auto"/>
                      <w:kern w:val="0"/>
                      <w:szCs w:val="21"/>
                      <w:highlight w:val="none"/>
                    </w:rPr>
                  </w:pPr>
                  <w:r>
                    <w:rPr>
                      <w:bCs/>
                      <w:strike w:val="0"/>
                      <w:dstrike w:val="0"/>
                      <w:color w:val="auto"/>
                      <w:kern w:val="0"/>
                      <w:szCs w:val="21"/>
                      <w:highlight w:val="none"/>
                    </w:rPr>
                    <w:t>非甲烷总烃</w:t>
                  </w:r>
                </w:p>
              </w:tc>
              <w:tc>
                <w:tcPr>
                  <w:tcW w:w="447" w:type="pct"/>
                  <w:vAlign w:val="center"/>
                </w:tcPr>
                <w:p w14:paraId="79BA69CF">
                  <w:pPr>
                    <w:jc w:val="center"/>
                    <w:rPr>
                      <w:bCs/>
                      <w:strike w:val="0"/>
                      <w:dstrike w:val="0"/>
                      <w:color w:val="auto"/>
                      <w:kern w:val="0"/>
                      <w:szCs w:val="21"/>
                      <w:highlight w:val="none"/>
                    </w:rPr>
                  </w:pPr>
                  <w:r>
                    <w:rPr>
                      <w:bCs/>
                      <w:strike w:val="0"/>
                      <w:dstrike w:val="0"/>
                      <w:color w:val="auto"/>
                      <w:kern w:val="0"/>
                      <w:szCs w:val="21"/>
                      <w:highlight w:val="none"/>
                    </w:rPr>
                    <w:t>小时值</w:t>
                  </w:r>
                </w:p>
              </w:tc>
              <w:tc>
                <w:tcPr>
                  <w:tcW w:w="727" w:type="pct"/>
                  <w:vAlign w:val="center"/>
                </w:tcPr>
                <w:p w14:paraId="61A29DEC">
                  <w:pPr>
                    <w:jc w:val="center"/>
                    <w:rPr>
                      <w:bCs/>
                      <w:strike w:val="0"/>
                      <w:dstrike w:val="0"/>
                      <w:color w:val="auto"/>
                      <w:kern w:val="0"/>
                      <w:szCs w:val="21"/>
                      <w:highlight w:val="none"/>
                    </w:rPr>
                  </w:pPr>
                  <w:r>
                    <w:rPr>
                      <w:bCs/>
                      <w:strike w:val="0"/>
                      <w:dstrike w:val="0"/>
                      <w:color w:val="auto"/>
                      <w:kern w:val="0"/>
                      <w:szCs w:val="21"/>
                      <w:highlight w:val="none"/>
                    </w:rPr>
                    <w:t>0.85~1.21</w:t>
                  </w:r>
                </w:p>
              </w:tc>
              <w:tc>
                <w:tcPr>
                  <w:tcW w:w="678" w:type="pct"/>
                  <w:vAlign w:val="center"/>
                </w:tcPr>
                <w:p w14:paraId="251FDBD5">
                  <w:pPr>
                    <w:jc w:val="center"/>
                    <w:rPr>
                      <w:bCs/>
                      <w:strike w:val="0"/>
                      <w:dstrike w:val="0"/>
                      <w:color w:val="auto"/>
                      <w:kern w:val="0"/>
                      <w:szCs w:val="21"/>
                      <w:highlight w:val="none"/>
                    </w:rPr>
                  </w:pPr>
                  <w:r>
                    <w:rPr>
                      <w:bCs/>
                      <w:strike w:val="0"/>
                      <w:dstrike w:val="0"/>
                      <w:color w:val="auto"/>
                      <w:kern w:val="0"/>
                      <w:szCs w:val="21"/>
                      <w:highlight w:val="none"/>
                    </w:rPr>
                    <w:t>2.0</w:t>
                  </w:r>
                </w:p>
              </w:tc>
              <w:tc>
                <w:tcPr>
                  <w:tcW w:w="539" w:type="pct"/>
                  <w:vAlign w:val="center"/>
                </w:tcPr>
                <w:p w14:paraId="2F84CA44">
                  <w:pPr>
                    <w:jc w:val="center"/>
                    <w:rPr>
                      <w:bCs/>
                      <w:strike w:val="0"/>
                      <w:dstrike w:val="0"/>
                      <w:color w:val="auto"/>
                      <w:kern w:val="0"/>
                      <w:szCs w:val="21"/>
                      <w:highlight w:val="none"/>
                    </w:rPr>
                  </w:pPr>
                  <w:r>
                    <w:rPr>
                      <w:bCs/>
                      <w:strike w:val="0"/>
                      <w:dstrike w:val="0"/>
                      <w:color w:val="auto"/>
                      <w:kern w:val="0"/>
                      <w:szCs w:val="21"/>
                      <w:highlight w:val="none"/>
                    </w:rPr>
                    <w:t>0</w:t>
                  </w:r>
                </w:p>
              </w:tc>
              <w:tc>
                <w:tcPr>
                  <w:tcW w:w="431" w:type="pct"/>
                  <w:vAlign w:val="center"/>
                </w:tcPr>
                <w:p w14:paraId="5D847494">
                  <w:pPr>
                    <w:jc w:val="center"/>
                    <w:rPr>
                      <w:bCs/>
                      <w:strike w:val="0"/>
                      <w:dstrike w:val="0"/>
                      <w:color w:val="auto"/>
                      <w:kern w:val="0"/>
                      <w:szCs w:val="21"/>
                      <w:highlight w:val="none"/>
                    </w:rPr>
                  </w:pPr>
                  <w:r>
                    <w:rPr>
                      <w:bCs/>
                      <w:strike w:val="0"/>
                      <w:dstrike w:val="0"/>
                      <w:color w:val="auto"/>
                      <w:kern w:val="0"/>
                      <w:szCs w:val="21"/>
                      <w:highlight w:val="none"/>
                    </w:rPr>
                    <w:t>60.5</w:t>
                  </w:r>
                </w:p>
              </w:tc>
            </w:tr>
          </w:tbl>
          <w:p w14:paraId="5D92B26A">
            <w:pPr>
              <w:spacing w:line="360" w:lineRule="auto"/>
              <w:ind w:firstLine="480" w:firstLineChars="200"/>
              <w:rPr>
                <w:b/>
                <w:strike w:val="0"/>
                <w:dstrike w:val="0"/>
                <w:color w:val="auto"/>
                <w:sz w:val="24"/>
                <w:highlight w:val="none"/>
              </w:rPr>
            </w:pPr>
            <w:r>
              <w:rPr>
                <w:strike w:val="0"/>
                <w:dstrike w:val="0"/>
                <w:color w:val="auto"/>
                <w:sz w:val="24"/>
                <w:highlight w:val="none"/>
              </w:rPr>
              <w:t>由上表可知，监测期间，项目所在地环境空气质量中非甲烷总烃满足《环境空气质量 非甲烷总烃限值》（DB 13/1577-2012）中的要求。</w:t>
            </w:r>
          </w:p>
          <w:p w14:paraId="149263F1">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3.1.2地表水环境</w:t>
            </w:r>
          </w:p>
          <w:p w14:paraId="7A9C9487">
            <w:pPr>
              <w:pStyle w:val="30"/>
              <w:spacing w:line="460" w:lineRule="exact"/>
              <w:ind w:firstLine="480" w:firstLineChars="200"/>
              <w:jc w:val="both"/>
              <w:rPr>
                <w:rFonts w:ascii="Times New Roman"/>
                <w:b w:val="0"/>
                <w:bCs/>
                <w:strike w:val="0"/>
                <w:dstrike w:val="0"/>
                <w:color w:val="auto"/>
                <w:highlight w:val="none"/>
              </w:rPr>
            </w:pPr>
            <w:r>
              <w:rPr>
                <w:rFonts w:ascii="Times New Roman"/>
                <w:b w:val="0"/>
                <w:bCs/>
                <w:strike w:val="0"/>
                <w:dstrike w:val="0"/>
                <w:color w:val="auto"/>
                <w:highlight w:val="none"/>
              </w:rPr>
              <w:t>项目污废水最终受纳水体为嘉陵江，根据《重庆市人民政府批转重庆市地表水环境功能类别调整方案的通知》（渝府发[2012]4号）规定，嘉陵江水域属于Ⅲ类水域，地表水环境质量执行《地表水环境质量标准》（GB3838-2002）中的Ⅲ类标准。</w:t>
            </w:r>
          </w:p>
          <w:p w14:paraId="5356BEDD">
            <w:pPr>
              <w:pStyle w:val="30"/>
              <w:spacing w:line="460" w:lineRule="exact"/>
              <w:ind w:firstLine="480" w:firstLineChars="200"/>
              <w:jc w:val="both"/>
              <w:rPr>
                <w:rFonts w:ascii="Times New Roman"/>
                <w:b w:val="0"/>
                <w:bCs/>
                <w:strike w:val="0"/>
                <w:dstrike w:val="0"/>
                <w:color w:val="auto"/>
                <w:highlight w:val="none"/>
              </w:rPr>
            </w:pPr>
            <w:r>
              <w:rPr>
                <w:rFonts w:ascii="Times New Roman"/>
                <w:b w:val="0"/>
                <w:bCs/>
                <w:strike w:val="0"/>
                <w:dstrike w:val="0"/>
                <w:color w:val="auto"/>
                <w:highlight w:val="none"/>
              </w:rPr>
              <w:t>根据重庆市合川区生态环境局202</w:t>
            </w:r>
            <w:r>
              <w:rPr>
                <w:rFonts w:hint="eastAsia" w:ascii="Times New Roman"/>
                <w:b w:val="0"/>
                <w:bCs/>
                <w:strike w:val="0"/>
                <w:dstrike w:val="0"/>
                <w:color w:val="auto"/>
                <w:highlight w:val="none"/>
              </w:rPr>
              <w:t>5</w:t>
            </w:r>
            <w:r>
              <w:rPr>
                <w:rFonts w:ascii="Times New Roman"/>
                <w:b w:val="0"/>
                <w:bCs/>
                <w:strike w:val="0"/>
                <w:dstrike w:val="0"/>
                <w:color w:val="auto"/>
                <w:highlight w:val="none"/>
              </w:rPr>
              <w:t>年</w:t>
            </w:r>
            <w:r>
              <w:rPr>
                <w:rFonts w:hint="eastAsia" w:ascii="Times New Roman"/>
                <w:b w:val="0"/>
                <w:bCs/>
                <w:strike w:val="0"/>
                <w:dstrike w:val="0"/>
                <w:color w:val="auto"/>
                <w:highlight w:val="none"/>
              </w:rPr>
              <w:t>2</w:t>
            </w:r>
            <w:r>
              <w:rPr>
                <w:rFonts w:ascii="Times New Roman"/>
                <w:b w:val="0"/>
                <w:bCs/>
                <w:strike w:val="0"/>
                <w:dstrike w:val="0"/>
                <w:color w:val="auto"/>
                <w:highlight w:val="none"/>
              </w:rPr>
              <w:t>月12日在重庆市合川区人民政府网网站上对外公布公示的《2025年1月合川区水环境质量状况》（网址：https://www.hc.gov.cn/bmjd/bm_100475/sthjj/zwgk_101315/jczwgk_163288/hjbhlyxxgk/hjgl/shjgl/202502/t20250212_14299452.html），嘉陵江-金子断面地表水水质类别满足《地表水环境质量标准》（GB3838-2002）</w:t>
            </w:r>
            <w:r>
              <w:rPr>
                <w:rFonts w:ascii="Times New Roman"/>
                <w:b w:val="0"/>
                <w:bCs/>
                <w:strike w:val="0"/>
                <w:dstrike w:val="0"/>
                <w:color w:val="auto"/>
                <w:highlight w:val="none"/>
              </w:rPr>
              <w:fldChar w:fldCharType="begin"/>
            </w:r>
            <w:r>
              <w:rPr>
                <w:rFonts w:ascii="Times New Roman"/>
                <w:b w:val="0"/>
                <w:bCs/>
                <w:strike w:val="0"/>
                <w:dstrike w:val="0"/>
                <w:color w:val="auto"/>
                <w:highlight w:val="none"/>
              </w:rPr>
              <w:instrText xml:space="preserve"> = 2 \* ROMAN \* MERGEFORMAT </w:instrText>
            </w:r>
            <w:r>
              <w:rPr>
                <w:rFonts w:ascii="Times New Roman"/>
                <w:b w:val="0"/>
                <w:bCs/>
                <w:strike w:val="0"/>
                <w:dstrike w:val="0"/>
                <w:color w:val="auto"/>
                <w:highlight w:val="none"/>
              </w:rPr>
              <w:fldChar w:fldCharType="separate"/>
            </w:r>
            <w:r>
              <w:rPr>
                <w:rFonts w:ascii="Times New Roman"/>
                <w:b w:val="0"/>
                <w:bCs/>
                <w:strike w:val="0"/>
                <w:dstrike w:val="0"/>
                <w:color w:val="auto"/>
                <w:highlight w:val="none"/>
              </w:rPr>
              <w:t>II</w:t>
            </w:r>
            <w:r>
              <w:rPr>
                <w:rFonts w:ascii="Times New Roman"/>
                <w:b w:val="0"/>
                <w:bCs/>
                <w:strike w:val="0"/>
                <w:dstrike w:val="0"/>
                <w:color w:val="auto"/>
                <w:highlight w:val="none"/>
              </w:rPr>
              <w:fldChar w:fldCharType="end"/>
            </w:r>
            <w:r>
              <w:rPr>
                <w:rFonts w:ascii="Times New Roman"/>
                <w:b w:val="0"/>
                <w:bCs/>
                <w:strike w:val="0"/>
                <w:dstrike w:val="0"/>
                <w:color w:val="auto"/>
                <w:highlight w:val="none"/>
              </w:rPr>
              <w:t>类水域水质标准限值要求</w:t>
            </w:r>
            <w:r>
              <w:rPr>
                <w:rFonts w:hint="eastAsia" w:ascii="Times New Roman"/>
                <w:b w:val="0"/>
                <w:bCs/>
                <w:strike w:val="0"/>
                <w:dstrike w:val="0"/>
                <w:color w:val="auto"/>
                <w:highlight w:val="none"/>
              </w:rPr>
              <w:t>。</w:t>
            </w:r>
            <w:r>
              <w:rPr>
                <w:b w:val="0"/>
                <w:bCs/>
                <w:strike w:val="0"/>
                <w:dstrike w:val="0"/>
                <w:color w:val="auto"/>
                <w:highlight w:val="none"/>
              </w:rPr>
              <w:t>由此可见，项目区水环境质量状况较好</w:t>
            </w:r>
            <w:r>
              <w:rPr>
                <w:rFonts w:ascii="Times New Roman"/>
                <w:b w:val="0"/>
                <w:bCs/>
                <w:strike w:val="0"/>
                <w:dstrike w:val="0"/>
                <w:color w:val="auto"/>
                <w:highlight w:val="none"/>
              </w:rPr>
              <w:t>。</w:t>
            </w:r>
          </w:p>
          <w:p w14:paraId="1D6F0F29">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3.1.3声环境</w:t>
            </w:r>
          </w:p>
          <w:p w14:paraId="6D22B98C">
            <w:pPr>
              <w:spacing w:line="360" w:lineRule="auto"/>
              <w:ind w:firstLine="480" w:firstLineChars="200"/>
              <w:rPr>
                <w:strike w:val="0"/>
                <w:dstrike w:val="0"/>
                <w:color w:val="auto"/>
                <w:sz w:val="24"/>
                <w:highlight w:val="none"/>
              </w:rPr>
            </w:pPr>
            <w:r>
              <w:rPr>
                <w:strike w:val="0"/>
                <w:dstrike w:val="0"/>
                <w:color w:val="auto"/>
                <w:sz w:val="24"/>
                <w:highlight w:val="none"/>
              </w:rPr>
              <w:t>本项目厂界周边50m范围内无声</w:t>
            </w:r>
            <w:r>
              <w:rPr>
                <w:rFonts w:hint="eastAsia"/>
                <w:strike w:val="0"/>
                <w:dstrike w:val="0"/>
                <w:color w:val="auto"/>
                <w:sz w:val="24"/>
                <w:highlight w:val="none"/>
              </w:rPr>
              <w:t>环境保护目标</w:t>
            </w:r>
            <w:r>
              <w:rPr>
                <w:strike w:val="0"/>
                <w:dstrike w:val="0"/>
                <w:color w:val="auto"/>
                <w:sz w:val="24"/>
                <w:highlight w:val="none"/>
              </w:rPr>
              <w:t>分布。因此，本次评价不开展声环境现状评价。</w:t>
            </w:r>
          </w:p>
          <w:p w14:paraId="0B5CC302">
            <w:pPr>
              <w:adjustRightInd w:val="0"/>
              <w:snapToGrid w:val="0"/>
              <w:spacing w:line="360" w:lineRule="auto"/>
              <w:rPr>
                <w:strike w:val="0"/>
                <w:dstrike w:val="0"/>
                <w:color w:val="auto"/>
                <w:kern w:val="0"/>
                <w:sz w:val="24"/>
                <w:highlight w:val="none"/>
              </w:rPr>
            </w:pPr>
            <w:r>
              <w:rPr>
                <w:b/>
                <w:strike w:val="0"/>
                <w:dstrike w:val="0"/>
                <w:color w:val="auto"/>
                <w:kern w:val="0"/>
                <w:sz w:val="24"/>
                <w:highlight w:val="none"/>
              </w:rPr>
              <w:t>3.1.4生态环境</w:t>
            </w:r>
          </w:p>
          <w:p w14:paraId="74877182">
            <w:pPr>
              <w:spacing w:line="460" w:lineRule="exact"/>
              <w:ind w:firstLine="480" w:firstLineChars="200"/>
              <w:jc w:val="left"/>
              <w:rPr>
                <w:strike w:val="0"/>
                <w:dstrike w:val="0"/>
                <w:color w:val="auto"/>
                <w:kern w:val="0"/>
                <w:sz w:val="24"/>
                <w:highlight w:val="none"/>
              </w:rPr>
            </w:pPr>
            <w:r>
              <w:rPr>
                <w:strike w:val="0"/>
                <w:dstrike w:val="0"/>
                <w:color w:val="auto"/>
                <w:kern w:val="0"/>
                <w:sz w:val="24"/>
                <w:highlight w:val="none"/>
              </w:rPr>
              <w:t>本项目位于</w:t>
            </w:r>
            <w:r>
              <w:rPr>
                <w:strike w:val="0"/>
                <w:dstrike w:val="0"/>
                <w:color w:val="auto"/>
                <w:sz w:val="24"/>
                <w:highlight w:val="none"/>
              </w:rPr>
              <w:t>重庆市合川区土场镇杨柳村三社</w:t>
            </w:r>
            <w:r>
              <w:rPr>
                <w:strike w:val="0"/>
                <w:dstrike w:val="0"/>
                <w:color w:val="auto"/>
                <w:kern w:val="0"/>
                <w:sz w:val="24"/>
                <w:highlight w:val="none"/>
              </w:rPr>
              <w:t>，</w:t>
            </w:r>
            <w:r>
              <w:rPr>
                <w:strike w:val="0"/>
                <w:dstrike w:val="0"/>
                <w:color w:val="auto"/>
                <w:sz w:val="24"/>
                <w:highlight w:val="none"/>
              </w:rPr>
              <w:t>用地范围不涉及自然保护区、风景名胜区、森林公园等生态环境保护目标，故不开展生态环境调查。项目所在地无珍稀野生动植物，植物主要为常见绿色植物，生态结构较简单，动物</w:t>
            </w:r>
            <w:bookmarkStart w:id="79" w:name="OfficeAI_Add_0_106"/>
            <w:r>
              <w:rPr>
                <w:rFonts w:hint="eastAsia"/>
                <w:strike w:val="0"/>
                <w:dstrike w:val="0"/>
                <w:color w:val="auto"/>
                <w:sz w:val="24"/>
                <w:highlight w:val="none"/>
                <w:lang w:eastAsia="zh-CN"/>
              </w:rPr>
              <w:t>以</w:t>
            </w:r>
            <w:bookmarkEnd w:id="79"/>
            <w:r>
              <w:rPr>
                <w:strike w:val="0"/>
                <w:dstrike w:val="0"/>
                <w:color w:val="auto"/>
                <w:sz w:val="24"/>
                <w:highlight w:val="none"/>
              </w:rPr>
              <w:t>常见的昆虫类为主。项目用地区域无滑坡、溶洞、崩塌、地陷等不良地质灾害。总体来讲，本项目所在区域生态系统良好。</w:t>
            </w:r>
          </w:p>
          <w:p w14:paraId="2C24B077">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3.1.5电磁辐射</w:t>
            </w:r>
          </w:p>
          <w:p w14:paraId="25E89A90">
            <w:pPr>
              <w:adjustRightInd w:val="0"/>
              <w:snapToGrid w:val="0"/>
              <w:spacing w:line="360" w:lineRule="auto"/>
              <w:ind w:firstLine="480" w:firstLineChars="200"/>
              <w:rPr>
                <w:strike w:val="0"/>
                <w:dstrike w:val="0"/>
                <w:color w:val="auto"/>
                <w:kern w:val="0"/>
                <w:sz w:val="24"/>
                <w:highlight w:val="none"/>
              </w:rPr>
            </w:pPr>
            <w:r>
              <w:rPr>
                <w:strike w:val="0"/>
                <w:dstrike w:val="0"/>
                <w:color w:val="auto"/>
                <w:kern w:val="0"/>
                <w:sz w:val="24"/>
                <w:highlight w:val="none"/>
              </w:rPr>
              <w:t>项目不涉及电磁辐射，故不开展电磁辐射环境现状调查。</w:t>
            </w:r>
          </w:p>
          <w:p w14:paraId="28207025">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3.1.6地下水环境</w:t>
            </w:r>
          </w:p>
          <w:p w14:paraId="303C943E">
            <w:pPr>
              <w:spacing w:line="460" w:lineRule="exact"/>
              <w:ind w:firstLine="480"/>
              <w:rPr>
                <w:rFonts w:hint="default" w:eastAsia="宋体"/>
                <w:strike w:val="0"/>
                <w:dstrike w:val="0"/>
                <w:color w:val="auto"/>
                <w:sz w:val="24"/>
                <w:highlight w:val="none"/>
                <w:lang w:val="en-US" w:eastAsia="zh-CN"/>
              </w:rPr>
            </w:pPr>
            <w:r>
              <w:rPr>
                <w:strike w:val="0"/>
                <w:dstrike w:val="0"/>
                <w:color w:val="auto"/>
                <w:sz w:val="24"/>
                <w:highlight w:val="none"/>
              </w:rPr>
              <w:t>为了解区域地下水环境质量现状，本次评价引用</w:t>
            </w:r>
            <w:r>
              <w:rPr>
                <w:rFonts w:hint="eastAsia"/>
                <w:strike w:val="0"/>
                <w:dstrike w:val="0"/>
                <w:color w:val="auto"/>
                <w:sz w:val="24"/>
                <w:highlight w:val="none"/>
                <w:lang w:eastAsia="zh-CN"/>
              </w:rPr>
              <w:t>《重庆市合川区生态环境监测站对合川区工业园区的监测报告》（合环（监）字[2023]第HJ001号）</w:t>
            </w:r>
            <w:r>
              <w:rPr>
                <w:strike w:val="0"/>
                <w:dstrike w:val="0"/>
                <w:color w:val="auto"/>
                <w:sz w:val="24"/>
                <w:szCs w:val="24"/>
                <w:highlight w:val="none"/>
              </w:rPr>
              <w:t>中的地下水现状监测资料</w:t>
            </w:r>
            <w:r>
              <w:rPr>
                <w:rFonts w:hint="eastAsia"/>
                <w:strike w:val="0"/>
                <w:dstrike w:val="0"/>
                <w:color w:val="auto"/>
                <w:sz w:val="24"/>
                <w:szCs w:val="24"/>
                <w:highlight w:val="none"/>
              </w:rPr>
              <w:t>，监测时间为</w:t>
            </w:r>
            <w:r>
              <w:rPr>
                <w:rFonts w:hint="eastAsia"/>
                <w:strike w:val="0"/>
                <w:dstrike w:val="0"/>
                <w:color w:val="auto"/>
                <w:sz w:val="24"/>
                <w:szCs w:val="24"/>
                <w:highlight w:val="none"/>
                <w:lang w:eastAsia="zh-CN"/>
              </w:rPr>
              <w:t>2023年7月</w:t>
            </w:r>
            <w:r>
              <w:rPr>
                <w:rFonts w:hint="eastAsia"/>
                <w:strike w:val="0"/>
                <w:dstrike w:val="0"/>
                <w:color w:val="auto"/>
                <w:sz w:val="24"/>
                <w:szCs w:val="24"/>
                <w:highlight w:val="none"/>
                <w:lang w:val="en-US" w:eastAsia="zh-CN"/>
              </w:rPr>
              <w:t>28</w:t>
            </w:r>
            <w:r>
              <w:rPr>
                <w:rFonts w:hint="eastAsia"/>
                <w:strike w:val="0"/>
                <w:dstrike w:val="0"/>
                <w:color w:val="auto"/>
                <w:sz w:val="24"/>
                <w:szCs w:val="24"/>
                <w:highlight w:val="none"/>
                <w:lang w:eastAsia="zh-CN"/>
              </w:rPr>
              <w:t>日</w:t>
            </w:r>
            <w:r>
              <w:rPr>
                <w:rFonts w:hint="eastAsia"/>
                <w:strike w:val="0"/>
                <w:dstrike w:val="0"/>
                <w:color w:val="auto"/>
                <w:sz w:val="24"/>
                <w:szCs w:val="24"/>
                <w:highlight w:val="none"/>
              </w:rPr>
              <w:t>。</w:t>
            </w:r>
            <w:r>
              <w:rPr>
                <w:strike w:val="0"/>
                <w:dstrike w:val="0"/>
                <w:color w:val="auto"/>
                <w:sz w:val="24"/>
                <w:szCs w:val="24"/>
                <w:highlight w:val="none"/>
              </w:rPr>
              <w:t>据调</w:t>
            </w:r>
            <w:r>
              <w:rPr>
                <w:strike w:val="0"/>
                <w:dstrike w:val="0"/>
                <w:color w:val="auto"/>
                <w:sz w:val="24"/>
                <w:highlight w:val="none"/>
              </w:rPr>
              <w:t>查，</w:t>
            </w:r>
            <w:r>
              <w:rPr>
                <w:rFonts w:hint="eastAsia"/>
                <w:strike w:val="0"/>
                <w:dstrike w:val="0"/>
                <w:color w:val="auto"/>
                <w:sz w:val="24"/>
                <w:highlight w:val="none"/>
                <w:lang w:val="en-US" w:eastAsia="zh-CN"/>
              </w:rPr>
              <w:t>柏枝溪西侧下游（DW29）位于本项目东南侧601m处，</w:t>
            </w:r>
            <w:r>
              <w:rPr>
                <w:strike w:val="0"/>
                <w:dstrike w:val="0"/>
                <w:color w:val="auto"/>
                <w:sz w:val="24"/>
                <w:highlight w:val="none"/>
              </w:rPr>
              <w:t>与</w:t>
            </w:r>
            <w:r>
              <w:rPr>
                <w:rFonts w:hint="eastAsia"/>
                <w:strike w:val="0"/>
                <w:dstrike w:val="0"/>
                <w:color w:val="auto"/>
                <w:sz w:val="24"/>
                <w:highlight w:val="none"/>
              </w:rPr>
              <w:t>本</w:t>
            </w:r>
            <w:r>
              <w:rPr>
                <w:strike w:val="0"/>
                <w:dstrike w:val="0"/>
                <w:color w:val="auto"/>
                <w:sz w:val="24"/>
                <w:highlight w:val="none"/>
              </w:rPr>
              <w:t>项目处于同一水文地质单元，故引用监测数据有效。</w:t>
            </w:r>
            <w:r>
              <w:rPr>
                <w:rFonts w:hint="eastAsia"/>
                <w:strike w:val="0"/>
                <w:dstrike w:val="0"/>
                <w:color w:val="auto"/>
                <w:sz w:val="24"/>
                <w:highlight w:val="none"/>
                <w:lang w:val="en-US" w:eastAsia="zh-CN"/>
              </w:rPr>
              <w:t>水文地质图详见附图10。</w:t>
            </w:r>
          </w:p>
          <w:p w14:paraId="1AA88FBF">
            <w:pPr>
              <w:numPr>
                <w:ilvl w:val="0"/>
                <w:numId w:val="9"/>
              </w:numPr>
              <w:spacing w:line="460" w:lineRule="exact"/>
              <w:ind w:firstLine="480"/>
              <w:rPr>
                <w:strike w:val="0"/>
                <w:dstrike w:val="0"/>
                <w:color w:val="auto"/>
                <w:sz w:val="24"/>
                <w:highlight w:val="none"/>
              </w:rPr>
            </w:pPr>
            <w:r>
              <w:rPr>
                <w:strike w:val="0"/>
                <w:dstrike w:val="0"/>
                <w:color w:val="auto"/>
                <w:sz w:val="24"/>
                <w:highlight w:val="none"/>
              </w:rPr>
              <w:t>监测方案</w:t>
            </w:r>
          </w:p>
          <w:p w14:paraId="5F0B8B3F">
            <w:pPr>
              <w:spacing w:line="460" w:lineRule="exact"/>
              <w:ind w:firstLine="480" w:firstLineChars="200"/>
              <w:rPr>
                <w:strike w:val="0"/>
                <w:dstrike w:val="0"/>
                <w:color w:val="auto"/>
                <w:sz w:val="24"/>
                <w:highlight w:val="none"/>
              </w:rPr>
            </w:pPr>
            <w:r>
              <w:rPr>
                <w:rFonts w:hint="eastAsia"/>
                <w:strike w:val="0"/>
                <w:dstrike w:val="0"/>
                <w:color w:val="auto"/>
                <w:sz w:val="24"/>
                <w:highlight w:val="none"/>
              </w:rPr>
              <w:t>本次评价引用</w:t>
            </w:r>
            <w:r>
              <w:rPr>
                <w:rFonts w:hint="eastAsia"/>
                <w:strike w:val="0"/>
                <w:dstrike w:val="0"/>
                <w:color w:val="auto"/>
                <w:sz w:val="24"/>
                <w:highlight w:val="none"/>
                <w:lang w:eastAsia="zh-CN"/>
              </w:rPr>
              <w:t>《重庆市合川区生态环境监测站对合川区工业园区的监测报告》（合环（监）字[2023]第HJ001号）</w:t>
            </w:r>
            <w:r>
              <w:rPr>
                <w:strike w:val="0"/>
                <w:dstrike w:val="0"/>
                <w:color w:val="auto"/>
                <w:sz w:val="24"/>
                <w:highlight w:val="none"/>
              </w:rPr>
              <w:t>中</w:t>
            </w:r>
            <w:r>
              <w:rPr>
                <w:rFonts w:hint="eastAsia"/>
                <w:strike w:val="0"/>
                <w:dstrike w:val="0"/>
                <w:color w:val="auto"/>
                <w:sz w:val="24"/>
                <w:highlight w:val="none"/>
                <w:lang w:val="en-US" w:eastAsia="zh-CN"/>
              </w:rPr>
              <w:t>地下水</w:t>
            </w:r>
            <w:r>
              <w:rPr>
                <w:rFonts w:hint="eastAsia"/>
                <w:strike w:val="0"/>
                <w:dstrike w:val="0"/>
                <w:color w:val="auto"/>
                <w:sz w:val="24"/>
                <w:highlight w:val="none"/>
              </w:rPr>
              <w:t>监测点位数据</w:t>
            </w:r>
            <w:r>
              <w:rPr>
                <w:strike w:val="0"/>
                <w:dstrike w:val="0"/>
                <w:color w:val="auto"/>
                <w:sz w:val="24"/>
                <w:highlight w:val="none"/>
              </w:rPr>
              <w:t>，引用监测方案见</w:t>
            </w:r>
            <w:r>
              <w:rPr>
                <w:rFonts w:hint="eastAsia"/>
                <w:strike w:val="0"/>
                <w:dstrike w:val="0"/>
                <w:color w:val="auto"/>
                <w:sz w:val="24"/>
                <w:highlight w:val="none"/>
                <w:lang w:eastAsia="zh-CN"/>
              </w:rPr>
              <w:t>表3.1-3</w:t>
            </w:r>
            <w:r>
              <w:rPr>
                <w:strike w:val="0"/>
                <w:dstrike w:val="0"/>
                <w:color w:val="auto"/>
                <w:sz w:val="24"/>
                <w:highlight w:val="none"/>
              </w:rPr>
              <w:t>。</w:t>
            </w:r>
          </w:p>
          <w:p w14:paraId="4E38A954">
            <w:pPr>
              <w:pStyle w:val="81"/>
              <w:spacing w:line="240" w:lineRule="auto"/>
              <w:ind w:firstLine="0" w:firstLineChars="0"/>
              <w:jc w:val="center"/>
              <w:rPr>
                <w:rFonts w:ascii="Times New Roman" w:hAnsi="Times New Roman" w:cs="Times New Roman"/>
                <w:b/>
                <w:bCs/>
                <w:strike w:val="0"/>
                <w:dstrike w:val="0"/>
                <w:color w:val="auto"/>
                <w:sz w:val="24"/>
                <w:szCs w:val="24"/>
                <w:highlight w:val="none"/>
              </w:rPr>
            </w:pPr>
            <w:r>
              <w:rPr>
                <w:rFonts w:hint="eastAsia" w:ascii="Times New Roman" w:hAnsi="Times New Roman" w:cs="Times New Roman"/>
                <w:b/>
                <w:bCs/>
                <w:strike w:val="0"/>
                <w:dstrike w:val="0"/>
                <w:color w:val="auto"/>
                <w:sz w:val="24"/>
                <w:szCs w:val="24"/>
                <w:highlight w:val="none"/>
                <w:lang w:eastAsia="zh-CN"/>
              </w:rPr>
              <w:t>表3.1-3</w:t>
            </w:r>
            <w:r>
              <w:rPr>
                <w:rFonts w:ascii="Times New Roman" w:hAnsi="Times New Roman" w:cs="Times New Roman"/>
                <w:b/>
                <w:bCs/>
                <w:strike w:val="0"/>
                <w:dstrike w:val="0"/>
                <w:color w:val="auto"/>
                <w:sz w:val="24"/>
                <w:szCs w:val="24"/>
                <w:highlight w:val="none"/>
              </w:rPr>
              <w:t xml:space="preserve">  引用地下水环境监测方案</w:t>
            </w:r>
          </w:p>
          <w:tbl>
            <w:tblPr>
              <w:tblStyle w:val="22"/>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511"/>
              <w:gridCol w:w="4679"/>
              <w:gridCol w:w="1205"/>
            </w:tblGrid>
            <w:tr w14:paraId="32A9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dxa"/>
                  <w:noWrap w:val="0"/>
                  <w:vAlign w:val="center"/>
                </w:tcPr>
                <w:p w14:paraId="4C4BFE8D">
                  <w:pPr>
                    <w:jc w:val="center"/>
                    <w:rPr>
                      <w:bCs/>
                      <w:strike w:val="0"/>
                      <w:dstrike w:val="0"/>
                      <w:color w:val="auto"/>
                      <w:sz w:val="21"/>
                      <w:szCs w:val="21"/>
                      <w:highlight w:val="none"/>
                    </w:rPr>
                  </w:pPr>
                  <w:r>
                    <w:rPr>
                      <w:bCs/>
                      <w:strike w:val="0"/>
                      <w:dstrike w:val="0"/>
                      <w:color w:val="auto"/>
                      <w:sz w:val="21"/>
                      <w:szCs w:val="21"/>
                      <w:highlight w:val="none"/>
                    </w:rPr>
                    <w:t>编号</w:t>
                  </w:r>
                </w:p>
              </w:tc>
              <w:tc>
                <w:tcPr>
                  <w:tcW w:w="1511" w:type="dxa"/>
                  <w:noWrap w:val="0"/>
                  <w:vAlign w:val="center"/>
                </w:tcPr>
                <w:p w14:paraId="712B5938">
                  <w:pPr>
                    <w:keepNext/>
                    <w:snapToGrid w:val="0"/>
                    <w:spacing w:line="240" w:lineRule="atLeast"/>
                    <w:jc w:val="center"/>
                    <w:rPr>
                      <w:strike w:val="0"/>
                      <w:dstrike w:val="0"/>
                      <w:color w:val="auto"/>
                      <w:sz w:val="21"/>
                      <w:szCs w:val="21"/>
                      <w:highlight w:val="none"/>
                    </w:rPr>
                  </w:pPr>
                  <w:r>
                    <w:rPr>
                      <w:strike w:val="0"/>
                      <w:dstrike w:val="0"/>
                      <w:color w:val="auto"/>
                      <w:sz w:val="21"/>
                      <w:szCs w:val="21"/>
                      <w:highlight w:val="none"/>
                    </w:rPr>
                    <w:t>监测井位置</w:t>
                  </w:r>
                </w:p>
              </w:tc>
              <w:tc>
                <w:tcPr>
                  <w:tcW w:w="4679" w:type="dxa"/>
                  <w:noWrap w:val="0"/>
                  <w:vAlign w:val="center"/>
                </w:tcPr>
                <w:p w14:paraId="7D006343">
                  <w:pPr>
                    <w:keepNext/>
                    <w:snapToGrid w:val="0"/>
                    <w:spacing w:line="240" w:lineRule="atLeast"/>
                    <w:jc w:val="center"/>
                    <w:rPr>
                      <w:strike w:val="0"/>
                      <w:dstrike w:val="0"/>
                      <w:color w:val="auto"/>
                      <w:sz w:val="21"/>
                      <w:szCs w:val="21"/>
                      <w:highlight w:val="none"/>
                    </w:rPr>
                  </w:pPr>
                  <w:r>
                    <w:rPr>
                      <w:strike w:val="0"/>
                      <w:dstrike w:val="0"/>
                      <w:color w:val="auto"/>
                      <w:sz w:val="21"/>
                      <w:szCs w:val="21"/>
                      <w:highlight w:val="none"/>
                    </w:rPr>
                    <w:t>监测因子</w:t>
                  </w:r>
                </w:p>
              </w:tc>
              <w:tc>
                <w:tcPr>
                  <w:tcW w:w="1205" w:type="dxa"/>
                  <w:noWrap w:val="0"/>
                  <w:vAlign w:val="center"/>
                </w:tcPr>
                <w:p w14:paraId="1C4122D0">
                  <w:pPr>
                    <w:keepNext/>
                    <w:snapToGrid w:val="0"/>
                    <w:spacing w:line="240" w:lineRule="atLeast"/>
                    <w:jc w:val="center"/>
                    <w:rPr>
                      <w:strike w:val="0"/>
                      <w:dstrike w:val="0"/>
                      <w:color w:val="auto"/>
                      <w:sz w:val="21"/>
                      <w:szCs w:val="21"/>
                      <w:highlight w:val="none"/>
                    </w:rPr>
                  </w:pPr>
                  <w:r>
                    <w:rPr>
                      <w:strike w:val="0"/>
                      <w:dstrike w:val="0"/>
                      <w:color w:val="auto"/>
                      <w:sz w:val="21"/>
                      <w:szCs w:val="21"/>
                      <w:highlight w:val="none"/>
                    </w:rPr>
                    <w:t>监测时间</w:t>
                  </w:r>
                </w:p>
              </w:tc>
            </w:tr>
            <w:tr w14:paraId="43B7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dxa"/>
                  <w:noWrap w:val="0"/>
                  <w:vAlign w:val="center"/>
                </w:tcPr>
                <w:p w14:paraId="4FB718FC">
                  <w:pPr>
                    <w:jc w:val="center"/>
                    <w:rPr>
                      <w:rFonts w:hint="default" w:eastAsia="宋体"/>
                      <w:bCs/>
                      <w:strike w:val="0"/>
                      <w:dstrike w:val="0"/>
                      <w:color w:val="auto"/>
                      <w:sz w:val="21"/>
                      <w:szCs w:val="21"/>
                      <w:highlight w:val="none"/>
                      <w:lang w:val="en-US" w:eastAsia="zh-CN"/>
                    </w:rPr>
                  </w:pPr>
                  <w:r>
                    <w:rPr>
                      <w:rFonts w:hint="eastAsia"/>
                      <w:bCs/>
                      <w:strike w:val="0"/>
                      <w:dstrike w:val="0"/>
                      <w:color w:val="auto"/>
                      <w:sz w:val="21"/>
                      <w:szCs w:val="21"/>
                      <w:highlight w:val="none"/>
                      <w:lang w:val="en-US" w:eastAsia="zh-CN"/>
                    </w:rPr>
                    <w:t>DW29</w:t>
                  </w:r>
                </w:p>
              </w:tc>
              <w:tc>
                <w:tcPr>
                  <w:tcW w:w="1511" w:type="dxa"/>
                  <w:noWrap w:val="0"/>
                  <w:vAlign w:val="center"/>
                </w:tcPr>
                <w:p w14:paraId="00D1F915">
                  <w:pPr>
                    <w:keepNext/>
                    <w:snapToGrid w:val="0"/>
                    <w:spacing w:line="240" w:lineRule="atLeast"/>
                    <w:jc w:val="center"/>
                    <w:rPr>
                      <w:strike w:val="0"/>
                      <w:dstrike w:val="0"/>
                      <w:color w:val="auto"/>
                      <w:sz w:val="21"/>
                      <w:szCs w:val="21"/>
                      <w:highlight w:val="none"/>
                    </w:rPr>
                  </w:pPr>
                  <w:r>
                    <w:rPr>
                      <w:rFonts w:hint="eastAsia"/>
                      <w:strike w:val="0"/>
                      <w:dstrike w:val="0"/>
                      <w:color w:val="auto"/>
                      <w:sz w:val="21"/>
                      <w:szCs w:val="21"/>
                      <w:highlight w:val="none"/>
                      <w:lang w:val="en-US" w:eastAsia="zh-CN"/>
                    </w:rPr>
                    <w:t>柏枝溪西侧下游</w:t>
                  </w:r>
                </w:p>
              </w:tc>
              <w:tc>
                <w:tcPr>
                  <w:tcW w:w="4679" w:type="dxa"/>
                  <w:noWrap w:val="0"/>
                  <w:vAlign w:val="center"/>
                </w:tcPr>
                <w:p w14:paraId="06A9EA21">
                  <w:pPr>
                    <w:keepNext/>
                    <w:snapToGrid w:val="0"/>
                    <w:spacing w:line="240" w:lineRule="atLeast"/>
                    <w:jc w:val="center"/>
                    <w:rPr>
                      <w:strike w:val="0"/>
                      <w:dstrike w:val="0"/>
                      <w:color w:val="auto"/>
                      <w:sz w:val="21"/>
                      <w:szCs w:val="21"/>
                      <w:highlight w:val="none"/>
                    </w:rPr>
                  </w:pPr>
                  <w:r>
                    <w:rPr>
                      <w:rFonts w:hint="eastAsia"/>
                      <w:strike w:val="0"/>
                      <w:dstrike w:val="0"/>
                      <w:color w:val="auto"/>
                      <w:sz w:val="21"/>
                      <w:szCs w:val="21"/>
                      <w:highlight w:val="none"/>
                    </w:rPr>
                    <w:t>pH、氨氮、硝酸盐、亚硝酸盐、挥发性酚类、氰化物、砷、汞、铬(六价)、总硬度、铅、氟化物、镉、铁、锰、溶解性总固体</w:t>
                  </w:r>
                  <w:r>
                    <w:rPr>
                      <w:rFonts w:hint="eastAsia" w:ascii="Times New Roman" w:hAnsi="Times New Roman" w:eastAsia="宋体" w:cs="Times New Roman"/>
                      <w:strike w:val="0"/>
                      <w:dstrike w:val="0"/>
                      <w:color w:val="auto"/>
                      <w:sz w:val="21"/>
                      <w:szCs w:val="21"/>
                      <w:highlight w:val="none"/>
                    </w:rPr>
                    <w:t>、</w:t>
                  </w:r>
                  <w:r>
                    <w:rPr>
                      <w:rFonts w:hint="eastAsia" w:ascii="Times New Roman" w:hAnsi="Times New Roman" w:eastAsia="宋体" w:cs="Times New Roman"/>
                      <w:strike w:val="0"/>
                      <w:dstrike w:val="0"/>
                      <w:color w:val="auto"/>
                      <w:sz w:val="21"/>
                      <w:szCs w:val="21"/>
                      <w:highlight w:val="none"/>
                      <w:lang w:val="en-US" w:eastAsia="zh-CN"/>
                    </w:rPr>
                    <w:t>耗氧量</w:t>
                  </w:r>
                  <w:r>
                    <w:rPr>
                      <w:rFonts w:hint="eastAsia" w:ascii="Times New Roman" w:hAnsi="Times New Roman" w:eastAsia="宋体" w:cs="Times New Roman"/>
                      <w:strike w:val="0"/>
                      <w:dstrike w:val="0"/>
                      <w:color w:val="auto"/>
                      <w:sz w:val="21"/>
                      <w:szCs w:val="21"/>
                      <w:highlight w:val="none"/>
                    </w:rPr>
                    <w:t>、硫酸盐、氯化物、总大肠菌群、细菌</w:t>
                  </w:r>
                  <w:r>
                    <w:rPr>
                      <w:rFonts w:hint="eastAsia"/>
                      <w:strike w:val="0"/>
                      <w:dstrike w:val="0"/>
                      <w:color w:val="auto"/>
                      <w:sz w:val="21"/>
                      <w:szCs w:val="21"/>
                      <w:highlight w:val="none"/>
                    </w:rPr>
                    <w:t>总数、镍、石油类共23项</w:t>
                  </w:r>
                </w:p>
              </w:tc>
              <w:tc>
                <w:tcPr>
                  <w:tcW w:w="1205" w:type="dxa"/>
                  <w:noWrap w:val="0"/>
                  <w:vAlign w:val="center"/>
                </w:tcPr>
                <w:p w14:paraId="31BDA100">
                  <w:pPr>
                    <w:keepNext/>
                    <w:snapToGrid w:val="0"/>
                    <w:spacing w:line="240" w:lineRule="atLeast"/>
                    <w:jc w:val="center"/>
                    <w:rPr>
                      <w:strike w:val="0"/>
                      <w:dstrike w:val="0"/>
                      <w:color w:val="auto"/>
                      <w:sz w:val="21"/>
                      <w:szCs w:val="21"/>
                      <w:highlight w:val="none"/>
                    </w:rPr>
                  </w:pPr>
                  <w:r>
                    <w:rPr>
                      <w:rFonts w:hint="eastAsia"/>
                      <w:strike w:val="0"/>
                      <w:dstrike w:val="0"/>
                      <w:color w:val="auto"/>
                      <w:sz w:val="21"/>
                      <w:szCs w:val="21"/>
                      <w:highlight w:val="none"/>
                    </w:rPr>
                    <w:t>202</w:t>
                  </w:r>
                  <w:r>
                    <w:rPr>
                      <w:rFonts w:hint="eastAsia"/>
                      <w:strike w:val="0"/>
                      <w:dstrike w:val="0"/>
                      <w:color w:val="auto"/>
                      <w:sz w:val="21"/>
                      <w:szCs w:val="21"/>
                      <w:highlight w:val="none"/>
                      <w:lang w:val="en-US" w:eastAsia="zh-CN"/>
                    </w:rPr>
                    <w:t>3</w:t>
                  </w:r>
                  <w:r>
                    <w:rPr>
                      <w:rFonts w:hint="eastAsia"/>
                      <w:strike w:val="0"/>
                      <w:dstrike w:val="0"/>
                      <w:color w:val="auto"/>
                      <w:sz w:val="21"/>
                      <w:szCs w:val="21"/>
                      <w:highlight w:val="none"/>
                    </w:rPr>
                    <w:t>年</w:t>
                  </w:r>
                  <w:r>
                    <w:rPr>
                      <w:rFonts w:hint="eastAsia"/>
                      <w:strike w:val="0"/>
                      <w:dstrike w:val="0"/>
                      <w:color w:val="auto"/>
                      <w:sz w:val="21"/>
                      <w:szCs w:val="21"/>
                      <w:highlight w:val="none"/>
                      <w:lang w:val="en-US" w:eastAsia="zh-CN"/>
                    </w:rPr>
                    <w:t>7</w:t>
                  </w:r>
                  <w:r>
                    <w:rPr>
                      <w:rFonts w:hint="eastAsia"/>
                      <w:strike w:val="0"/>
                      <w:dstrike w:val="0"/>
                      <w:color w:val="auto"/>
                      <w:sz w:val="21"/>
                      <w:szCs w:val="21"/>
                      <w:highlight w:val="none"/>
                    </w:rPr>
                    <w:t>月</w:t>
                  </w:r>
                  <w:r>
                    <w:rPr>
                      <w:rFonts w:hint="eastAsia"/>
                      <w:strike w:val="0"/>
                      <w:dstrike w:val="0"/>
                      <w:color w:val="auto"/>
                      <w:sz w:val="21"/>
                      <w:szCs w:val="21"/>
                      <w:highlight w:val="none"/>
                      <w:lang w:val="en-US" w:eastAsia="zh-CN"/>
                    </w:rPr>
                    <w:t>28</w:t>
                  </w:r>
                  <w:r>
                    <w:rPr>
                      <w:rFonts w:hint="eastAsia"/>
                      <w:strike w:val="0"/>
                      <w:dstrike w:val="0"/>
                      <w:color w:val="auto"/>
                      <w:sz w:val="21"/>
                      <w:szCs w:val="21"/>
                      <w:highlight w:val="none"/>
                    </w:rPr>
                    <w:t>日</w:t>
                  </w:r>
                </w:p>
              </w:tc>
            </w:tr>
          </w:tbl>
          <w:p w14:paraId="7A23ED5E">
            <w:pPr>
              <w:spacing w:line="460" w:lineRule="exact"/>
              <w:ind w:firstLine="480"/>
              <w:rPr>
                <w:strike w:val="0"/>
                <w:dstrike w:val="0"/>
                <w:color w:val="auto"/>
                <w:sz w:val="24"/>
                <w:highlight w:val="none"/>
              </w:rPr>
            </w:pPr>
            <w:r>
              <w:rPr>
                <w:strike w:val="0"/>
                <w:dstrike w:val="0"/>
                <w:color w:val="auto"/>
                <w:sz w:val="24"/>
                <w:highlight w:val="none"/>
              </w:rPr>
              <w:t>（2）评价方法</w:t>
            </w:r>
          </w:p>
          <w:p w14:paraId="39D78C69">
            <w:pPr>
              <w:spacing w:line="460" w:lineRule="exact"/>
              <w:ind w:firstLine="482"/>
              <w:rPr>
                <w:strike w:val="0"/>
                <w:dstrike w:val="0"/>
                <w:color w:val="auto"/>
                <w:sz w:val="24"/>
                <w:highlight w:val="none"/>
              </w:rPr>
            </w:pPr>
            <w:r>
              <w:rPr>
                <w:strike w:val="0"/>
                <w:dstrike w:val="0"/>
                <w:color w:val="auto"/>
                <w:sz w:val="24"/>
                <w:highlight w:val="none"/>
              </w:rPr>
              <w:t>采用标准指数进行评价。</w:t>
            </w:r>
          </w:p>
          <w:p w14:paraId="65237163">
            <w:pPr>
              <w:ind w:right="1838" w:firstLine="1260"/>
              <w:rPr>
                <w:strike w:val="0"/>
                <w:dstrike w:val="0"/>
                <w:color w:val="auto"/>
                <w:sz w:val="24"/>
                <w:highlight w:val="none"/>
              </w:rPr>
            </w:pPr>
            <w:r>
              <w:rPr>
                <w:strike w:val="0"/>
                <w:dstrike w:val="0"/>
                <w:color w:val="auto"/>
                <w:position w:val="-30"/>
                <w:sz w:val="24"/>
                <w:highlight w:val="none"/>
              </w:rPr>
              <w:object>
                <v:shape id="_x0000_i1032" o:spt="75" type="#_x0000_t75" style="height:36.95pt;width:147.15pt;" o:ole="t" filled="f" o:preferrelative="t" stroked="f" coordsize="21600,21600">
                  <v:path/>
                  <v:fill on="f" focussize="0,0"/>
                  <v:stroke on="f"/>
                  <v:imagedata r:id="rId27" o:title=""/>
                  <o:lock v:ext="edit" aspectratio="t"/>
                  <w10:wrap type="none"/>
                  <w10:anchorlock/>
                </v:shape>
                <o:OLEObject Type="Embed" ProgID="Equation.3" ShapeID="_x0000_i1032" DrawAspect="Content" ObjectID="_1468075730" r:id="rId26">
                  <o:LockedField>false</o:LockedField>
                </o:OLEObject>
              </w:object>
            </w:r>
          </w:p>
          <w:p w14:paraId="1E9ABA93">
            <w:pPr>
              <w:ind w:right="1838" w:firstLine="1260"/>
              <w:rPr>
                <w:strike w:val="0"/>
                <w:dstrike w:val="0"/>
                <w:color w:val="auto"/>
                <w:sz w:val="24"/>
                <w:highlight w:val="none"/>
              </w:rPr>
            </w:pPr>
            <w:r>
              <w:rPr>
                <w:rFonts w:hint="default" w:ascii="Times New Roman" w:hAnsi="Times New Roman" w:cs="Times New Roman"/>
                <w:strike w:val="0"/>
                <w:dstrike w:val="0"/>
                <w:color w:val="auto"/>
                <w:position w:val="-30"/>
                <w:sz w:val="24"/>
                <w:highlight w:val="none"/>
              </w:rPr>
              <w:object>
                <v:shape id="_x0000_i1033" o:spt="75" type="#_x0000_t75" style="height:39.7pt;width:159.75pt;" o:ole="t" filled="f" o:preferrelative="t" stroked="f" coordsize="21600,21600">
                  <v:path/>
                  <v:fill on="f" focussize="0,0"/>
                  <v:stroke on="f"/>
                  <v:imagedata r:id="rId29" o:title=""/>
                  <o:lock v:ext="edit" aspectratio="t"/>
                  <w10:wrap type="none"/>
                  <w10:anchorlock/>
                </v:shape>
                <o:OLEObject Type="Embed" ProgID="Equation.3" ShapeID="_x0000_i1033" DrawAspect="Content" ObjectID="_1468075731" r:id="rId28">
                  <o:LockedField>false</o:LockedField>
                </o:OLEObject>
              </w:object>
            </w:r>
          </w:p>
          <w:p w14:paraId="1945F6C8">
            <w:pPr>
              <w:spacing w:line="460" w:lineRule="exact"/>
              <w:ind w:firstLine="480"/>
              <w:rPr>
                <w:strike w:val="0"/>
                <w:dstrike w:val="0"/>
                <w:color w:val="auto"/>
                <w:sz w:val="24"/>
                <w:highlight w:val="none"/>
              </w:rPr>
            </w:pPr>
            <w:r>
              <w:rPr>
                <w:strike w:val="0"/>
                <w:dstrike w:val="0"/>
                <w:color w:val="auto"/>
                <w:sz w:val="24"/>
                <w:highlight w:val="none"/>
              </w:rPr>
              <w:t>式中：</w:t>
            </w:r>
            <w:r>
              <w:rPr>
                <w:i/>
                <w:iCs/>
                <w:strike w:val="0"/>
                <w:dstrike w:val="0"/>
                <w:color w:val="auto"/>
                <w:sz w:val="24"/>
                <w:highlight w:val="none"/>
              </w:rPr>
              <w:t>P</w:t>
            </w:r>
            <w:r>
              <w:rPr>
                <w:i/>
                <w:iCs/>
                <w:strike w:val="0"/>
                <w:dstrike w:val="0"/>
                <w:color w:val="auto"/>
                <w:sz w:val="24"/>
                <w:highlight w:val="none"/>
                <w:vertAlign w:val="subscript"/>
              </w:rPr>
              <w:t>pH</w:t>
            </w:r>
            <w:r>
              <w:rPr>
                <w:strike w:val="0"/>
                <w:dstrike w:val="0"/>
                <w:color w:val="auto"/>
                <w:sz w:val="24"/>
                <w:highlight w:val="none"/>
              </w:rPr>
              <w:t>—pH的标准指数；</w:t>
            </w:r>
          </w:p>
          <w:p w14:paraId="0767BCCD">
            <w:pPr>
              <w:spacing w:line="460" w:lineRule="exact"/>
              <w:ind w:firstLine="1103"/>
              <w:rPr>
                <w:strike w:val="0"/>
                <w:dstrike w:val="0"/>
                <w:color w:val="auto"/>
                <w:sz w:val="24"/>
                <w:highlight w:val="none"/>
              </w:rPr>
            </w:pPr>
            <w:r>
              <w:rPr>
                <w:strike w:val="0"/>
                <w:dstrike w:val="0"/>
                <w:color w:val="auto"/>
                <w:sz w:val="24"/>
                <w:highlight w:val="none"/>
              </w:rPr>
              <w:t>pH</w:t>
            </w:r>
            <w:r>
              <w:rPr>
                <w:strike w:val="0"/>
                <w:dstrike w:val="0"/>
                <w:color w:val="auto"/>
                <w:sz w:val="24"/>
                <w:highlight w:val="none"/>
                <w:vertAlign w:val="subscript"/>
              </w:rPr>
              <w:t>sd</w:t>
            </w:r>
            <w:r>
              <w:rPr>
                <w:strike w:val="0"/>
                <w:dstrike w:val="0"/>
                <w:color w:val="auto"/>
                <w:sz w:val="24"/>
                <w:highlight w:val="none"/>
              </w:rPr>
              <w:t>—地表水标准值的下限值；</w:t>
            </w:r>
          </w:p>
          <w:p w14:paraId="4D203B5A">
            <w:pPr>
              <w:spacing w:line="460" w:lineRule="exact"/>
              <w:ind w:firstLine="1103"/>
              <w:rPr>
                <w:strike w:val="0"/>
                <w:dstrike w:val="0"/>
                <w:color w:val="auto"/>
                <w:sz w:val="24"/>
                <w:highlight w:val="none"/>
              </w:rPr>
            </w:pPr>
            <w:r>
              <w:rPr>
                <w:strike w:val="0"/>
                <w:dstrike w:val="0"/>
                <w:color w:val="auto"/>
                <w:sz w:val="24"/>
                <w:highlight w:val="none"/>
              </w:rPr>
              <w:t>pH</w:t>
            </w:r>
            <w:r>
              <w:rPr>
                <w:strike w:val="0"/>
                <w:dstrike w:val="0"/>
                <w:color w:val="auto"/>
                <w:sz w:val="24"/>
                <w:highlight w:val="none"/>
                <w:vertAlign w:val="subscript"/>
              </w:rPr>
              <w:t>su</w:t>
            </w:r>
            <w:r>
              <w:rPr>
                <w:strike w:val="0"/>
                <w:dstrike w:val="0"/>
                <w:color w:val="auto"/>
                <w:sz w:val="24"/>
                <w:highlight w:val="none"/>
              </w:rPr>
              <w:t>—地表水标准值的上限值；</w:t>
            </w:r>
          </w:p>
          <w:p w14:paraId="4DDA7875">
            <w:pPr>
              <w:spacing w:line="460" w:lineRule="exact"/>
              <w:ind w:firstLine="1103"/>
              <w:rPr>
                <w:strike w:val="0"/>
                <w:dstrike w:val="0"/>
                <w:color w:val="auto"/>
                <w:sz w:val="24"/>
                <w:highlight w:val="none"/>
              </w:rPr>
            </w:pPr>
            <w:r>
              <w:rPr>
                <w:strike w:val="0"/>
                <w:dstrike w:val="0"/>
                <w:color w:val="auto"/>
                <w:sz w:val="24"/>
                <w:highlight w:val="none"/>
              </w:rPr>
              <w:t>pH</w:t>
            </w:r>
            <w:r>
              <w:rPr>
                <w:strike w:val="0"/>
                <w:dstrike w:val="0"/>
                <w:color w:val="auto"/>
                <w:sz w:val="24"/>
                <w:highlight w:val="none"/>
                <w:vertAlign w:val="subscript"/>
              </w:rPr>
              <w:t>j</w:t>
            </w:r>
            <w:r>
              <w:rPr>
                <w:strike w:val="0"/>
                <w:dstrike w:val="0"/>
                <w:color w:val="auto"/>
                <w:sz w:val="24"/>
                <w:highlight w:val="none"/>
              </w:rPr>
              <w:t>—实测值。</w:t>
            </w:r>
          </w:p>
          <w:p w14:paraId="346E91B2">
            <w:pPr>
              <w:spacing w:line="460" w:lineRule="exact"/>
              <w:ind w:firstLine="420"/>
              <w:rPr>
                <w:strike w:val="0"/>
                <w:dstrike w:val="0"/>
                <w:color w:val="auto"/>
                <w:sz w:val="24"/>
                <w:highlight w:val="none"/>
              </w:rPr>
            </w:pPr>
            <w:r>
              <w:rPr>
                <w:strike w:val="0"/>
                <w:dstrike w:val="0"/>
                <w:color w:val="auto"/>
                <w:sz w:val="24"/>
                <w:highlight w:val="none"/>
              </w:rPr>
              <w:t>其他污染物标准指数：P</w:t>
            </w:r>
            <w:r>
              <w:rPr>
                <w:strike w:val="0"/>
                <w:dstrike w:val="0"/>
                <w:color w:val="auto"/>
                <w:sz w:val="24"/>
                <w:highlight w:val="none"/>
                <w:vertAlign w:val="subscript"/>
              </w:rPr>
              <w:t>i</w:t>
            </w:r>
            <w:r>
              <w:rPr>
                <w:strike w:val="0"/>
                <w:dstrike w:val="0"/>
                <w:color w:val="auto"/>
                <w:sz w:val="24"/>
                <w:highlight w:val="none"/>
              </w:rPr>
              <w:t xml:space="preserve"> =C</w:t>
            </w:r>
            <w:r>
              <w:rPr>
                <w:strike w:val="0"/>
                <w:dstrike w:val="0"/>
                <w:color w:val="auto"/>
                <w:sz w:val="24"/>
                <w:highlight w:val="none"/>
                <w:vertAlign w:val="subscript"/>
              </w:rPr>
              <w:t>i</w:t>
            </w:r>
            <w:r>
              <w:rPr>
                <w:strike w:val="0"/>
                <w:dstrike w:val="0"/>
                <w:color w:val="auto"/>
                <w:sz w:val="24"/>
                <w:highlight w:val="none"/>
              </w:rPr>
              <w:t>/C</w:t>
            </w:r>
            <w:r>
              <w:rPr>
                <w:strike w:val="0"/>
                <w:dstrike w:val="0"/>
                <w:color w:val="auto"/>
                <w:sz w:val="24"/>
                <w:highlight w:val="none"/>
                <w:vertAlign w:val="subscript"/>
              </w:rPr>
              <w:t>si</w:t>
            </w:r>
          </w:p>
          <w:p w14:paraId="1D772AE3">
            <w:pPr>
              <w:spacing w:line="460" w:lineRule="exact"/>
              <w:ind w:firstLine="480"/>
              <w:rPr>
                <w:strike w:val="0"/>
                <w:dstrike w:val="0"/>
                <w:color w:val="auto"/>
                <w:sz w:val="24"/>
                <w:highlight w:val="none"/>
              </w:rPr>
            </w:pPr>
            <w:r>
              <w:rPr>
                <w:strike w:val="0"/>
                <w:dstrike w:val="0"/>
                <w:color w:val="auto"/>
                <w:sz w:val="24"/>
                <w:highlight w:val="none"/>
              </w:rPr>
              <w:t>式中：P</w:t>
            </w:r>
            <w:r>
              <w:rPr>
                <w:strike w:val="0"/>
                <w:dstrike w:val="0"/>
                <w:color w:val="auto"/>
                <w:sz w:val="24"/>
                <w:highlight w:val="none"/>
                <w:vertAlign w:val="subscript"/>
              </w:rPr>
              <w:t>i</w:t>
            </w:r>
            <w:r>
              <w:rPr>
                <w:strike w:val="0"/>
                <w:dstrike w:val="0"/>
                <w:color w:val="auto"/>
                <w:sz w:val="24"/>
                <w:highlight w:val="none"/>
              </w:rPr>
              <w:t>—第 i 个水质因子的标准指数，无量纲；</w:t>
            </w:r>
          </w:p>
          <w:p w14:paraId="794FBB6A">
            <w:pPr>
              <w:spacing w:line="460" w:lineRule="exact"/>
              <w:ind w:firstLine="1200"/>
              <w:rPr>
                <w:strike w:val="0"/>
                <w:dstrike w:val="0"/>
                <w:color w:val="auto"/>
                <w:sz w:val="24"/>
                <w:highlight w:val="none"/>
              </w:rPr>
            </w:pPr>
            <w:r>
              <w:rPr>
                <w:strike w:val="0"/>
                <w:dstrike w:val="0"/>
                <w:color w:val="auto"/>
                <w:sz w:val="24"/>
                <w:highlight w:val="none"/>
              </w:rPr>
              <w:t>C</w:t>
            </w:r>
            <w:r>
              <w:rPr>
                <w:strike w:val="0"/>
                <w:dstrike w:val="0"/>
                <w:color w:val="auto"/>
                <w:sz w:val="24"/>
                <w:highlight w:val="none"/>
                <w:vertAlign w:val="subscript"/>
              </w:rPr>
              <w:t>i</w:t>
            </w:r>
            <w:r>
              <w:rPr>
                <w:strike w:val="0"/>
                <w:dstrike w:val="0"/>
                <w:color w:val="auto"/>
                <w:sz w:val="24"/>
                <w:highlight w:val="none"/>
              </w:rPr>
              <w:t>—第 i 个水质因子的监测浓度值，mg/L；</w:t>
            </w:r>
          </w:p>
          <w:p w14:paraId="69611BAF">
            <w:pPr>
              <w:spacing w:line="460" w:lineRule="exact"/>
              <w:ind w:firstLine="1200"/>
              <w:rPr>
                <w:strike w:val="0"/>
                <w:dstrike w:val="0"/>
                <w:color w:val="auto"/>
                <w:sz w:val="24"/>
                <w:highlight w:val="none"/>
              </w:rPr>
            </w:pPr>
            <w:r>
              <w:rPr>
                <w:strike w:val="0"/>
                <w:dstrike w:val="0"/>
                <w:color w:val="auto"/>
                <w:sz w:val="24"/>
                <w:highlight w:val="none"/>
              </w:rPr>
              <w:t>C</w:t>
            </w:r>
            <w:r>
              <w:rPr>
                <w:strike w:val="0"/>
                <w:dstrike w:val="0"/>
                <w:color w:val="auto"/>
                <w:sz w:val="24"/>
                <w:highlight w:val="none"/>
                <w:vertAlign w:val="subscript"/>
              </w:rPr>
              <w:t>si</w:t>
            </w:r>
            <w:r>
              <w:rPr>
                <w:strike w:val="0"/>
                <w:dstrike w:val="0"/>
                <w:color w:val="auto"/>
                <w:sz w:val="24"/>
                <w:highlight w:val="none"/>
              </w:rPr>
              <w:t>—第 i 个水质因子的标准浓度值，mg/L。</w:t>
            </w:r>
          </w:p>
          <w:p w14:paraId="47FBE4D7">
            <w:pPr>
              <w:spacing w:line="460" w:lineRule="exact"/>
              <w:ind w:left="480"/>
              <w:rPr>
                <w:strike w:val="0"/>
                <w:dstrike w:val="0"/>
                <w:color w:val="auto"/>
                <w:sz w:val="24"/>
                <w:highlight w:val="none"/>
              </w:rPr>
            </w:pPr>
            <w:r>
              <w:rPr>
                <w:strike w:val="0"/>
                <w:dstrike w:val="0"/>
                <w:color w:val="auto"/>
                <w:sz w:val="24"/>
                <w:highlight w:val="none"/>
              </w:rPr>
              <w:t>（3）执行标准</w:t>
            </w:r>
          </w:p>
          <w:p w14:paraId="601B1513">
            <w:pPr>
              <w:spacing w:line="460" w:lineRule="exact"/>
              <w:ind w:left="480"/>
              <w:rPr>
                <w:strike w:val="0"/>
                <w:dstrike w:val="0"/>
                <w:color w:val="auto"/>
                <w:sz w:val="24"/>
                <w:highlight w:val="none"/>
              </w:rPr>
            </w:pPr>
            <w:r>
              <w:rPr>
                <w:strike w:val="0"/>
                <w:dstrike w:val="0"/>
                <w:color w:val="auto"/>
                <w:sz w:val="24"/>
                <w:highlight w:val="none"/>
              </w:rPr>
              <w:t>《地下水质量标准》（GB/T 14848-2017）</w:t>
            </w:r>
            <w:r>
              <w:rPr>
                <w:rFonts w:hint="eastAsia" w:ascii="宋体" w:hAnsi="宋体" w:cs="宋体"/>
                <w:strike w:val="0"/>
                <w:dstrike w:val="0"/>
                <w:color w:val="auto"/>
                <w:sz w:val="24"/>
                <w:highlight w:val="none"/>
              </w:rPr>
              <w:t>Ⅲ</w:t>
            </w:r>
            <w:r>
              <w:rPr>
                <w:strike w:val="0"/>
                <w:dstrike w:val="0"/>
                <w:color w:val="auto"/>
                <w:sz w:val="24"/>
                <w:highlight w:val="none"/>
              </w:rPr>
              <w:t>类标准。</w:t>
            </w:r>
          </w:p>
          <w:p w14:paraId="03D635A7">
            <w:pPr>
              <w:spacing w:line="460" w:lineRule="exact"/>
              <w:ind w:firstLine="480"/>
              <w:rPr>
                <w:strike w:val="0"/>
                <w:dstrike w:val="0"/>
                <w:color w:val="auto"/>
                <w:sz w:val="24"/>
                <w:highlight w:val="none"/>
              </w:rPr>
            </w:pPr>
            <w:r>
              <w:rPr>
                <w:strike w:val="0"/>
                <w:dstrike w:val="0"/>
                <w:color w:val="auto"/>
                <w:sz w:val="24"/>
                <w:highlight w:val="none"/>
              </w:rPr>
              <w:t>（4）监测结果</w:t>
            </w:r>
          </w:p>
          <w:p w14:paraId="7D6F880F">
            <w:pPr>
              <w:pStyle w:val="81"/>
              <w:ind w:firstLine="480"/>
              <w:jc w:val="both"/>
              <w:rPr>
                <w:rFonts w:ascii="Times New Roman" w:hAnsi="Times New Roman" w:cs="Times New Roman"/>
                <w:strike w:val="0"/>
                <w:dstrike w:val="0"/>
                <w:color w:val="auto"/>
                <w:sz w:val="24"/>
                <w:szCs w:val="24"/>
                <w:highlight w:val="none"/>
              </w:rPr>
            </w:pPr>
            <w:r>
              <w:rPr>
                <w:rFonts w:ascii="Times New Roman" w:hAnsi="Times New Roman" w:cs="Times New Roman"/>
                <w:strike w:val="0"/>
                <w:dstrike w:val="0"/>
                <w:color w:val="auto"/>
                <w:sz w:val="24"/>
                <w:szCs w:val="24"/>
                <w:highlight w:val="none"/>
              </w:rPr>
              <w:t>引用监测资料见表</w:t>
            </w:r>
            <w:r>
              <w:rPr>
                <w:rFonts w:hint="default" w:ascii="Times New Roman" w:hAnsi="Times New Roman" w:cs="Times New Roman"/>
                <w:strike w:val="0"/>
                <w:dstrike w:val="0"/>
                <w:color w:val="auto"/>
                <w:sz w:val="24"/>
                <w:szCs w:val="24"/>
                <w:highlight w:val="none"/>
              </w:rPr>
              <w:t>3.1-</w:t>
            </w:r>
            <w:r>
              <w:rPr>
                <w:rFonts w:hint="default" w:ascii="Times New Roman" w:hAnsi="Times New Roman" w:cs="Times New Roman"/>
                <w:strike w:val="0"/>
                <w:dstrike w:val="0"/>
                <w:color w:val="auto"/>
                <w:sz w:val="24"/>
                <w:szCs w:val="24"/>
                <w:highlight w:val="none"/>
                <w:lang w:val="en-US" w:eastAsia="zh-CN"/>
              </w:rPr>
              <w:t>4</w:t>
            </w:r>
            <w:r>
              <w:rPr>
                <w:rFonts w:hint="default" w:ascii="Times New Roman" w:hAnsi="Times New Roman" w:cs="Times New Roman"/>
                <w:strike w:val="0"/>
                <w:dstrike w:val="0"/>
                <w:color w:val="auto"/>
                <w:sz w:val="24"/>
                <w:szCs w:val="24"/>
                <w:highlight w:val="none"/>
              </w:rPr>
              <w:t>。监测结果</w:t>
            </w:r>
            <w:r>
              <w:rPr>
                <w:rFonts w:hint="default" w:ascii="Times New Roman" w:hAnsi="Times New Roman" w:cs="Times New Roman"/>
                <w:strike w:val="0"/>
                <w:dstrike w:val="0"/>
                <w:color w:val="auto"/>
                <w:spacing w:val="10"/>
                <w:sz w:val="24"/>
                <w:szCs w:val="24"/>
                <w:highlight w:val="none"/>
              </w:rPr>
              <w:t>表明，所有</w:t>
            </w:r>
            <w:r>
              <w:rPr>
                <w:rFonts w:hint="default" w:ascii="Times New Roman" w:hAnsi="Times New Roman" w:cs="Times New Roman"/>
                <w:strike w:val="0"/>
                <w:dstrike w:val="0"/>
                <w:color w:val="auto"/>
                <w:sz w:val="24"/>
                <w:szCs w:val="24"/>
                <w:highlight w:val="none"/>
              </w:rPr>
              <w:t>监测因子均满足《地下水质量标准》（GB/T 14848-2017）Ⅲ类标准的要求</w:t>
            </w:r>
            <w:r>
              <w:rPr>
                <w:rFonts w:ascii="Times New Roman" w:hAnsi="Times New Roman" w:cs="Times New Roman"/>
                <w:strike w:val="0"/>
                <w:dstrike w:val="0"/>
                <w:color w:val="auto"/>
                <w:sz w:val="24"/>
                <w:szCs w:val="24"/>
                <w:highlight w:val="none"/>
              </w:rPr>
              <w:t>。</w:t>
            </w:r>
          </w:p>
          <w:p w14:paraId="44A2F911">
            <w:pPr>
              <w:pStyle w:val="8"/>
              <w:keepNext w:val="0"/>
              <w:keepLines w:val="0"/>
              <w:pageBreakBefore w:val="0"/>
              <w:widowControl w:val="0"/>
              <w:kinsoku/>
              <w:wordWrap/>
              <w:overflowPunct/>
              <w:topLinePunct w:val="0"/>
              <w:autoSpaceDE/>
              <w:autoSpaceDN/>
              <w:bidi w:val="0"/>
              <w:adjustRightInd/>
              <w:snapToGrid/>
              <w:spacing w:beforeLines="0" w:line="240" w:lineRule="auto"/>
              <w:textAlignment w:val="auto"/>
              <w:rPr>
                <w:rFonts w:hint="default"/>
                <w:strike w:val="0"/>
                <w:dstrike w:val="0"/>
                <w:color w:val="auto"/>
                <w:sz w:val="22"/>
                <w:szCs w:val="22"/>
                <w:highlight w:val="none"/>
                <w:lang w:val="en-US"/>
              </w:rPr>
            </w:pPr>
            <w:r>
              <w:rPr>
                <w:rFonts w:hint="eastAsia"/>
                <w:strike w:val="0"/>
                <w:dstrike w:val="0"/>
                <w:color w:val="auto"/>
                <w:sz w:val="22"/>
                <w:szCs w:val="22"/>
                <w:highlight w:val="none"/>
              </w:rPr>
              <w:t>表</w:t>
            </w:r>
            <w:r>
              <w:rPr>
                <w:rFonts w:hint="eastAsia"/>
                <w:strike w:val="0"/>
                <w:dstrike w:val="0"/>
                <w:color w:val="auto"/>
                <w:sz w:val="22"/>
                <w:szCs w:val="22"/>
                <w:highlight w:val="none"/>
                <w:lang w:val="en-US" w:eastAsia="zh-CN"/>
              </w:rPr>
              <w:t>3.1-4</w:t>
            </w:r>
            <w:r>
              <w:rPr>
                <w:strike w:val="0"/>
                <w:dstrike w:val="0"/>
                <w:color w:val="auto"/>
                <w:sz w:val="22"/>
                <w:szCs w:val="22"/>
                <w:highlight w:val="none"/>
              </w:rPr>
              <w:t xml:space="preserve"> </w:t>
            </w:r>
            <w:r>
              <w:rPr>
                <w:rFonts w:hint="eastAsia"/>
                <w:strike w:val="0"/>
                <w:dstrike w:val="0"/>
                <w:color w:val="auto"/>
                <w:sz w:val="22"/>
                <w:szCs w:val="22"/>
                <w:highlight w:val="none"/>
              </w:rPr>
              <w:t xml:space="preserve"> 地下水</w:t>
            </w:r>
            <w:r>
              <w:rPr>
                <w:rFonts w:hint="eastAsia"/>
                <w:strike w:val="0"/>
                <w:dstrike w:val="0"/>
                <w:color w:val="auto"/>
                <w:sz w:val="22"/>
                <w:szCs w:val="22"/>
                <w:highlight w:val="none"/>
                <w:lang w:val="en-US" w:eastAsia="zh-CN"/>
              </w:rPr>
              <w:t xml:space="preserve">分析结果一览表 </w:t>
            </w:r>
            <w:r>
              <w:rPr>
                <w:rFonts w:hint="eastAsia"/>
                <w:strike w:val="0"/>
                <w:dstrike w:val="0"/>
                <w:color w:val="auto"/>
                <w:sz w:val="22"/>
                <w:szCs w:val="22"/>
                <w:highlight w:val="none"/>
              </w:rPr>
              <w:t>单位：</w:t>
            </w:r>
            <w:r>
              <w:rPr>
                <w:strike w:val="0"/>
                <w:dstrike w:val="0"/>
                <w:color w:val="auto"/>
                <w:sz w:val="22"/>
                <w:szCs w:val="22"/>
                <w:highlight w:val="none"/>
              </w:rPr>
              <w:t>mg/L</w:t>
            </w:r>
            <w:r>
              <w:rPr>
                <w:rFonts w:hint="eastAsia"/>
                <w:strike w:val="0"/>
                <w:dstrike w:val="0"/>
                <w:color w:val="auto"/>
                <w:sz w:val="22"/>
                <w:szCs w:val="22"/>
                <w:highlight w:val="none"/>
              </w:rPr>
              <w:t>，</w:t>
            </w:r>
            <w:r>
              <w:rPr>
                <w:strike w:val="0"/>
                <w:dstrike w:val="0"/>
                <w:color w:val="auto"/>
                <w:sz w:val="22"/>
                <w:szCs w:val="22"/>
                <w:highlight w:val="none"/>
              </w:rPr>
              <w:t>pH</w:t>
            </w:r>
            <w:r>
              <w:rPr>
                <w:rFonts w:hint="eastAsia"/>
                <w:strike w:val="0"/>
                <w:dstrike w:val="0"/>
                <w:color w:val="auto"/>
                <w:sz w:val="22"/>
                <w:szCs w:val="22"/>
                <w:highlight w:val="none"/>
              </w:rPr>
              <w:t>、总大肠菌群、菌落总数除外</w:t>
            </w:r>
          </w:p>
          <w:tbl>
            <w:tblPr>
              <w:tblStyle w:val="23"/>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713"/>
              <w:gridCol w:w="662"/>
              <w:gridCol w:w="650"/>
              <w:gridCol w:w="700"/>
              <w:gridCol w:w="763"/>
              <w:gridCol w:w="775"/>
              <w:gridCol w:w="862"/>
              <w:gridCol w:w="788"/>
              <w:gridCol w:w="812"/>
              <w:gridCol w:w="763"/>
            </w:tblGrid>
            <w:tr w14:paraId="73FB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Align w:val="center"/>
                </w:tcPr>
                <w:p w14:paraId="57A0A0CD">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监测井编号</w:t>
                  </w:r>
                </w:p>
              </w:tc>
              <w:tc>
                <w:tcPr>
                  <w:tcW w:w="713" w:type="dxa"/>
                  <w:vAlign w:val="center"/>
                </w:tcPr>
                <w:p w14:paraId="51B8D945">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监测点位</w:t>
                  </w:r>
                </w:p>
              </w:tc>
              <w:tc>
                <w:tcPr>
                  <w:tcW w:w="662" w:type="dxa"/>
                  <w:vAlign w:val="center"/>
                </w:tcPr>
                <w:p w14:paraId="1C4324D5">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监测时间</w:t>
                  </w:r>
                </w:p>
              </w:tc>
              <w:tc>
                <w:tcPr>
                  <w:tcW w:w="6113" w:type="dxa"/>
                  <w:gridSpan w:val="8"/>
                  <w:vAlign w:val="center"/>
                </w:tcPr>
                <w:p w14:paraId="11F21919">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检测项目及结果</w:t>
                  </w:r>
                </w:p>
              </w:tc>
            </w:tr>
            <w:tr w14:paraId="204E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restart"/>
                  <w:vAlign w:val="center"/>
                </w:tcPr>
                <w:p w14:paraId="6E26592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DW29</w:t>
                  </w:r>
                </w:p>
              </w:tc>
              <w:tc>
                <w:tcPr>
                  <w:tcW w:w="713" w:type="dxa"/>
                  <w:vMerge w:val="restart"/>
                  <w:shd w:val="clear" w:color="auto" w:fill="auto"/>
                  <w:vAlign w:val="center"/>
                </w:tcPr>
                <w:p w14:paraId="65E78DAB">
                  <w:pPr>
                    <w:keepNext/>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cs="Times New Roman"/>
                      <w:strike w:val="0"/>
                      <w:dstrike w:val="0"/>
                      <w:color w:val="auto"/>
                      <w:sz w:val="21"/>
                      <w:szCs w:val="21"/>
                      <w:highlight w:val="none"/>
                      <w:lang w:val="en-US" w:eastAsia="zh-CN"/>
                    </w:rPr>
                    <w:t>柏枝溪西侧下游</w:t>
                  </w:r>
                </w:p>
              </w:tc>
              <w:tc>
                <w:tcPr>
                  <w:tcW w:w="662" w:type="dxa"/>
                  <w:vMerge w:val="restart"/>
                  <w:vAlign w:val="center"/>
                </w:tcPr>
                <w:p w14:paraId="47F6183E">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2023.7.28</w:t>
                  </w:r>
                </w:p>
              </w:tc>
              <w:tc>
                <w:tcPr>
                  <w:tcW w:w="650" w:type="dxa"/>
                  <w:vAlign w:val="center"/>
                </w:tcPr>
                <w:p w14:paraId="5615971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检测项目</w:t>
                  </w:r>
                </w:p>
              </w:tc>
              <w:tc>
                <w:tcPr>
                  <w:tcW w:w="700" w:type="dxa"/>
                  <w:vAlign w:val="center"/>
                </w:tcPr>
                <w:p w14:paraId="39DFCAFA">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pH</w:t>
                  </w:r>
                </w:p>
              </w:tc>
              <w:tc>
                <w:tcPr>
                  <w:tcW w:w="763" w:type="dxa"/>
                  <w:vAlign w:val="center"/>
                </w:tcPr>
                <w:p w14:paraId="7411546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氨氮</w:t>
                  </w:r>
                </w:p>
              </w:tc>
              <w:tc>
                <w:tcPr>
                  <w:tcW w:w="775" w:type="dxa"/>
                  <w:vAlign w:val="center"/>
                </w:tcPr>
                <w:p w14:paraId="009A5DAC">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硝酸盐</w:t>
                  </w:r>
                </w:p>
              </w:tc>
              <w:tc>
                <w:tcPr>
                  <w:tcW w:w="862" w:type="dxa"/>
                  <w:vAlign w:val="center"/>
                </w:tcPr>
                <w:p w14:paraId="108AC29E">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亚硝酸盐</w:t>
                  </w:r>
                </w:p>
              </w:tc>
              <w:tc>
                <w:tcPr>
                  <w:tcW w:w="788" w:type="dxa"/>
                  <w:vAlign w:val="center"/>
                </w:tcPr>
                <w:p w14:paraId="545F42E3">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挥发酚</w:t>
                  </w:r>
                </w:p>
              </w:tc>
              <w:tc>
                <w:tcPr>
                  <w:tcW w:w="812" w:type="dxa"/>
                  <w:vAlign w:val="center"/>
                </w:tcPr>
                <w:p w14:paraId="46AFD84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氰化物</w:t>
                  </w:r>
                </w:p>
              </w:tc>
              <w:tc>
                <w:tcPr>
                  <w:tcW w:w="763" w:type="dxa"/>
                  <w:vAlign w:val="center"/>
                </w:tcPr>
                <w:p w14:paraId="2B74660A">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砷</w:t>
                  </w:r>
                </w:p>
              </w:tc>
            </w:tr>
            <w:tr w14:paraId="3F3A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09C45E18">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608C1C42">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7FF3BAB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58A9C153">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监测值</w:t>
                  </w:r>
                </w:p>
              </w:tc>
              <w:tc>
                <w:tcPr>
                  <w:tcW w:w="700" w:type="dxa"/>
                  <w:vAlign w:val="center"/>
                </w:tcPr>
                <w:p w14:paraId="2451E7EC">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7.52</w:t>
                  </w:r>
                </w:p>
              </w:tc>
              <w:tc>
                <w:tcPr>
                  <w:tcW w:w="763" w:type="dxa"/>
                  <w:vAlign w:val="center"/>
                </w:tcPr>
                <w:p w14:paraId="7D2602D4">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0.43</w:t>
                  </w:r>
                </w:p>
              </w:tc>
              <w:tc>
                <w:tcPr>
                  <w:tcW w:w="775" w:type="dxa"/>
                  <w:vAlign w:val="center"/>
                </w:tcPr>
                <w:p w14:paraId="6071DDBB">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10.1</w:t>
                  </w:r>
                </w:p>
              </w:tc>
              <w:tc>
                <w:tcPr>
                  <w:tcW w:w="862" w:type="dxa"/>
                  <w:vAlign w:val="center"/>
                </w:tcPr>
                <w:p w14:paraId="2EC7A1FC">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0.016L</w:t>
                  </w:r>
                </w:p>
              </w:tc>
              <w:tc>
                <w:tcPr>
                  <w:tcW w:w="788" w:type="dxa"/>
                  <w:vAlign w:val="center"/>
                </w:tcPr>
                <w:p w14:paraId="1AA98716">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0.0003L</w:t>
                  </w:r>
                </w:p>
              </w:tc>
              <w:tc>
                <w:tcPr>
                  <w:tcW w:w="812" w:type="dxa"/>
                  <w:vAlign w:val="center"/>
                </w:tcPr>
                <w:p w14:paraId="5D437E16">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0.004L</w:t>
                  </w:r>
                </w:p>
              </w:tc>
              <w:tc>
                <w:tcPr>
                  <w:tcW w:w="763" w:type="dxa"/>
                  <w:vAlign w:val="center"/>
                </w:tcPr>
                <w:p w14:paraId="77ADFDAA">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0.0025</w:t>
                  </w:r>
                </w:p>
              </w:tc>
            </w:tr>
            <w:tr w14:paraId="3272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2206151A">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306B49EA">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5F8540BA">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564CF9E7">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sz w:val="21"/>
                      <w:szCs w:val="21"/>
                      <w:highlight w:val="none"/>
                      <w:lang w:val="en-US" w:eastAsia="zh-CN"/>
                    </w:rPr>
                  </w:pPr>
                  <w:r>
                    <w:rPr>
                      <w:rFonts w:hint="default" w:ascii="Times New Roman" w:hAnsi="Times New Roman" w:eastAsia="宋体" w:cs="Times New Roman"/>
                      <w:strike w:val="0"/>
                      <w:dstrike w:val="0"/>
                      <w:snapToGrid/>
                      <w:color w:val="auto"/>
                      <w:sz w:val="21"/>
                      <w:szCs w:val="21"/>
                      <w:highlight w:val="none"/>
                      <w:lang w:val="en-US" w:eastAsia="zh-CN"/>
                    </w:rPr>
                    <w:t>标准值</w:t>
                  </w:r>
                </w:p>
              </w:tc>
              <w:tc>
                <w:tcPr>
                  <w:tcW w:w="700" w:type="dxa"/>
                  <w:vAlign w:val="center"/>
                </w:tcPr>
                <w:p w14:paraId="1B8EE42D">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strike w:val="0"/>
                      <w:dstrike w:val="0"/>
                      <w:snapToGrid/>
                      <w:color w:val="auto"/>
                      <w:sz w:val="21"/>
                      <w:szCs w:val="21"/>
                      <w:highlight w:val="none"/>
                    </w:rPr>
                    <w:t>6.5-8.5</w:t>
                  </w:r>
                </w:p>
              </w:tc>
              <w:tc>
                <w:tcPr>
                  <w:tcW w:w="763" w:type="dxa"/>
                  <w:vAlign w:val="center"/>
                </w:tcPr>
                <w:p w14:paraId="04445CC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strike w:val="0"/>
                      <w:dstrike w:val="0"/>
                      <w:snapToGrid/>
                      <w:color w:val="auto"/>
                      <w:sz w:val="21"/>
                      <w:szCs w:val="21"/>
                      <w:highlight w:val="none"/>
                    </w:rPr>
                    <w:t>≤</w:t>
                  </w:r>
                  <w:r>
                    <w:rPr>
                      <w:rFonts w:hint="default" w:ascii="Times New Roman" w:hAnsi="Times New Roman" w:eastAsia="宋体" w:cs="Times New Roman"/>
                      <w:strike w:val="0"/>
                      <w:dstrike w:val="0"/>
                      <w:snapToGrid/>
                      <w:color w:val="auto"/>
                      <w:sz w:val="21"/>
                      <w:szCs w:val="21"/>
                      <w:highlight w:val="none"/>
                      <w:lang w:val="en-US" w:eastAsia="zh-CN"/>
                    </w:rPr>
                    <w:t>0.50</w:t>
                  </w:r>
                </w:p>
              </w:tc>
              <w:tc>
                <w:tcPr>
                  <w:tcW w:w="775" w:type="dxa"/>
                  <w:vAlign w:val="center"/>
                </w:tcPr>
                <w:p w14:paraId="455033EB">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strike w:val="0"/>
                      <w:dstrike w:val="0"/>
                      <w:snapToGrid/>
                      <w:color w:val="auto"/>
                      <w:sz w:val="21"/>
                      <w:szCs w:val="21"/>
                      <w:highlight w:val="none"/>
                    </w:rPr>
                    <w:t>≤</w:t>
                  </w:r>
                  <w:r>
                    <w:rPr>
                      <w:rFonts w:hint="default" w:ascii="Times New Roman" w:hAnsi="Times New Roman" w:eastAsia="宋体" w:cs="Times New Roman"/>
                      <w:strike w:val="0"/>
                      <w:dstrike w:val="0"/>
                      <w:snapToGrid/>
                      <w:color w:val="auto"/>
                      <w:sz w:val="21"/>
                      <w:szCs w:val="21"/>
                      <w:highlight w:val="none"/>
                      <w:lang w:val="en-US" w:eastAsia="zh-CN"/>
                    </w:rPr>
                    <w:t>20.0</w:t>
                  </w:r>
                </w:p>
              </w:tc>
              <w:tc>
                <w:tcPr>
                  <w:tcW w:w="862" w:type="dxa"/>
                  <w:shd w:val="clear" w:color="auto" w:fill="auto"/>
                  <w:vAlign w:val="center"/>
                </w:tcPr>
                <w:p w14:paraId="56A3A413">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≤1.00</w:t>
                  </w:r>
                </w:p>
              </w:tc>
              <w:tc>
                <w:tcPr>
                  <w:tcW w:w="788" w:type="dxa"/>
                  <w:shd w:val="clear" w:color="auto" w:fill="auto"/>
                  <w:vAlign w:val="center"/>
                </w:tcPr>
                <w:p w14:paraId="0DB684CB">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≤0.002</w:t>
                  </w:r>
                </w:p>
              </w:tc>
              <w:tc>
                <w:tcPr>
                  <w:tcW w:w="812" w:type="dxa"/>
                  <w:shd w:val="clear" w:color="auto" w:fill="auto"/>
                  <w:vAlign w:val="center"/>
                </w:tcPr>
                <w:p w14:paraId="649C0E82">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≤0.05</w:t>
                  </w:r>
                </w:p>
              </w:tc>
              <w:tc>
                <w:tcPr>
                  <w:tcW w:w="763" w:type="dxa"/>
                  <w:shd w:val="clear" w:color="auto" w:fill="auto"/>
                  <w:vAlign w:val="center"/>
                </w:tcPr>
                <w:p w14:paraId="7CCB5BC6">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≤0.01</w:t>
                  </w:r>
                </w:p>
              </w:tc>
            </w:tr>
            <w:tr w14:paraId="5BA9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314FD9A6">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2CFC4A1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00A46A29">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5DD2C752">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Pi值</w:t>
                  </w:r>
                </w:p>
              </w:tc>
              <w:tc>
                <w:tcPr>
                  <w:tcW w:w="700" w:type="dxa"/>
                  <w:vAlign w:val="center"/>
                </w:tcPr>
                <w:p w14:paraId="5335D695">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0.347 </w:t>
                  </w:r>
                </w:p>
              </w:tc>
              <w:tc>
                <w:tcPr>
                  <w:tcW w:w="763" w:type="dxa"/>
                  <w:vAlign w:val="center"/>
                </w:tcPr>
                <w:p w14:paraId="21BE1220">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0.860 </w:t>
                  </w:r>
                </w:p>
              </w:tc>
              <w:tc>
                <w:tcPr>
                  <w:tcW w:w="775" w:type="dxa"/>
                  <w:vAlign w:val="center"/>
                </w:tcPr>
                <w:p w14:paraId="16AE6315">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0.505 </w:t>
                  </w:r>
                </w:p>
              </w:tc>
              <w:tc>
                <w:tcPr>
                  <w:tcW w:w="862" w:type="dxa"/>
                  <w:vAlign w:val="center"/>
                </w:tcPr>
                <w:p w14:paraId="18E4F215">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88" w:type="dxa"/>
                  <w:vAlign w:val="center"/>
                </w:tcPr>
                <w:p w14:paraId="2CDA27B7">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812" w:type="dxa"/>
                  <w:vAlign w:val="center"/>
                </w:tcPr>
                <w:p w14:paraId="1D426CC1">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63" w:type="dxa"/>
                  <w:vAlign w:val="center"/>
                </w:tcPr>
                <w:p w14:paraId="1EFCACA0">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0.250 </w:t>
                  </w:r>
                </w:p>
              </w:tc>
            </w:tr>
            <w:tr w14:paraId="1107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6C409B3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75A857D1">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7D5D3761">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03FEDD8C">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cs="Times New Roman"/>
                      <w:strike w:val="0"/>
                      <w:dstrike w:val="0"/>
                      <w:color w:val="auto"/>
                      <w:kern w:val="0"/>
                      <w:sz w:val="21"/>
                      <w:szCs w:val="21"/>
                      <w:highlight w:val="none"/>
                      <w:vertAlign w:val="baseline"/>
                      <w:lang w:val="en-US" w:eastAsia="zh-CN"/>
                    </w:rPr>
                    <w:t>检测项目</w:t>
                  </w:r>
                </w:p>
              </w:tc>
              <w:tc>
                <w:tcPr>
                  <w:tcW w:w="700" w:type="dxa"/>
                  <w:vAlign w:val="center"/>
                </w:tcPr>
                <w:p w14:paraId="1FA8476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汞</w:t>
                  </w:r>
                </w:p>
              </w:tc>
              <w:tc>
                <w:tcPr>
                  <w:tcW w:w="763" w:type="dxa"/>
                  <w:vAlign w:val="center"/>
                </w:tcPr>
                <w:p w14:paraId="30A863D3">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六价铬</w:t>
                  </w:r>
                </w:p>
              </w:tc>
              <w:tc>
                <w:tcPr>
                  <w:tcW w:w="775" w:type="dxa"/>
                  <w:vAlign w:val="center"/>
                </w:tcPr>
                <w:p w14:paraId="5B079263">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总硬度</w:t>
                  </w:r>
                </w:p>
              </w:tc>
              <w:tc>
                <w:tcPr>
                  <w:tcW w:w="862" w:type="dxa"/>
                  <w:vAlign w:val="center"/>
                </w:tcPr>
                <w:p w14:paraId="527D5ED1">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铅</w:t>
                  </w:r>
                </w:p>
              </w:tc>
              <w:tc>
                <w:tcPr>
                  <w:tcW w:w="788" w:type="dxa"/>
                  <w:vAlign w:val="center"/>
                </w:tcPr>
                <w:p w14:paraId="361E6C63">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氟化物</w:t>
                  </w:r>
                </w:p>
              </w:tc>
              <w:tc>
                <w:tcPr>
                  <w:tcW w:w="812" w:type="dxa"/>
                  <w:vAlign w:val="center"/>
                </w:tcPr>
                <w:p w14:paraId="69AF701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镉</w:t>
                  </w:r>
                </w:p>
              </w:tc>
              <w:tc>
                <w:tcPr>
                  <w:tcW w:w="763" w:type="dxa"/>
                  <w:vAlign w:val="center"/>
                </w:tcPr>
                <w:p w14:paraId="7CC6ED5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铁</w:t>
                  </w:r>
                </w:p>
              </w:tc>
            </w:tr>
            <w:tr w14:paraId="1B21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0B51DA5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4273AB1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47FD02FC">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15AE2B6B">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监测值</w:t>
                  </w:r>
                </w:p>
              </w:tc>
              <w:tc>
                <w:tcPr>
                  <w:tcW w:w="700" w:type="dxa"/>
                  <w:vAlign w:val="center"/>
                </w:tcPr>
                <w:p w14:paraId="504E0C5C">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0.00004L</w:t>
                  </w:r>
                </w:p>
              </w:tc>
              <w:tc>
                <w:tcPr>
                  <w:tcW w:w="763" w:type="dxa"/>
                  <w:vAlign w:val="center"/>
                </w:tcPr>
                <w:p w14:paraId="673F92C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0.004</w:t>
                  </w:r>
                </w:p>
              </w:tc>
              <w:tc>
                <w:tcPr>
                  <w:tcW w:w="775" w:type="dxa"/>
                  <w:vAlign w:val="center"/>
                </w:tcPr>
                <w:p w14:paraId="5B1E19E5">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302</w:t>
                  </w:r>
                </w:p>
              </w:tc>
              <w:tc>
                <w:tcPr>
                  <w:tcW w:w="862" w:type="dxa"/>
                  <w:vAlign w:val="center"/>
                </w:tcPr>
                <w:p w14:paraId="650C7729">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0.001L</w:t>
                  </w:r>
                </w:p>
              </w:tc>
              <w:tc>
                <w:tcPr>
                  <w:tcW w:w="788" w:type="dxa"/>
                  <w:vAlign w:val="center"/>
                </w:tcPr>
                <w:p w14:paraId="01C97E4B">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0.237</w:t>
                  </w:r>
                </w:p>
              </w:tc>
              <w:tc>
                <w:tcPr>
                  <w:tcW w:w="812" w:type="dxa"/>
                  <w:vAlign w:val="center"/>
                </w:tcPr>
                <w:p w14:paraId="75E64B6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0.0002</w:t>
                  </w:r>
                </w:p>
              </w:tc>
              <w:tc>
                <w:tcPr>
                  <w:tcW w:w="763" w:type="dxa"/>
                  <w:vAlign w:val="center"/>
                </w:tcPr>
                <w:p w14:paraId="26B4014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0.01L</w:t>
                  </w:r>
                </w:p>
              </w:tc>
            </w:tr>
            <w:tr w14:paraId="633C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1AF54D0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671945A1">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5E729EAB">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227E2BA6">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lang w:val="en-US" w:eastAsia="zh-CN"/>
                    </w:rPr>
                    <w:t>标准值</w:t>
                  </w:r>
                </w:p>
              </w:tc>
              <w:tc>
                <w:tcPr>
                  <w:tcW w:w="700" w:type="dxa"/>
                  <w:shd w:val="clear" w:color="auto" w:fill="auto"/>
                  <w:vAlign w:val="center"/>
                </w:tcPr>
                <w:p w14:paraId="3321BE8D">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≤0.001</w:t>
                  </w:r>
                </w:p>
              </w:tc>
              <w:tc>
                <w:tcPr>
                  <w:tcW w:w="763" w:type="dxa"/>
                  <w:shd w:val="clear" w:color="auto" w:fill="auto"/>
                  <w:vAlign w:val="center"/>
                </w:tcPr>
                <w:p w14:paraId="33BD9A87">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≤0.05</w:t>
                  </w:r>
                </w:p>
              </w:tc>
              <w:tc>
                <w:tcPr>
                  <w:tcW w:w="775" w:type="dxa"/>
                  <w:shd w:val="clear" w:color="auto" w:fill="auto"/>
                  <w:vAlign w:val="center"/>
                </w:tcPr>
                <w:p w14:paraId="020569E8">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≤450</w:t>
                  </w:r>
                </w:p>
              </w:tc>
              <w:tc>
                <w:tcPr>
                  <w:tcW w:w="862" w:type="dxa"/>
                  <w:shd w:val="clear" w:color="auto" w:fill="auto"/>
                  <w:vAlign w:val="center"/>
                </w:tcPr>
                <w:p w14:paraId="4711F3B9">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≤0.01</w:t>
                  </w:r>
                </w:p>
              </w:tc>
              <w:tc>
                <w:tcPr>
                  <w:tcW w:w="788" w:type="dxa"/>
                  <w:shd w:val="clear" w:color="auto" w:fill="auto"/>
                  <w:vAlign w:val="center"/>
                </w:tcPr>
                <w:p w14:paraId="2CC29B3F">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≤1.0</w:t>
                  </w:r>
                </w:p>
              </w:tc>
              <w:tc>
                <w:tcPr>
                  <w:tcW w:w="812" w:type="dxa"/>
                  <w:shd w:val="clear" w:color="auto" w:fill="auto"/>
                  <w:vAlign w:val="center"/>
                </w:tcPr>
                <w:p w14:paraId="0C01CCB0">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≤0.005</w:t>
                  </w:r>
                </w:p>
              </w:tc>
              <w:tc>
                <w:tcPr>
                  <w:tcW w:w="763" w:type="dxa"/>
                  <w:shd w:val="clear" w:color="auto" w:fill="auto"/>
                  <w:vAlign w:val="center"/>
                </w:tcPr>
                <w:p w14:paraId="6C79B305">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≤0.3</w:t>
                  </w:r>
                </w:p>
              </w:tc>
            </w:tr>
            <w:tr w14:paraId="1C9A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49384B22">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63890A1E">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519166C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31E330A4">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Pi值</w:t>
                  </w:r>
                </w:p>
              </w:tc>
              <w:tc>
                <w:tcPr>
                  <w:tcW w:w="700" w:type="dxa"/>
                  <w:vAlign w:val="center"/>
                </w:tcPr>
                <w:p w14:paraId="1117A3AC">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63" w:type="dxa"/>
                  <w:vAlign w:val="center"/>
                </w:tcPr>
                <w:p w14:paraId="63806051">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0.080 </w:t>
                  </w:r>
                </w:p>
              </w:tc>
              <w:tc>
                <w:tcPr>
                  <w:tcW w:w="775" w:type="dxa"/>
                  <w:vAlign w:val="center"/>
                </w:tcPr>
                <w:p w14:paraId="03155095">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0.671 </w:t>
                  </w:r>
                </w:p>
              </w:tc>
              <w:tc>
                <w:tcPr>
                  <w:tcW w:w="862" w:type="dxa"/>
                  <w:vAlign w:val="center"/>
                </w:tcPr>
                <w:p w14:paraId="0573DB33">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88" w:type="dxa"/>
                  <w:vAlign w:val="center"/>
                </w:tcPr>
                <w:p w14:paraId="79583E30">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0.237 </w:t>
                  </w:r>
                </w:p>
              </w:tc>
              <w:tc>
                <w:tcPr>
                  <w:tcW w:w="812" w:type="dxa"/>
                  <w:vAlign w:val="center"/>
                </w:tcPr>
                <w:p w14:paraId="0A0E40D3">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0.040 </w:t>
                  </w:r>
                </w:p>
              </w:tc>
              <w:tc>
                <w:tcPr>
                  <w:tcW w:w="763" w:type="dxa"/>
                  <w:vAlign w:val="center"/>
                </w:tcPr>
                <w:p w14:paraId="44CFA5BA">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2EF6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5C5DEC66">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6BD20281">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23B089B8">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697D80C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cs="Times New Roman"/>
                      <w:strike w:val="0"/>
                      <w:dstrike w:val="0"/>
                      <w:color w:val="auto"/>
                      <w:kern w:val="0"/>
                      <w:sz w:val="21"/>
                      <w:szCs w:val="21"/>
                      <w:highlight w:val="none"/>
                      <w:vertAlign w:val="baseline"/>
                      <w:lang w:val="en-US" w:eastAsia="zh-CN"/>
                    </w:rPr>
                    <w:t>检测项目</w:t>
                  </w:r>
                </w:p>
              </w:tc>
              <w:tc>
                <w:tcPr>
                  <w:tcW w:w="700" w:type="dxa"/>
                  <w:vAlign w:val="center"/>
                </w:tcPr>
                <w:p w14:paraId="1952CBB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锰</w:t>
                  </w:r>
                </w:p>
              </w:tc>
              <w:tc>
                <w:tcPr>
                  <w:tcW w:w="763" w:type="dxa"/>
                  <w:vAlign w:val="center"/>
                </w:tcPr>
                <w:p w14:paraId="5638A871">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溶解性总固体</w:t>
                  </w:r>
                </w:p>
              </w:tc>
              <w:tc>
                <w:tcPr>
                  <w:tcW w:w="775" w:type="dxa"/>
                  <w:vAlign w:val="center"/>
                </w:tcPr>
                <w:p w14:paraId="04D5A17C">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耗氧量</w:t>
                  </w:r>
                </w:p>
              </w:tc>
              <w:tc>
                <w:tcPr>
                  <w:tcW w:w="862" w:type="dxa"/>
                  <w:vAlign w:val="center"/>
                </w:tcPr>
                <w:p w14:paraId="2242540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硫酸盐</w:t>
                  </w:r>
                </w:p>
              </w:tc>
              <w:tc>
                <w:tcPr>
                  <w:tcW w:w="788" w:type="dxa"/>
                  <w:vAlign w:val="center"/>
                </w:tcPr>
                <w:p w14:paraId="1493A71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氯化物</w:t>
                  </w:r>
                </w:p>
              </w:tc>
              <w:tc>
                <w:tcPr>
                  <w:tcW w:w="812" w:type="dxa"/>
                  <w:vAlign w:val="center"/>
                </w:tcPr>
                <w:p w14:paraId="5BD8A4ED">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总大肠菌群</w:t>
                  </w:r>
                </w:p>
              </w:tc>
              <w:tc>
                <w:tcPr>
                  <w:tcW w:w="763" w:type="dxa"/>
                  <w:vAlign w:val="center"/>
                </w:tcPr>
                <w:p w14:paraId="18AE1158">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细菌总数</w:t>
                  </w:r>
                </w:p>
              </w:tc>
            </w:tr>
            <w:tr w14:paraId="1BE5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2C14620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79C5496B">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51F5150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5F36D4FA">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监测值</w:t>
                  </w:r>
                </w:p>
              </w:tc>
              <w:tc>
                <w:tcPr>
                  <w:tcW w:w="700" w:type="dxa"/>
                  <w:vAlign w:val="center"/>
                </w:tcPr>
                <w:p w14:paraId="71DFF8BC">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0.01L</w:t>
                  </w:r>
                </w:p>
              </w:tc>
              <w:tc>
                <w:tcPr>
                  <w:tcW w:w="763" w:type="dxa"/>
                  <w:shd w:val="clear" w:color="auto" w:fill="auto"/>
                  <w:vAlign w:val="center"/>
                </w:tcPr>
                <w:p w14:paraId="401614A5">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cs="Times New Roman"/>
                      <w:strike w:val="0"/>
                      <w:dstrike w:val="0"/>
                      <w:color w:val="auto"/>
                      <w:kern w:val="0"/>
                      <w:sz w:val="21"/>
                      <w:szCs w:val="21"/>
                      <w:highlight w:val="none"/>
                      <w:vertAlign w:val="baseline"/>
                      <w:lang w:val="en-US" w:eastAsia="zh-CN"/>
                    </w:rPr>
                    <w:t>430</w:t>
                  </w:r>
                </w:p>
              </w:tc>
              <w:tc>
                <w:tcPr>
                  <w:tcW w:w="775" w:type="dxa"/>
                  <w:vAlign w:val="center"/>
                </w:tcPr>
                <w:p w14:paraId="13EF0EDD">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1.5</w:t>
                  </w:r>
                </w:p>
              </w:tc>
              <w:tc>
                <w:tcPr>
                  <w:tcW w:w="862" w:type="dxa"/>
                  <w:vAlign w:val="center"/>
                </w:tcPr>
                <w:p w14:paraId="36D4209B">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68.2</w:t>
                  </w:r>
                </w:p>
              </w:tc>
              <w:tc>
                <w:tcPr>
                  <w:tcW w:w="788" w:type="dxa"/>
                  <w:vAlign w:val="center"/>
                </w:tcPr>
                <w:p w14:paraId="7E24910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21.8</w:t>
                  </w:r>
                </w:p>
              </w:tc>
              <w:tc>
                <w:tcPr>
                  <w:tcW w:w="812" w:type="dxa"/>
                  <w:vAlign w:val="center"/>
                </w:tcPr>
                <w:p w14:paraId="5BF1C7A6">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10</w:t>
                  </w:r>
                </w:p>
              </w:tc>
              <w:tc>
                <w:tcPr>
                  <w:tcW w:w="763" w:type="dxa"/>
                  <w:vAlign w:val="center"/>
                </w:tcPr>
                <w:p w14:paraId="4DE97168">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20</w:t>
                  </w:r>
                </w:p>
              </w:tc>
            </w:tr>
            <w:tr w14:paraId="524C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4197F012">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490EC629">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7DDEC39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2BC3629C">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lang w:val="en-US" w:eastAsia="zh-CN"/>
                    </w:rPr>
                    <w:t>标准值</w:t>
                  </w:r>
                </w:p>
              </w:tc>
              <w:tc>
                <w:tcPr>
                  <w:tcW w:w="700" w:type="dxa"/>
                  <w:shd w:val="clear" w:color="auto" w:fill="auto"/>
                  <w:vAlign w:val="center"/>
                </w:tcPr>
                <w:p w14:paraId="741D7DD7">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≤0.1</w:t>
                  </w:r>
                </w:p>
              </w:tc>
              <w:tc>
                <w:tcPr>
                  <w:tcW w:w="763" w:type="dxa"/>
                  <w:shd w:val="clear" w:color="auto" w:fill="auto"/>
                  <w:vAlign w:val="center"/>
                </w:tcPr>
                <w:p w14:paraId="360B53AC">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≤1000</w:t>
                  </w:r>
                </w:p>
              </w:tc>
              <w:tc>
                <w:tcPr>
                  <w:tcW w:w="775" w:type="dxa"/>
                  <w:vAlign w:val="center"/>
                </w:tcPr>
                <w:p w14:paraId="36B102B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strike w:val="0"/>
                      <w:dstrike w:val="0"/>
                      <w:snapToGrid/>
                      <w:color w:val="auto"/>
                      <w:sz w:val="21"/>
                      <w:szCs w:val="21"/>
                      <w:highlight w:val="none"/>
                    </w:rPr>
                    <w:t>≤</w:t>
                  </w:r>
                  <w:r>
                    <w:rPr>
                      <w:rFonts w:hint="default" w:ascii="Times New Roman" w:hAnsi="Times New Roman" w:eastAsia="宋体" w:cs="Times New Roman"/>
                      <w:strike w:val="0"/>
                      <w:dstrike w:val="0"/>
                      <w:snapToGrid/>
                      <w:color w:val="auto"/>
                      <w:sz w:val="21"/>
                      <w:szCs w:val="21"/>
                      <w:highlight w:val="none"/>
                      <w:lang w:val="en-US" w:eastAsia="zh-CN"/>
                    </w:rPr>
                    <w:t>3.0</w:t>
                  </w:r>
                </w:p>
              </w:tc>
              <w:tc>
                <w:tcPr>
                  <w:tcW w:w="862" w:type="dxa"/>
                  <w:shd w:val="clear" w:color="auto" w:fill="auto"/>
                  <w:vAlign w:val="center"/>
                </w:tcPr>
                <w:p w14:paraId="3CBE991A">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≤250</w:t>
                  </w:r>
                </w:p>
              </w:tc>
              <w:tc>
                <w:tcPr>
                  <w:tcW w:w="788" w:type="dxa"/>
                  <w:shd w:val="clear" w:color="auto" w:fill="auto"/>
                  <w:vAlign w:val="center"/>
                </w:tcPr>
                <w:p w14:paraId="1CACC983">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≤250</w:t>
                  </w:r>
                </w:p>
              </w:tc>
              <w:tc>
                <w:tcPr>
                  <w:tcW w:w="812" w:type="dxa"/>
                  <w:shd w:val="clear" w:color="auto" w:fill="auto"/>
                  <w:vAlign w:val="center"/>
                </w:tcPr>
                <w:p w14:paraId="6E864C82">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≤3MPN/100ml</w:t>
                  </w:r>
                </w:p>
              </w:tc>
              <w:tc>
                <w:tcPr>
                  <w:tcW w:w="763" w:type="dxa"/>
                  <w:shd w:val="clear" w:color="auto" w:fill="auto"/>
                  <w:vAlign w:val="center"/>
                </w:tcPr>
                <w:p w14:paraId="789363D5">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≤100CFU/mL</w:t>
                  </w:r>
                </w:p>
              </w:tc>
            </w:tr>
            <w:tr w14:paraId="4125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3BBD1AF6">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460BD832">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5F453CD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31805EA1">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Pi值</w:t>
                  </w:r>
                </w:p>
              </w:tc>
              <w:tc>
                <w:tcPr>
                  <w:tcW w:w="700" w:type="dxa"/>
                  <w:vAlign w:val="center"/>
                </w:tcPr>
                <w:p w14:paraId="631F92B4">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63" w:type="dxa"/>
                  <w:vAlign w:val="center"/>
                </w:tcPr>
                <w:p w14:paraId="5BA9EE9A">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0.430 </w:t>
                  </w:r>
                </w:p>
              </w:tc>
              <w:tc>
                <w:tcPr>
                  <w:tcW w:w="775" w:type="dxa"/>
                  <w:vAlign w:val="center"/>
                </w:tcPr>
                <w:p w14:paraId="7738AE7F">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0.500 </w:t>
                  </w:r>
                </w:p>
              </w:tc>
              <w:tc>
                <w:tcPr>
                  <w:tcW w:w="862" w:type="dxa"/>
                  <w:vAlign w:val="center"/>
                </w:tcPr>
                <w:p w14:paraId="20002FD9">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0.273 </w:t>
                  </w:r>
                </w:p>
              </w:tc>
              <w:tc>
                <w:tcPr>
                  <w:tcW w:w="788" w:type="dxa"/>
                  <w:vAlign w:val="center"/>
                </w:tcPr>
                <w:p w14:paraId="4F125BE5">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0.087 </w:t>
                  </w:r>
                </w:p>
              </w:tc>
              <w:tc>
                <w:tcPr>
                  <w:tcW w:w="812" w:type="dxa"/>
                  <w:vAlign w:val="center"/>
                </w:tcPr>
                <w:p w14:paraId="432B5B07">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0.333 </w:t>
                  </w:r>
                </w:p>
              </w:tc>
              <w:tc>
                <w:tcPr>
                  <w:tcW w:w="763" w:type="dxa"/>
                  <w:vAlign w:val="center"/>
                </w:tcPr>
                <w:p w14:paraId="0618A0DC">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0.200 </w:t>
                  </w:r>
                </w:p>
              </w:tc>
            </w:tr>
            <w:tr w14:paraId="4330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1D3BFE6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3DD0EFDE">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5C24A6FF">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6A8E5F7D">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cs="Times New Roman"/>
                      <w:strike w:val="0"/>
                      <w:dstrike w:val="0"/>
                      <w:color w:val="auto"/>
                      <w:kern w:val="0"/>
                      <w:sz w:val="21"/>
                      <w:szCs w:val="21"/>
                      <w:highlight w:val="none"/>
                      <w:vertAlign w:val="baseline"/>
                      <w:lang w:val="en-US" w:eastAsia="zh-CN"/>
                    </w:rPr>
                    <w:t>检测项目</w:t>
                  </w:r>
                </w:p>
              </w:tc>
              <w:tc>
                <w:tcPr>
                  <w:tcW w:w="700" w:type="dxa"/>
                  <w:vAlign w:val="center"/>
                </w:tcPr>
                <w:p w14:paraId="7BF3CFC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镍</w:t>
                  </w:r>
                </w:p>
              </w:tc>
              <w:tc>
                <w:tcPr>
                  <w:tcW w:w="763" w:type="dxa"/>
                  <w:vAlign w:val="center"/>
                </w:tcPr>
                <w:p w14:paraId="755B893E">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石油类</w:t>
                  </w:r>
                </w:p>
              </w:tc>
              <w:tc>
                <w:tcPr>
                  <w:tcW w:w="775" w:type="dxa"/>
                  <w:vAlign w:val="center"/>
                </w:tcPr>
                <w:p w14:paraId="2004D35C">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862" w:type="dxa"/>
                  <w:vAlign w:val="center"/>
                </w:tcPr>
                <w:p w14:paraId="39B04AAD">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88" w:type="dxa"/>
                  <w:vAlign w:val="center"/>
                </w:tcPr>
                <w:p w14:paraId="2C0B4659">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812" w:type="dxa"/>
                  <w:vAlign w:val="center"/>
                </w:tcPr>
                <w:p w14:paraId="0F2F8C5B">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63" w:type="dxa"/>
                  <w:vAlign w:val="center"/>
                </w:tcPr>
                <w:p w14:paraId="461ACAC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r>
            <w:tr w14:paraId="0D38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501AEB9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0209A019">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51965CD8">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300DEDB6">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监测值</w:t>
                  </w:r>
                </w:p>
              </w:tc>
              <w:tc>
                <w:tcPr>
                  <w:tcW w:w="700" w:type="dxa"/>
                  <w:vAlign w:val="center"/>
                </w:tcPr>
                <w:p w14:paraId="62D6C4D5">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0.007L</w:t>
                  </w:r>
                </w:p>
              </w:tc>
              <w:tc>
                <w:tcPr>
                  <w:tcW w:w="763" w:type="dxa"/>
                  <w:vAlign w:val="center"/>
                </w:tcPr>
                <w:p w14:paraId="58B542B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0.01L</w:t>
                  </w:r>
                </w:p>
              </w:tc>
              <w:tc>
                <w:tcPr>
                  <w:tcW w:w="775" w:type="dxa"/>
                  <w:vAlign w:val="center"/>
                </w:tcPr>
                <w:p w14:paraId="76A2EC6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862" w:type="dxa"/>
                  <w:vAlign w:val="center"/>
                </w:tcPr>
                <w:p w14:paraId="4B8EA465">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88" w:type="dxa"/>
                  <w:vAlign w:val="center"/>
                </w:tcPr>
                <w:p w14:paraId="770EB0E9">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812" w:type="dxa"/>
                  <w:vAlign w:val="center"/>
                </w:tcPr>
                <w:p w14:paraId="752D77C8">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63" w:type="dxa"/>
                  <w:vAlign w:val="center"/>
                </w:tcPr>
                <w:p w14:paraId="4D72774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r>
            <w:tr w14:paraId="4713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3C9CD1A3">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77DA8DE5">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114BE166">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6A69F60B">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lang w:val="en-US" w:eastAsia="zh-CN"/>
                    </w:rPr>
                    <w:t>标准值</w:t>
                  </w:r>
                </w:p>
              </w:tc>
              <w:tc>
                <w:tcPr>
                  <w:tcW w:w="700" w:type="dxa"/>
                  <w:shd w:val="clear" w:color="auto" w:fill="auto"/>
                  <w:vAlign w:val="center"/>
                </w:tcPr>
                <w:p w14:paraId="1097E242">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≤0.02</w:t>
                  </w:r>
                </w:p>
              </w:tc>
              <w:tc>
                <w:tcPr>
                  <w:tcW w:w="763" w:type="dxa"/>
                  <w:vAlign w:val="center"/>
                </w:tcPr>
                <w:p w14:paraId="221A55E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w:t>
                  </w:r>
                </w:p>
              </w:tc>
              <w:tc>
                <w:tcPr>
                  <w:tcW w:w="775" w:type="dxa"/>
                  <w:vAlign w:val="center"/>
                </w:tcPr>
                <w:p w14:paraId="35521999">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862" w:type="dxa"/>
                  <w:vAlign w:val="center"/>
                </w:tcPr>
                <w:p w14:paraId="45E5F3C2">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88" w:type="dxa"/>
                  <w:vAlign w:val="center"/>
                </w:tcPr>
                <w:p w14:paraId="15BA2C7D">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812" w:type="dxa"/>
                  <w:vAlign w:val="center"/>
                </w:tcPr>
                <w:p w14:paraId="1DF801CC">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63" w:type="dxa"/>
                  <w:vAlign w:val="center"/>
                </w:tcPr>
                <w:p w14:paraId="5F3E96E1">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r>
            <w:tr w14:paraId="509F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vAlign w:val="center"/>
                </w:tcPr>
                <w:p w14:paraId="5C5685C3">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13" w:type="dxa"/>
                  <w:vMerge w:val="continue"/>
                  <w:vAlign w:val="center"/>
                </w:tcPr>
                <w:p w14:paraId="7737CB20">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62" w:type="dxa"/>
                  <w:vMerge w:val="continue"/>
                  <w:vAlign w:val="center"/>
                </w:tcPr>
                <w:p w14:paraId="2801625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650" w:type="dxa"/>
                  <w:shd w:val="clear" w:color="auto" w:fill="auto"/>
                  <w:vAlign w:val="center"/>
                </w:tcPr>
                <w:p w14:paraId="3DAA1756">
                  <w:pPr>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snapToGrid/>
                      <w:color w:val="auto"/>
                      <w:kern w:val="2"/>
                      <w:sz w:val="21"/>
                      <w:szCs w:val="21"/>
                      <w:highlight w:val="none"/>
                      <w:lang w:val="en-US" w:eastAsia="zh-CN" w:bidi="ar-SA"/>
                    </w:rPr>
                  </w:pPr>
                  <w:r>
                    <w:rPr>
                      <w:rFonts w:hint="default" w:ascii="Times New Roman" w:hAnsi="Times New Roman" w:eastAsia="宋体" w:cs="Times New Roman"/>
                      <w:strike w:val="0"/>
                      <w:dstrike w:val="0"/>
                      <w:snapToGrid/>
                      <w:color w:val="auto"/>
                      <w:sz w:val="21"/>
                      <w:szCs w:val="21"/>
                      <w:highlight w:val="none"/>
                    </w:rPr>
                    <w:t>Pi值</w:t>
                  </w:r>
                </w:p>
              </w:tc>
              <w:tc>
                <w:tcPr>
                  <w:tcW w:w="700" w:type="dxa"/>
                  <w:vAlign w:val="center"/>
                </w:tcPr>
                <w:p w14:paraId="7E657C86">
                  <w:pPr>
                    <w:keepNext w:val="0"/>
                    <w:keepLines w:val="0"/>
                    <w:widowControl/>
                    <w:suppressLineNumbers w:val="0"/>
                    <w:jc w:val="center"/>
                    <w:textAlignment w:val="center"/>
                    <w:rPr>
                      <w:rFonts w:hint="default" w:ascii="Times New Roman" w:hAnsi="Times New Roman" w:cs="Times New Roman"/>
                      <w:strike w:val="0"/>
                      <w:dstrike w:val="0"/>
                      <w:color w:val="auto"/>
                      <w:kern w:val="0"/>
                      <w:sz w:val="21"/>
                      <w:szCs w:val="21"/>
                      <w:highlight w:val="none"/>
                      <w:vertAlign w:val="baseli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63" w:type="dxa"/>
                  <w:vAlign w:val="center"/>
                </w:tcPr>
                <w:p w14:paraId="506FAABA">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75" w:type="dxa"/>
                  <w:vAlign w:val="center"/>
                </w:tcPr>
                <w:p w14:paraId="5572D142">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862" w:type="dxa"/>
                  <w:vAlign w:val="center"/>
                </w:tcPr>
                <w:p w14:paraId="65DB019D">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88" w:type="dxa"/>
                  <w:vAlign w:val="center"/>
                </w:tcPr>
                <w:p w14:paraId="46D312F4">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812" w:type="dxa"/>
                  <w:vAlign w:val="center"/>
                </w:tcPr>
                <w:p w14:paraId="7884D9A5">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c>
                <w:tcPr>
                  <w:tcW w:w="763" w:type="dxa"/>
                  <w:vAlign w:val="center"/>
                </w:tcPr>
                <w:p w14:paraId="5AD53127">
                  <w:pPr>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trike w:val="0"/>
                      <w:dstrike w:val="0"/>
                      <w:color w:val="auto"/>
                      <w:kern w:val="0"/>
                      <w:sz w:val="21"/>
                      <w:szCs w:val="21"/>
                      <w:highlight w:val="none"/>
                      <w:vertAlign w:val="baseline"/>
                    </w:rPr>
                  </w:pPr>
                </w:p>
              </w:tc>
            </w:tr>
            <w:tr w14:paraId="3200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5" w:type="dxa"/>
                  <w:gridSpan w:val="11"/>
                  <w:vAlign w:val="center"/>
                </w:tcPr>
                <w:p w14:paraId="7E69CBFF">
                  <w:pPr>
                    <w:keepLines w:val="0"/>
                    <w:pageBreakBefore w:val="0"/>
                    <w:kinsoku/>
                    <w:wordWrap/>
                    <w:overflowPunct/>
                    <w:topLinePunct w:val="0"/>
                    <w:autoSpaceDE/>
                    <w:autoSpaceDN/>
                    <w:bidi w:val="0"/>
                    <w:adjustRightInd/>
                    <w:spacing w:line="240" w:lineRule="auto"/>
                    <w:jc w:val="left"/>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rPr>
                  </w:pPr>
                  <w:r>
                    <w:rPr>
                      <w:rFonts w:hint="default" w:ascii="Times New Roman" w:hAnsi="Times New Roman" w:cs="Times New Roman"/>
                      <w:strike w:val="0"/>
                      <w:dstrike w:val="0"/>
                      <w:color w:val="auto"/>
                      <w:kern w:val="0"/>
                      <w:sz w:val="21"/>
                      <w:szCs w:val="21"/>
                      <w:highlight w:val="none"/>
                      <w:vertAlign w:val="baseline"/>
                      <w:lang w:val="en-US" w:eastAsia="zh-CN"/>
                    </w:rPr>
                    <w:t>备注：带“L”的检测结果表示未检出，</w:t>
                  </w:r>
                </w:p>
              </w:tc>
            </w:tr>
          </w:tbl>
          <w:p w14:paraId="628AF479">
            <w:pPr>
              <w:pStyle w:val="8"/>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eastAsia="zh-CN"/>
              </w:rPr>
            </w:pPr>
            <w:r>
              <w:rPr>
                <w:rFonts w:hint="default" w:ascii="Times New Roman" w:hAnsi="Times New Roman" w:cs="Times New Roman"/>
                <w:b w:val="0"/>
                <w:bCs/>
                <w:strike w:val="0"/>
                <w:dstrike w:val="0"/>
                <w:color w:val="auto"/>
                <w:sz w:val="24"/>
                <w:szCs w:val="24"/>
                <w:highlight w:val="none"/>
              </w:rPr>
              <w:t>由上表分析可知，各项</w:t>
            </w:r>
            <w:r>
              <w:rPr>
                <w:rFonts w:hint="eastAsia" w:ascii="Times New Roman" w:hAnsi="Times New Roman" w:cs="Times New Roman"/>
                <w:b w:val="0"/>
                <w:bCs/>
                <w:strike w:val="0"/>
                <w:dstrike w:val="0"/>
                <w:color w:val="auto"/>
                <w:sz w:val="24"/>
                <w:szCs w:val="24"/>
                <w:highlight w:val="none"/>
                <w:lang w:val="en-US" w:eastAsia="zh-CN"/>
              </w:rPr>
              <w:t>地下水</w:t>
            </w:r>
            <w:r>
              <w:rPr>
                <w:rFonts w:hint="default" w:ascii="Times New Roman" w:hAnsi="Times New Roman" w:cs="Times New Roman"/>
                <w:b w:val="0"/>
                <w:bCs/>
                <w:strike w:val="0"/>
                <w:dstrike w:val="0"/>
                <w:color w:val="auto"/>
                <w:sz w:val="24"/>
                <w:szCs w:val="24"/>
                <w:highlight w:val="none"/>
              </w:rPr>
              <w:t>监测因子均满足《地下水质量标准》（GB/T14848-2017）中Ⅲ类标准</w:t>
            </w:r>
            <w:r>
              <w:rPr>
                <w:rFonts w:hint="default" w:ascii="Times New Roman" w:hAnsi="Times New Roman" w:cs="Times New Roman"/>
                <w:b w:val="0"/>
                <w:bCs/>
                <w:strike w:val="0"/>
                <w:dstrike w:val="0"/>
                <w:color w:val="auto"/>
                <w:sz w:val="24"/>
                <w:szCs w:val="24"/>
                <w:highlight w:val="none"/>
                <w:lang w:eastAsia="zh-CN"/>
              </w:rPr>
              <w:t>。</w:t>
            </w:r>
          </w:p>
          <w:p w14:paraId="2C228982">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3.1.7土壤</w:t>
            </w:r>
          </w:p>
          <w:p w14:paraId="35F92DAD">
            <w:pPr>
              <w:pStyle w:val="17"/>
              <w:spacing w:after="0" w:line="460" w:lineRule="exact"/>
              <w:ind w:firstLine="480" w:firstLineChars="200"/>
              <w:rPr>
                <w:strike w:val="0"/>
                <w:dstrike w:val="0"/>
                <w:color w:val="auto"/>
                <w:sz w:val="24"/>
                <w:highlight w:val="none"/>
              </w:rPr>
            </w:pPr>
            <w:r>
              <w:rPr>
                <w:strike w:val="0"/>
                <w:dstrike w:val="0"/>
                <w:color w:val="auto"/>
                <w:sz w:val="24"/>
                <w:highlight w:val="none"/>
              </w:rPr>
              <w:t>根据《环境影响评价技术导则土壤环境（试行）》（HJ964-2018）附录A中表A.1土壤环境影响评价项目类别，本项目类别为加油站，属于Ⅲ类项目。同时，项目周边存在耕地等土壤环境敏感目标；因此，本项目需开展土壤环境影响评价。为了解项目所在区域土壤环境质量现状，项目对土壤环境质量现状进行调查以留作背景值。</w:t>
            </w:r>
          </w:p>
          <w:p w14:paraId="3DCB6B7E">
            <w:pPr>
              <w:pStyle w:val="17"/>
              <w:spacing w:after="0" w:line="460" w:lineRule="exact"/>
              <w:ind w:firstLine="480" w:firstLineChars="200"/>
              <w:rPr>
                <w:strike w:val="0"/>
                <w:dstrike w:val="0"/>
                <w:color w:val="auto"/>
                <w:sz w:val="24"/>
                <w:highlight w:val="none"/>
              </w:rPr>
            </w:pPr>
            <w:r>
              <w:rPr>
                <w:strike w:val="0"/>
                <w:dstrike w:val="0"/>
                <w:color w:val="auto"/>
                <w:sz w:val="24"/>
                <w:highlight w:val="none"/>
              </w:rPr>
              <w:t>为了解本项目所在区域土壤环境质量现状，本次评价引用重庆国环环境监测有限公司于2024年9月11日对厂区内西北侧-拟建储油罐区域（S1）和厂区外西北侧--农用地区域（S2）监测数据进行评价。</w:t>
            </w:r>
          </w:p>
          <w:p w14:paraId="769A955B">
            <w:pPr>
              <w:pStyle w:val="17"/>
              <w:spacing w:after="0" w:line="460" w:lineRule="exact"/>
              <w:ind w:firstLine="480" w:firstLineChars="200"/>
              <w:rPr>
                <w:strike w:val="0"/>
                <w:dstrike w:val="0"/>
                <w:color w:val="auto"/>
                <w:sz w:val="24"/>
                <w:highlight w:val="none"/>
              </w:rPr>
            </w:pPr>
            <w:r>
              <w:rPr>
                <w:strike w:val="0"/>
                <w:dstrike w:val="0"/>
                <w:color w:val="auto"/>
                <w:sz w:val="24"/>
                <w:highlight w:val="none"/>
              </w:rPr>
              <w:t>项目所在区域土壤环境质量监测结果详见下表。</w:t>
            </w:r>
          </w:p>
          <w:p w14:paraId="23ED9CBC">
            <w:pPr>
              <w:pStyle w:val="69"/>
              <w:spacing w:line="360" w:lineRule="auto"/>
              <w:ind w:firstLine="0" w:firstLineChars="0"/>
              <w:jc w:val="center"/>
              <w:rPr>
                <w:b/>
                <w:bCs w:val="0"/>
                <w:strike w:val="0"/>
                <w:dstrike w:val="0"/>
                <w:color w:val="auto"/>
                <w:szCs w:val="24"/>
                <w:highlight w:val="none"/>
              </w:rPr>
            </w:pPr>
            <w:r>
              <w:rPr>
                <w:b/>
                <w:bCs w:val="0"/>
                <w:strike w:val="0"/>
                <w:dstrike w:val="0"/>
                <w:color w:val="auto"/>
                <w:szCs w:val="24"/>
                <w:highlight w:val="none"/>
              </w:rPr>
              <w:t>表3.1-</w:t>
            </w:r>
            <w:r>
              <w:rPr>
                <w:rFonts w:hint="eastAsia"/>
                <w:b/>
                <w:bCs w:val="0"/>
                <w:strike w:val="0"/>
                <w:dstrike w:val="0"/>
                <w:color w:val="auto"/>
                <w:szCs w:val="24"/>
                <w:highlight w:val="none"/>
                <w:lang w:val="en-US" w:eastAsia="zh-CN"/>
              </w:rPr>
              <w:t>5</w:t>
            </w:r>
            <w:r>
              <w:rPr>
                <w:b/>
                <w:bCs w:val="0"/>
                <w:strike w:val="0"/>
                <w:dstrike w:val="0"/>
                <w:color w:val="auto"/>
                <w:szCs w:val="24"/>
                <w:highlight w:val="none"/>
              </w:rPr>
              <w:t xml:space="preserve">  土壤环境质量监测结果统计表 </w:t>
            </w:r>
            <w:r>
              <w:rPr>
                <w:b/>
                <w:bCs w:val="0"/>
                <w:strike w:val="0"/>
                <w:dstrike w:val="0"/>
                <w:color w:val="auto"/>
                <w:highlight w:val="none"/>
              </w:rPr>
              <w:t>单位：mg/kg（pH无量纲）</w:t>
            </w:r>
          </w:p>
          <w:tbl>
            <w:tblPr>
              <w:tblStyle w:val="23"/>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243"/>
              <w:gridCol w:w="2343"/>
              <w:gridCol w:w="1107"/>
              <w:gridCol w:w="1431"/>
              <w:gridCol w:w="823"/>
            </w:tblGrid>
            <w:tr w14:paraId="596D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shd w:val="clear" w:color="auto" w:fill="auto"/>
                  <w:vAlign w:val="center"/>
                </w:tcPr>
                <w:p w14:paraId="7D3E9BDC">
                  <w:pPr>
                    <w:pStyle w:val="69"/>
                    <w:spacing w:line="240" w:lineRule="auto"/>
                    <w:ind w:firstLine="0" w:firstLineChars="0"/>
                    <w:jc w:val="center"/>
                    <w:rPr>
                      <w:b/>
                      <w:bCs w:val="0"/>
                      <w:strike w:val="0"/>
                      <w:dstrike w:val="0"/>
                      <w:color w:val="auto"/>
                      <w:sz w:val="21"/>
                      <w:szCs w:val="21"/>
                      <w:highlight w:val="none"/>
                    </w:rPr>
                  </w:pPr>
                  <w:r>
                    <w:rPr>
                      <w:b/>
                      <w:bCs w:val="0"/>
                      <w:strike w:val="0"/>
                      <w:dstrike w:val="0"/>
                      <w:color w:val="auto"/>
                      <w:sz w:val="21"/>
                      <w:szCs w:val="21"/>
                      <w:highlight w:val="none"/>
                    </w:rPr>
                    <w:t>监测点位</w:t>
                  </w:r>
                </w:p>
              </w:tc>
              <w:tc>
                <w:tcPr>
                  <w:tcW w:w="1243" w:type="dxa"/>
                  <w:shd w:val="clear" w:color="auto" w:fill="auto"/>
                  <w:vAlign w:val="center"/>
                </w:tcPr>
                <w:p w14:paraId="609D2135">
                  <w:pPr>
                    <w:pStyle w:val="69"/>
                    <w:spacing w:line="240" w:lineRule="auto"/>
                    <w:ind w:firstLine="0" w:firstLineChars="0"/>
                    <w:jc w:val="center"/>
                    <w:rPr>
                      <w:b/>
                      <w:bCs w:val="0"/>
                      <w:strike w:val="0"/>
                      <w:dstrike w:val="0"/>
                      <w:color w:val="auto"/>
                      <w:sz w:val="21"/>
                      <w:szCs w:val="21"/>
                      <w:highlight w:val="none"/>
                    </w:rPr>
                  </w:pPr>
                  <w:r>
                    <w:rPr>
                      <w:b/>
                      <w:bCs w:val="0"/>
                      <w:strike w:val="0"/>
                      <w:dstrike w:val="0"/>
                      <w:color w:val="auto"/>
                      <w:sz w:val="21"/>
                      <w:szCs w:val="21"/>
                      <w:highlight w:val="none"/>
                    </w:rPr>
                    <w:t>监测时间</w:t>
                  </w:r>
                </w:p>
              </w:tc>
              <w:tc>
                <w:tcPr>
                  <w:tcW w:w="2343" w:type="dxa"/>
                  <w:shd w:val="clear" w:color="auto" w:fill="auto"/>
                  <w:vAlign w:val="center"/>
                </w:tcPr>
                <w:p w14:paraId="41EF2981">
                  <w:pPr>
                    <w:pStyle w:val="69"/>
                    <w:spacing w:line="240" w:lineRule="auto"/>
                    <w:ind w:firstLine="0" w:firstLineChars="0"/>
                    <w:jc w:val="center"/>
                    <w:rPr>
                      <w:b/>
                      <w:bCs w:val="0"/>
                      <w:strike w:val="0"/>
                      <w:dstrike w:val="0"/>
                      <w:color w:val="auto"/>
                      <w:sz w:val="21"/>
                      <w:szCs w:val="21"/>
                      <w:highlight w:val="none"/>
                    </w:rPr>
                  </w:pPr>
                  <w:r>
                    <w:rPr>
                      <w:b/>
                      <w:bCs w:val="0"/>
                      <w:strike w:val="0"/>
                      <w:dstrike w:val="0"/>
                      <w:color w:val="auto"/>
                      <w:sz w:val="21"/>
                      <w:szCs w:val="21"/>
                      <w:highlight w:val="none"/>
                    </w:rPr>
                    <w:t>监测因子</w:t>
                  </w:r>
                </w:p>
              </w:tc>
              <w:tc>
                <w:tcPr>
                  <w:tcW w:w="1107" w:type="dxa"/>
                  <w:shd w:val="clear" w:color="auto" w:fill="auto"/>
                  <w:vAlign w:val="center"/>
                </w:tcPr>
                <w:p w14:paraId="54DA19DD">
                  <w:pPr>
                    <w:pStyle w:val="69"/>
                    <w:spacing w:line="240" w:lineRule="auto"/>
                    <w:ind w:firstLine="0" w:firstLineChars="0"/>
                    <w:jc w:val="center"/>
                    <w:rPr>
                      <w:b/>
                      <w:bCs w:val="0"/>
                      <w:strike w:val="0"/>
                      <w:dstrike w:val="0"/>
                      <w:color w:val="auto"/>
                      <w:sz w:val="21"/>
                      <w:szCs w:val="21"/>
                      <w:highlight w:val="none"/>
                    </w:rPr>
                  </w:pPr>
                  <w:r>
                    <w:rPr>
                      <w:b/>
                      <w:bCs w:val="0"/>
                      <w:strike w:val="0"/>
                      <w:dstrike w:val="0"/>
                      <w:color w:val="auto"/>
                      <w:sz w:val="21"/>
                      <w:szCs w:val="21"/>
                      <w:highlight w:val="none"/>
                    </w:rPr>
                    <w:t>测量值</w:t>
                  </w:r>
                </w:p>
              </w:tc>
              <w:tc>
                <w:tcPr>
                  <w:tcW w:w="1431" w:type="dxa"/>
                  <w:shd w:val="clear" w:color="auto" w:fill="auto"/>
                  <w:vAlign w:val="center"/>
                </w:tcPr>
                <w:p w14:paraId="1079D963">
                  <w:pPr>
                    <w:pStyle w:val="69"/>
                    <w:spacing w:line="240" w:lineRule="auto"/>
                    <w:ind w:firstLine="0" w:firstLineChars="0"/>
                    <w:jc w:val="center"/>
                    <w:rPr>
                      <w:b/>
                      <w:bCs w:val="0"/>
                      <w:strike w:val="0"/>
                      <w:dstrike w:val="0"/>
                      <w:color w:val="auto"/>
                      <w:sz w:val="21"/>
                      <w:szCs w:val="21"/>
                      <w:highlight w:val="none"/>
                    </w:rPr>
                  </w:pPr>
                  <w:r>
                    <w:rPr>
                      <w:b/>
                      <w:bCs w:val="0"/>
                      <w:strike w:val="0"/>
                      <w:dstrike w:val="0"/>
                      <w:color w:val="auto"/>
                      <w:sz w:val="21"/>
                      <w:szCs w:val="21"/>
                      <w:highlight w:val="none"/>
                    </w:rPr>
                    <w:t>评价标准限值</w:t>
                  </w:r>
                </w:p>
              </w:tc>
              <w:tc>
                <w:tcPr>
                  <w:tcW w:w="823" w:type="dxa"/>
                  <w:shd w:val="clear" w:color="auto" w:fill="auto"/>
                  <w:vAlign w:val="center"/>
                </w:tcPr>
                <w:p w14:paraId="5AD9AF9C">
                  <w:pPr>
                    <w:pStyle w:val="69"/>
                    <w:spacing w:line="240" w:lineRule="auto"/>
                    <w:ind w:firstLine="0" w:firstLineChars="0"/>
                    <w:jc w:val="center"/>
                    <w:rPr>
                      <w:b/>
                      <w:bCs w:val="0"/>
                      <w:strike w:val="0"/>
                      <w:dstrike w:val="0"/>
                      <w:color w:val="auto"/>
                      <w:sz w:val="21"/>
                      <w:szCs w:val="21"/>
                      <w:highlight w:val="none"/>
                    </w:rPr>
                  </w:pPr>
                  <w:r>
                    <w:rPr>
                      <w:b/>
                      <w:bCs w:val="0"/>
                      <w:strike w:val="0"/>
                      <w:dstrike w:val="0"/>
                      <w:color w:val="auto"/>
                      <w:sz w:val="21"/>
                      <w:szCs w:val="21"/>
                      <w:highlight w:val="none"/>
                    </w:rPr>
                    <w:t>Pi</w:t>
                  </w:r>
                </w:p>
              </w:tc>
            </w:tr>
            <w:tr w14:paraId="2BC9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restart"/>
                  <w:vAlign w:val="center"/>
                </w:tcPr>
                <w:p w14:paraId="2E3AC158">
                  <w:pPr>
                    <w:adjustRightInd w:val="0"/>
                    <w:snapToGrid w:val="0"/>
                    <w:jc w:val="center"/>
                    <w:rPr>
                      <w:strike w:val="0"/>
                      <w:dstrike w:val="0"/>
                      <w:color w:val="auto"/>
                      <w:kern w:val="0"/>
                      <w:szCs w:val="21"/>
                      <w:highlight w:val="none"/>
                    </w:rPr>
                  </w:pPr>
                  <w:r>
                    <w:rPr>
                      <w:strike w:val="0"/>
                      <w:dstrike w:val="0"/>
                      <w:color w:val="auto"/>
                      <w:szCs w:val="21"/>
                      <w:highlight w:val="none"/>
                    </w:rPr>
                    <w:t>厂区内西北侧-拟建储油罐区域（S1）</w:t>
                  </w:r>
                </w:p>
              </w:tc>
              <w:tc>
                <w:tcPr>
                  <w:tcW w:w="1243" w:type="dxa"/>
                  <w:vMerge w:val="restart"/>
                  <w:shd w:val="clear" w:color="auto" w:fill="auto"/>
                  <w:vAlign w:val="center"/>
                </w:tcPr>
                <w:p w14:paraId="135319F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2024年9月11日</w:t>
                  </w:r>
                </w:p>
              </w:tc>
              <w:tc>
                <w:tcPr>
                  <w:tcW w:w="2343" w:type="dxa"/>
                  <w:shd w:val="clear" w:color="auto" w:fill="auto"/>
                  <w:vAlign w:val="center"/>
                </w:tcPr>
                <w:p w14:paraId="7712623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砷*</w:t>
                  </w:r>
                </w:p>
              </w:tc>
              <w:tc>
                <w:tcPr>
                  <w:tcW w:w="1107" w:type="dxa"/>
                  <w:shd w:val="clear" w:color="auto" w:fill="auto"/>
                  <w:vAlign w:val="center"/>
                </w:tcPr>
                <w:p w14:paraId="686F15D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3.42</w:t>
                  </w:r>
                </w:p>
              </w:tc>
              <w:tc>
                <w:tcPr>
                  <w:tcW w:w="1431" w:type="dxa"/>
                  <w:vAlign w:val="center"/>
                </w:tcPr>
                <w:p w14:paraId="6F4C42D3">
                  <w:pPr>
                    <w:adjustRightInd w:val="0"/>
                    <w:snapToGrid w:val="0"/>
                    <w:jc w:val="center"/>
                    <w:rPr>
                      <w:strike w:val="0"/>
                      <w:dstrike w:val="0"/>
                      <w:color w:val="auto"/>
                      <w:kern w:val="0"/>
                      <w:szCs w:val="21"/>
                      <w:highlight w:val="none"/>
                    </w:rPr>
                  </w:pPr>
                  <w:r>
                    <w:rPr>
                      <w:strike w:val="0"/>
                      <w:dstrike w:val="0"/>
                      <w:color w:val="auto"/>
                      <w:kern w:val="0"/>
                      <w:szCs w:val="21"/>
                      <w:highlight w:val="none"/>
                    </w:rPr>
                    <w:t>60</w:t>
                  </w:r>
                </w:p>
              </w:tc>
              <w:tc>
                <w:tcPr>
                  <w:tcW w:w="823" w:type="dxa"/>
                  <w:vAlign w:val="center"/>
                </w:tcPr>
                <w:p w14:paraId="3E8E914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0.057</w:t>
                  </w:r>
                </w:p>
              </w:tc>
            </w:tr>
            <w:tr w14:paraId="5E67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3217440C">
                  <w:pPr>
                    <w:adjustRightInd w:val="0"/>
                    <w:snapToGrid w:val="0"/>
                    <w:jc w:val="center"/>
                    <w:rPr>
                      <w:strike w:val="0"/>
                      <w:dstrike w:val="0"/>
                      <w:color w:val="auto"/>
                      <w:kern w:val="0"/>
                      <w:szCs w:val="21"/>
                      <w:highlight w:val="none"/>
                    </w:rPr>
                  </w:pPr>
                </w:p>
              </w:tc>
              <w:tc>
                <w:tcPr>
                  <w:tcW w:w="1243" w:type="dxa"/>
                  <w:vMerge w:val="continue"/>
                  <w:vAlign w:val="center"/>
                </w:tcPr>
                <w:p w14:paraId="1990EBCD">
                  <w:pPr>
                    <w:adjustRightInd w:val="0"/>
                    <w:snapToGrid w:val="0"/>
                    <w:jc w:val="center"/>
                    <w:rPr>
                      <w:strike w:val="0"/>
                      <w:dstrike w:val="0"/>
                      <w:color w:val="auto"/>
                      <w:kern w:val="0"/>
                      <w:szCs w:val="21"/>
                      <w:highlight w:val="none"/>
                    </w:rPr>
                  </w:pPr>
                </w:p>
              </w:tc>
              <w:tc>
                <w:tcPr>
                  <w:tcW w:w="2343" w:type="dxa"/>
                  <w:shd w:val="clear" w:color="auto" w:fill="auto"/>
                  <w:vAlign w:val="center"/>
                </w:tcPr>
                <w:p w14:paraId="0016CCA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镉*</w:t>
                  </w:r>
                </w:p>
              </w:tc>
              <w:tc>
                <w:tcPr>
                  <w:tcW w:w="1107" w:type="dxa"/>
                  <w:shd w:val="clear" w:color="auto" w:fill="auto"/>
                  <w:vAlign w:val="center"/>
                </w:tcPr>
                <w:p w14:paraId="4C0EAE2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0.26</w:t>
                  </w:r>
                </w:p>
              </w:tc>
              <w:tc>
                <w:tcPr>
                  <w:tcW w:w="1431" w:type="dxa"/>
                  <w:vAlign w:val="center"/>
                </w:tcPr>
                <w:p w14:paraId="5BE271AB">
                  <w:pPr>
                    <w:adjustRightInd w:val="0"/>
                    <w:snapToGrid w:val="0"/>
                    <w:jc w:val="center"/>
                    <w:rPr>
                      <w:strike w:val="0"/>
                      <w:dstrike w:val="0"/>
                      <w:color w:val="auto"/>
                      <w:kern w:val="0"/>
                      <w:szCs w:val="21"/>
                      <w:highlight w:val="none"/>
                    </w:rPr>
                  </w:pPr>
                  <w:r>
                    <w:rPr>
                      <w:strike w:val="0"/>
                      <w:dstrike w:val="0"/>
                      <w:color w:val="auto"/>
                      <w:kern w:val="0"/>
                      <w:szCs w:val="21"/>
                      <w:highlight w:val="none"/>
                    </w:rPr>
                    <w:t>65</w:t>
                  </w:r>
                </w:p>
              </w:tc>
              <w:tc>
                <w:tcPr>
                  <w:tcW w:w="823" w:type="dxa"/>
                  <w:vAlign w:val="center"/>
                </w:tcPr>
                <w:p w14:paraId="5B5E8C6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0.004</w:t>
                  </w:r>
                </w:p>
              </w:tc>
            </w:tr>
            <w:tr w14:paraId="4345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02F5166">
                  <w:pPr>
                    <w:adjustRightInd w:val="0"/>
                    <w:snapToGrid w:val="0"/>
                    <w:jc w:val="center"/>
                    <w:rPr>
                      <w:strike w:val="0"/>
                      <w:dstrike w:val="0"/>
                      <w:color w:val="auto"/>
                      <w:kern w:val="0"/>
                      <w:szCs w:val="21"/>
                      <w:highlight w:val="none"/>
                    </w:rPr>
                  </w:pPr>
                </w:p>
              </w:tc>
              <w:tc>
                <w:tcPr>
                  <w:tcW w:w="1243" w:type="dxa"/>
                  <w:vMerge w:val="continue"/>
                  <w:vAlign w:val="center"/>
                </w:tcPr>
                <w:p w14:paraId="5D85BE8A">
                  <w:pPr>
                    <w:adjustRightInd w:val="0"/>
                    <w:snapToGrid w:val="0"/>
                    <w:jc w:val="center"/>
                    <w:rPr>
                      <w:strike w:val="0"/>
                      <w:dstrike w:val="0"/>
                      <w:color w:val="auto"/>
                      <w:kern w:val="0"/>
                      <w:szCs w:val="21"/>
                      <w:highlight w:val="none"/>
                    </w:rPr>
                  </w:pPr>
                </w:p>
              </w:tc>
              <w:tc>
                <w:tcPr>
                  <w:tcW w:w="2343" w:type="dxa"/>
                  <w:shd w:val="clear" w:color="auto" w:fill="auto"/>
                  <w:vAlign w:val="center"/>
                </w:tcPr>
                <w:p w14:paraId="7B9DA6C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六价铬*</w:t>
                  </w:r>
                </w:p>
              </w:tc>
              <w:tc>
                <w:tcPr>
                  <w:tcW w:w="1107" w:type="dxa"/>
                  <w:shd w:val="clear" w:color="auto" w:fill="auto"/>
                  <w:vAlign w:val="center"/>
                </w:tcPr>
                <w:p w14:paraId="472B489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0.5L</w:t>
                  </w:r>
                </w:p>
              </w:tc>
              <w:tc>
                <w:tcPr>
                  <w:tcW w:w="1431" w:type="dxa"/>
                  <w:vAlign w:val="center"/>
                </w:tcPr>
                <w:p w14:paraId="39AF2E6C">
                  <w:pPr>
                    <w:adjustRightInd w:val="0"/>
                    <w:snapToGrid w:val="0"/>
                    <w:jc w:val="center"/>
                    <w:rPr>
                      <w:strike w:val="0"/>
                      <w:dstrike w:val="0"/>
                      <w:color w:val="auto"/>
                      <w:kern w:val="0"/>
                      <w:szCs w:val="21"/>
                      <w:highlight w:val="none"/>
                    </w:rPr>
                  </w:pPr>
                  <w:r>
                    <w:rPr>
                      <w:strike w:val="0"/>
                      <w:dstrike w:val="0"/>
                      <w:color w:val="auto"/>
                      <w:kern w:val="0"/>
                      <w:szCs w:val="21"/>
                      <w:highlight w:val="none"/>
                    </w:rPr>
                    <w:t>5.7</w:t>
                  </w:r>
                </w:p>
              </w:tc>
              <w:tc>
                <w:tcPr>
                  <w:tcW w:w="823" w:type="dxa"/>
                  <w:vAlign w:val="center"/>
                </w:tcPr>
                <w:p w14:paraId="296F54F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803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00246749">
                  <w:pPr>
                    <w:adjustRightInd w:val="0"/>
                    <w:snapToGrid w:val="0"/>
                    <w:jc w:val="center"/>
                    <w:rPr>
                      <w:strike w:val="0"/>
                      <w:dstrike w:val="0"/>
                      <w:color w:val="auto"/>
                      <w:kern w:val="0"/>
                      <w:szCs w:val="21"/>
                      <w:highlight w:val="none"/>
                    </w:rPr>
                  </w:pPr>
                </w:p>
              </w:tc>
              <w:tc>
                <w:tcPr>
                  <w:tcW w:w="1243" w:type="dxa"/>
                  <w:vMerge w:val="continue"/>
                  <w:vAlign w:val="center"/>
                </w:tcPr>
                <w:p w14:paraId="6B3E095E">
                  <w:pPr>
                    <w:adjustRightInd w:val="0"/>
                    <w:snapToGrid w:val="0"/>
                    <w:jc w:val="center"/>
                    <w:rPr>
                      <w:strike w:val="0"/>
                      <w:dstrike w:val="0"/>
                      <w:color w:val="auto"/>
                      <w:kern w:val="0"/>
                      <w:szCs w:val="21"/>
                      <w:highlight w:val="none"/>
                    </w:rPr>
                  </w:pPr>
                </w:p>
              </w:tc>
              <w:tc>
                <w:tcPr>
                  <w:tcW w:w="2343" w:type="dxa"/>
                  <w:shd w:val="clear" w:color="auto" w:fill="auto"/>
                  <w:vAlign w:val="center"/>
                </w:tcPr>
                <w:p w14:paraId="478536A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铜*</w:t>
                  </w:r>
                </w:p>
              </w:tc>
              <w:tc>
                <w:tcPr>
                  <w:tcW w:w="1107" w:type="dxa"/>
                  <w:shd w:val="clear" w:color="auto" w:fill="auto"/>
                  <w:vAlign w:val="center"/>
                </w:tcPr>
                <w:p w14:paraId="02B627C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25</w:t>
                  </w:r>
                </w:p>
              </w:tc>
              <w:tc>
                <w:tcPr>
                  <w:tcW w:w="1431" w:type="dxa"/>
                  <w:vAlign w:val="center"/>
                </w:tcPr>
                <w:p w14:paraId="7FCFAFD0">
                  <w:pPr>
                    <w:adjustRightInd w:val="0"/>
                    <w:snapToGrid w:val="0"/>
                    <w:jc w:val="center"/>
                    <w:rPr>
                      <w:strike w:val="0"/>
                      <w:dstrike w:val="0"/>
                      <w:color w:val="auto"/>
                      <w:kern w:val="0"/>
                      <w:szCs w:val="21"/>
                      <w:highlight w:val="none"/>
                    </w:rPr>
                  </w:pPr>
                  <w:r>
                    <w:rPr>
                      <w:strike w:val="0"/>
                      <w:dstrike w:val="0"/>
                      <w:color w:val="auto"/>
                      <w:kern w:val="0"/>
                      <w:szCs w:val="21"/>
                      <w:highlight w:val="none"/>
                    </w:rPr>
                    <w:t>18000</w:t>
                  </w:r>
                </w:p>
              </w:tc>
              <w:tc>
                <w:tcPr>
                  <w:tcW w:w="823" w:type="dxa"/>
                  <w:vAlign w:val="center"/>
                </w:tcPr>
                <w:p w14:paraId="37AA3B6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0.001</w:t>
                  </w:r>
                </w:p>
              </w:tc>
            </w:tr>
            <w:tr w14:paraId="6470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13E1744B">
                  <w:pPr>
                    <w:adjustRightInd w:val="0"/>
                    <w:snapToGrid w:val="0"/>
                    <w:jc w:val="center"/>
                    <w:rPr>
                      <w:strike w:val="0"/>
                      <w:dstrike w:val="0"/>
                      <w:color w:val="auto"/>
                      <w:kern w:val="0"/>
                      <w:szCs w:val="21"/>
                      <w:highlight w:val="none"/>
                    </w:rPr>
                  </w:pPr>
                </w:p>
              </w:tc>
              <w:tc>
                <w:tcPr>
                  <w:tcW w:w="1243" w:type="dxa"/>
                  <w:vMerge w:val="continue"/>
                  <w:vAlign w:val="center"/>
                </w:tcPr>
                <w:p w14:paraId="0EFB99A7">
                  <w:pPr>
                    <w:adjustRightInd w:val="0"/>
                    <w:snapToGrid w:val="0"/>
                    <w:jc w:val="center"/>
                    <w:rPr>
                      <w:strike w:val="0"/>
                      <w:dstrike w:val="0"/>
                      <w:color w:val="auto"/>
                      <w:kern w:val="0"/>
                      <w:szCs w:val="21"/>
                      <w:highlight w:val="none"/>
                    </w:rPr>
                  </w:pPr>
                </w:p>
              </w:tc>
              <w:tc>
                <w:tcPr>
                  <w:tcW w:w="2343" w:type="dxa"/>
                  <w:shd w:val="clear" w:color="auto" w:fill="auto"/>
                  <w:vAlign w:val="center"/>
                </w:tcPr>
                <w:p w14:paraId="6AB1775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镍*</w:t>
                  </w:r>
                </w:p>
              </w:tc>
              <w:tc>
                <w:tcPr>
                  <w:tcW w:w="1107" w:type="dxa"/>
                  <w:shd w:val="clear" w:color="auto" w:fill="auto"/>
                  <w:vAlign w:val="center"/>
                </w:tcPr>
                <w:p w14:paraId="3ADB7FB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27</w:t>
                  </w:r>
                </w:p>
              </w:tc>
              <w:tc>
                <w:tcPr>
                  <w:tcW w:w="1431" w:type="dxa"/>
                  <w:vAlign w:val="center"/>
                </w:tcPr>
                <w:p w14:paraId="3E7E54AA">
                  <w:pPr>
                    <w:adjustRightInd w:val="0"/>
                    <w:snapToGrid w:val="0"/>
                    <w:jc w:val="center"/>
                    <w:rPr>
                      <w:strike w:val="0"/>
                      <w:dstrike w:val="0"/>
                      <w:color w:val="auto"/>
                      <w:kern w:val="0"/>
                      <w:szCs w:val="21"/>
                      <w:highlight w:val="none"/>
                    </w:rPr>
                  </w:pPr>
                  <w:r>
                    <w:rPr>
                      <w:strike w:val="0"/>
                      <w:dstrike w:val="0"/>
                      <w:color w:val="auto"/>
                      <w:kern w:val="0"/>
                      <w:szCs w:val="21"/>
                      <w:highlight w:val="none"/>
                    </w:rPr>
                    <w:t>900</w:t>
                  </w:r>
                </w:p>
              </w:tc>
              <w:tc>
                <w:tcPr>
                  <w:tcW w:w="823" w:type="dxa"/>
                  <w:vAlign w:val="center"/>
                </w:tcPr>
                <w:p w14:paraId="6A34476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0.030</w:t>
                  </w:r>
                </w:p>
              </w:tc>
            </w:tr>
            <w:tr w14:paraId="67AD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6BB3FF03">
                  <w:pPr>
                    <w:adjustRightInd w:val="0"/>
                    <w:snapToGrid w:val="0"/>
                    <w:jc w:val="center"/>
                    <w:rPr>
                      <w:strike w:val="0"/>
                      <w:dstrike w:val="0"/>
                      <w:color w:val="auto"/>
                      <w:kern w:val="0"/>
                      <w:szCs w:val="21"/>
                      <w:highlight w:val="none"/>
                    </w:rPr>
                  </w:pPr>
                </w:p>
              </w:tc>
              <w:tc>
                <w:tcPr>
                  <w:tcW w:w="1243" w:type="dxa"/>
                  <w:vMerge w:val="continue"/>
                  <w:vAlign w:val="center"/>
                </w:tcPr>
                <w:p w14:paraId="11FE732D">
                  <w:pPr>
                    <w:adjustRightInd w:val="0"/>
                    <w:snapToGrid w:val="0"/>
                    <w:jc w:val="center"/>
                    <w:rPr>
                      <w:strike w:val="0"/>
                      <w:dstrike w:val="0"/>
                      <w:color w:val="auto"/>
                      <w:kern w:val="0"/>
                      <w:szCs w:val="21"/>
                      <w:highlight w:val="none"/>
                    </w:rPr>
                  </w:pPr>
                </w:p>
              </w:tc>
              <w:tc>
                <w:tcPr>
                  <w:tcW w:w="2343" w:type="dxa"/>
                  <w:shd w:val="clear" w:color="auto" w:fill="auto"/>
                  <w:vAlign w:val="center"/>
                </w:tcPr>
                <w:p w14:paraId="02B04EC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汞*</w:t>
                  </w:r>
                </w:p>
              </w:tc>
              <w:tc>
                <w:tcPr>
                  <w:tcW w:w="1107" w:type="dxa"/>
                  <w:shd w:val="clear" w:color="auto" w:fill="auto"/>
                  <w:vAlign w:val="center"/>
                </w:tcPr>
                <w:p w14:paraId="0974C17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0.038</w:t>
                  </w:r>
                </w:p>
              </w:tc>
              <w:tc>
                <w:tcPr>
                  <w:tcW w:w="1431" w:type="dxa"/>
                  <w:vAlign w:val="center"/>
                </w:tcPr>
                <w:p w14:paraId="293695E3">
                  <w:pPr>
                    <w:adjustRightInd w:val="0"/>
                    <w:snapToGrid w:val="0"/>
                    <w:jc w:val="center"/>
                    <w:rPr>
                      <w:strike w:val="0"/>
                      <w:dstrike w:val="0"/>
                      <w:color w:val="auto"/>
                      <w:kern w:val="0"/>
                      <w:szCs w:val="21"/>
                      <w:highlight w:val="none"/>
                    </w:rPr>
                  </w:pPr>
                  <w:r>
                    <w:rPr>
                      <w:strike w:val="0"/>
                      <w:dstrike w:val="0"/>
                      <w:color w:val="auto"/>
                      <w:kern w:val="0"/>
                      <w:szCs w:val="21"/>
                      <w:highlight w:val="none"/>
                    </w:rPr>
                    <w:t>38</w:t>
                  </w:r>
                </w:p>
              </w:tc>
              <w:tc>
                <w:tcPr>
                  <w:tcW w:w="823" w:type="dxa"/>
                  <w:vAlign w:val="center"/>
                </w:tcPr>
                <w:p w14:paraId="6B3CF79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0.001</w:t>
                  </w:r>
                </w:p>
              </w:tc>
            </w:tr>
            <w:tr w14:paraId="015E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1DFA6A64">
                  <w:pPr>
                    <w:adjustRightInd w:val="0"/>
                    <w:snapToGrid w:val="0"/>
                    <w:jc w:val="center"/>
                    <w:rPr>
                      <w:strike w:val="0"/>
                      <w:dstrike w:val="0"/>
                      <w:color w:val="auto"/>
                      <w:kern w:val="0"/>
                      <w:szCs w:val="21"/>
                      <w:highlight w:val="none"/>
                    </w:rPr>
                  </w:pPr>
                </w:p>
              </w:tc>
              <w:tc>
                <w:tcPr>
                  <w:tcW w:w="1243" w:type="dxa"/>
                  <w:vMerge w:val="continue"/>
                  <w:vAlign w:val="center"/>
                </w:tcPr>
                <w:p w14:paraId="78ED47C0">
                  <w:pPr>
                    <w:adjustRightInd w:val="0"/>
                    <w:snapToGrid w:val="0"/>
                    <w:jc w:val="center"/>
                    <w:rPr>
                      <w:strike w:val="0"/>
                      <w:dstrike w:val="0"/>
                      <w:color w:val="auto"/>
                      <w:kern w:val="0"/>
                      <w:szCs w:val="21"/>
                      <w:highlight w:val="none"/>
                    </w:rPr>
                  </w:pPr>
                </w:p>
              </w:tc>
              <w:tc>
                <w:tcPr>
                  <w:tcW w:w="2343" w:type="dxa"/>
                  <w:shd w:val="clear" w:color="auto" w:fill="auto"/>
                  <w:vAlign w:val="center"/>
                </w:tcPr>
                <w:p w14:paraId="1ABCD5E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铅*</w:t>
                  </w:r>
                </w:p>
              </w:tc>
              <w:tc>
                <w:tcPr>
                  <w:tcW w:w="1107" w:type="dxa"/>
                  <w:shd w:val="clear" w:color="auto" w:fill="auto"/>
                  <w:vAlign w:val="center"/>
                </w:tcPr>
                <w:p w14:paraId="69C45F7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22.2</w:t>
                  </w:r>
                </w:p>
              </w:tc>
              <w:tc>
                <w:tcPr>
                  <w:tcW w:w="1431" w:type="dxa"/>
                  <w:vAlign w:val="center"/>
                </w:tcPr>
                <w:p w14:paraId="483228E1">
                  <w:pPr>
                    <w:adjustRightInd w:val="0"/>
                    <w:snapToGrid w:val="0"/>
                    <w:jc w:val="center"/>
                    <w:rPr>
                      <w:strike w:val="0"/>
                      <w:dstrike w:val="0"/>
                      <w:color w:val="auto"/>
                      <w:kern w:val="0"/>
                      <w:szCs w:val="21"/>
                      <w:highlight w:val="none"/>
                    </w:rPr>
                  </w:pPr>
                  <w:r>
                    <w:rPr>
                      <w:strike w:val="0"/>
                      <w:dstrike w:val="0"/>
                      <w:color w:val="auto"/>
                      <w:kern w:val="0"/>
                      <w:szCs w:val="21"/>
                      <w:highlight w:val="none"/>
                    </w:rPr>
                    <w:t>800</w:t>
                  </w:r>
                </w:p>
              </w:tc>
              <w:tc>
                <w:tcPr>
                  <w:tcW w:w="823" w:type="dxa"/>
                  <w:vAlign w:val="center"/>
                </w:tcPr>
                <w:p w14:paraId="0C74E99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0.028</w:t>
                  </w:r>
                </w:p>
              </w:tc>
            </w:tr>
            <w:tr w14:paraId="181B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5FB803C8">
                  <w:pPr>
                    <w:adjustRightInd w:val="0"/>
                    <w:snapToGrid w:val="0"/>
                    <w:jc w:val="center"/>
                    <w:rPr>
                      <w:strike w:val="0"/>
                      <w:dstrike w:val="0"/>
                      <w:color w:val="auto"/>
                      <w:kern w:val="0"/>
                      <w:szCs w:val="21"/>
                      <w:highlight w:val="none"/>
                    </w:rPr>
                  </w:pPr>
                </w:p>
              </w:tc>
              <w:tc>
                <w:tcPr>
                  <w:tcW w:w="1243" w:type="dxa"/>
                  <w:vMerge w:val="continue"/>
                  <w:vAlign w:val="center"/>
                </w:tcPr>
                <w:p w14:paraId="091E1EC6">
                  <w:pPr>
                    <w:adjustRightInd w:val="0"/>
                    <w:snapToGrid w:val="0"/>
                    <w:jc w:val="center"/>
                    <w:rPr>
                      <w:strike w:val="0"/>
                      <w:dstrike w:val="0"/>
                      <w:color w:val="auto"/>
                      <w:kern w:val="0"/>
                      <w:szCs w:val="21"/>
                      <w:highlight w:val="none"/>
                    </w:rPr>
                  </w:pPr>
                </w:p>
              </w:tc>
              <w:tc>
                <w:tcPr>
                  <w:tcW w:w="2343" w:type="dxa"/>
                  <w:shd w:val="clear" w:color="auto" w:fill="auto"/>
                  <w:vAlign w:val="center"/>
                </w:tcPr>
                <w:p w14:paraId="4EF63D4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石油烃（C10-C40）*</w:t>
                  </w:r>
                </w:p>
              </w:tc>
              <w:tc>
                <w:tcPr>
                  <w:tcW w:w="1107" w:type="dxa"/>
                  <w:shd w:val="clear" w:color="auto" w:fill="auto"/>
                  <w:vAlign w:val="center"/>
                </w:tcPr>
                <w:p w14:paraId="2AB8B2C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24</w:t>
                  </w:r>
                </w:p>
              </w:tc>
              <w:tc>
                <w:tcPr>
                  <w:tcW w:w="1431" w:type="dxa"/>
                  <w:vAlign w:val="center"/>
                </w:tcPr>
                <w:p w14:paraId="0576E7C9">
                  <w:pPr>
                    <w:adjustRightInd w:val="0"/>
                    <w:snapToGrid w:val="0"/>
                    <w:jc w:val="center"/>
                    <w:rPr>
                      <w:strike w:val="0"/>
                      <w:dstrike w:val="0"/>
                      <w:color w:val="auto"/>
                      <w:kern w:val="0"/>
                      <w:szCs w:val="21"/>
                      <w:highlight w:val="none"/>
                    </w:rPr>
                  </w:pPr>
                  <w:r>
                    <w:rPr>
                      <w:strike w:val="0"/>
                      <w:dstrike w:val="0"/>
                      <w:color w:val="auto"/>
                      <w:kern w:val="0"/>
                      <w:szCs w:val="21"/>
                      <w:highlight w:val="none"/>
                    </w:rPr>
                    <w:t>/</w:t>
                  </w:r>
                </w:p>
              </w:tc>
              <w:tc>
                <w:tcPr>
                  <w:tcW w:w="823" w:type="dxa"/>
                  <w:vAlign w:val="center"/>
                </w:tcPr>
                <w:p w14:paraId="00BF953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2AD4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D05C242">
                  <w:pPr>
                    <w:adjustRightInd w:val="0"/>
                    <w:snapToGrid w:val="0"/>
                    <w:jc w:val="center"/>
                    <w:rPr>
                      <w:strike w:val="0"/>
                      <w:dstrike w:val="0"/>
                      <w:color w:val="auto"/>
                      <w:kern w:val="0"/>
                      <w:szCs w:val="21"/>
                      <w:highlight w:val="none"/>
                    </w:rPr>
                  </w:pPr>
                </w:p>
              </w:tc>
              <w:tc>
                <w:tcPr>
                  <w:tcW w:w="1243" w:type="dxa"/>
                  <w:vMerge w:val="continue"/>
                  <w:vAlign w:val="center"/>
                </w:tcPr>
                <w:p w14:paraId="66FF3903">
                  <w:pPr>
                    <w:adjustRightInd w:val="0"/>
                    <w:snapToGrid w:val="0"/>
                    <w:jc w:val="center"/>
                    <w:rPr>
                      <w:strike w:val="0"/>
                      <w:dstrike w:val="0"/>
                      <w:color w:val="auto"/>
                      <w:kern w:val="0"/>
                      <w:szCs w:val="21"/>
                      <w:highlight w:val="none"/>
                    </w:rPr>
                  </w:pPr>
                </w:p>
              </w:tc>
              <w:tc>
                <w:tcPr>
                  <w:tcW w:w="2343" w:type="dxa"/>
                  <w:shd w:val="clear" w:color="auto" w:fill="auto"/>
                  <w:vAlign w:val="center"/>
                </w:tcPr>
                <w:p w14:paraId="4BEDE51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四氯化碳*</w:t>
                  </w:r>
                </w:p>
              </w:tc>
              <w:tc>
                <w:tcPr>
                  <w:tcW w:w="1107" w:type="dxa"/>
                  <w:shd w:val="clear" w:color="auto" w:fill="auto"/>
                  <w:vAlign w:val="center"/>
                </w:tcPr>
                <w:p w14:paraId="5577C8A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1.3×10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172A7F4E">
                  <w:pPr>
                    <w:adjustRightInd w:val="0"/>
                    <w:snapToGrid w:val="0"/>
                    <w:jc w:val="center"/>
                    <w:rPr>
                      <w:strike w:val="0"/>
                      <w:dstrike w:val="0"/>
                      <w:color w:val="auto"/>
                      <w:kern w:val="0"/>
                      <w:szCs w:val="21"/>
                      <w:highlight w:val="none"/>
                    </w:rPr>
                  </w:pPr>
                  <w:r>
                    <w:rPr>
                      <w:strike w:val="0"/>
                      <w:dstrike w:val="0"/>
                      <w:color w:val="auto"/>
                      <w:kern w:val="0"/>
                      <w:szCs w:val="21"/>
                      <w:highlight w:val="none"/>
                    </w:rPr>
                    <w:t>2.8</w:t>
                  </w:r>
                </w:p>
              </w:tc>
              <w:tc>
                <w:tcPr>
                  <w:tcW w:w="823" w:type="dxa"/>
                  <w:vAlign w:val="center"/>
                </w:tcPr>
                <w:p w14:paraId="3F8868E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14C2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BCBFEA7">
                  <w:pPr>
                    <w:adjustRightInd w:val="0"/>
                    <w:snapToGrid w:val="0"/>
                    <w:jc w:val="center"/>
                    <w:rPr>
                      <w:strike w:val="0"/>
                      <w:dstrike w:val="0"/>
                      <w:color w:val="auto"/>
                      <w:kern w:val="0"/>
                      <w:szCs w:val="21"/>
                      <w:highlight w:val="none"/>
                    </w:rPr>
                  </w:pPr>
                </w:p>
              </w:tc>
              <w:tc>
                <w:tcPr>
                  <w:tcW w:w="1243" w:type="dxa"/>
                  <w:vMerge w:val="continue"/>
                  <w:vAlign w:val="center"/>
                </w:tcPr>
                <w:p w14:paraId="726D9488">
                  <w:pPr>
                    <w:adjustRightInd w:val="0"/>
                    <w:snapToGrid w:val="0"/>
                    <w:jc w:val="center"/>
                    <w:rPr>
                      <w:strike w:val="0"/>
                      <w:dstrike w:val="0"/>
                      <w:color w:val="auto"/>
                      <w:kern w:val="0"/>
                      <w:szCs w:val="21"/>
                      <w:highlight w:val="none"/>
                    </w:rPr>
                  </w:pPr>
                </w:p>
              </w:tc>
              <w:tc>
                <w:tcPr>
                  <w:tcW w:w="2343" w:type="dxa"/>
                  <w:shd w:val="clear" w:color="auto" w:fill="auto"/>
                  <w:vAlign w:val="center"/>
                </w:tcPr>
                <w:p w14:paraId="5976E23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氯甲烷*</w:t>
                  </w:r>
                </w:p>
              </w:tc>
              <w:tc>
                <w:tcPr>
                  <w:tcW w:w="1107" w:type="dxa"/>
                  <w:shd w:val="clear" w:color="auto" w:fill="auto"/>
                  <w:vAlign w:val="center"/>
                </w:tcPr>
                <w:p w14:paraId="2DDC3CC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1.0×10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7AEB1C1F">
                  <w:pPr>
                    <w:adjustRightInd w:val="0"/>
                    <w:snapToGrid w:val="0"/>
                    <w:jc w:val="center"/>
                    <w:rPr>
                      <w:strike w:val="0"/>
                      <w:dstrike w:val="0"/>
                      <w:color w:val="auto"/>
                      <w:kern w:val="0"/>
                      <w:szCs w:val="21"/>
                      <w:highlight w:val="none"/>
                    </w:rPr>
                  </w:pPr>
                  <w:r>
                    <w:rPr>
                      <w:strike w:val="0"/>
                      <w:dstrike w:val="0"/>
                      <w:color w:val="auto"/>
                      <w:kern w:val="0"/>
                      <w:szCs w:val="21"/>
                      <w:highlight w:val="none"/>
                    </w:rPr>
                    <w:t>37</w:t>
                  </w:r>
                </w:p>
              </w:tc>
              <w:tc>
                <w:tcPr>
                  <w:tcW w:w="823" w:type="dxa"/>
                  <w:vAlign w:val="center"/>
                </w:tcPr>
                <w:p w14:paraId="5B830C2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18B0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21E15AC9">
                  <w:pPr>
                    <w:adjustRightInd w:val="0"/>
                    <w:snapToGrid w:val="0"/>
                    <w:jc w:val="center"/>
                    <w:rPr>
                      <w:strike w:val="0"/>
                      <w:dstrike w:val="0"/>
                      <w:color w:val="auto"/>
                      <w:kern w:val="0"/>
                      <w:szCs w:val="21"/>
                      <w:highlight w:val="none"/>
                    </w:rPr>
                  </w:pPr>
                </w:p>
              </w:tc>
              <w:tc>
                <w:tcPr>
                  <w:tcW w:w="1243" w:type="dxa"/>
                  <w:vMerge w:val="continue"/>
                  <w:vAlign w:val="center"/>
                </w:tcPr>
                <w:p w14:paraId="2F2B987D">
                  <w:pPr>
                    <w:adjustRightInd w:val="0"/>
                    <w:snapToGrid w:val="0"/>
                    <w:jc w:val="center"/>
                    <w:rPr>
                      <w:strike w:val="0"/>
                      <w:dstrike w:val="0"/>
                      <w:color w:val="auto"/>
                      <w:kern w:val="0"/>
                      <w:szCs w:val="21"/>
                      <w:highlight w:val="none"/>
                    </w:rPr>
                  </w:pPr>
                </w:p>
              </w:tc>
              <w:tc>
                <w:tcPr>
                  <w:tcW w:w="2343" w:type="dxa"/>
                  <w:shd w:val="clear" w:color="auto" w:fill="auto"/>
                  <w:vAlign w:val="center"/>
                </w:tcPr>
                <w:p w14:paraId="7CAAC9D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1，1-二氯乙烷*</w:t>
                  </w:r>
                </w:p>
              </w:tc>
              <w:tc>
                <w:tcPr>
                  <w:tcW w:w="1107" w:type="dxa"/>
                  <w:shd w:val="clear" w:color="auto" w:fill="auto"/>
                  <w:vAlign w:val="center"/>
                </w:tcPr>
                <w:p w14:paraId="742A295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6C6BD798">
                  <w:pPr>
                    <w:adjustRightInd w:val="0"/>
                    <w:snapToGrid w:val="0"/>
                    <w:jc w:val="center"/>
                    <w:rPr>
                      <w:strike w:val="0"/>
                      <w:dstrike w:val="0"/>
                      <w:color w:val="auto"/>
                      <w:kern w:val="0"/>
                      <w:szCs w:val="21"/>
                      <w:highlight w:val="none"/>
                    </w:rPr>
                  </w:pPr>
                  <w:r>
                    <w:rPr>
                      <w:strike w:val="0"/>
                      <w:dstrike w:val="0"/>
                      <w:color w:val="auto"/>
                      <w:kern w:val="0"/>
                      <w:szCs w:val="21"/>
                      <w:highlight w:val="none"/>
                    </w:rPr>
                    <w:t>9</w:t>
                  </w:r>
                </w:p>
              </w:tc>
              <w:tc>
                <w:tcPr>
                  <w:tcW w:w="823" w:type="dxa"/>
                  <w:vAlign w:val="center"/>
                </w:tcPr>
                <w:p w14:paraId="10709A2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B0F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24C896F8">
                  <w:pPr>
                    <w:adjustRightInd w:val="0"/>
                    <w:snapToGrid w:val="0"/>
                    <w:jc w:val="center"/>
                    <w:rPr>
                      <w:strike w:val="0"/>
                      <w:dstrike w:val="0"/>
                      <w:color w:val="auto"/>
                      <w:kern w:val="0"/>
                      <w:szCs w:val="21"/>
                      <w:highlight w:val="none"/>
                    </w:rPr>
                  </w:pPr>
                </w:p>
              </w:tc>
              <w:tc>
                <w:tcPr>
                  <w:tcW w:w="1243" w:type="dxa"/>
                  <w:vMerge w:val="continue"/>
                  <w:vAlign w:val="center"/>
                </w:tcPr>
                <w:p w14:paraId="18EC93D1">
                  <w:pPr>
                    <w:adjustRightInd w:val="0"/>
                    <w:snapToGrid w:val="0"/>
                    <w:jc w:val="center"/>
                    <w:rPr>
                      <w:strike w:val="0"/>
                      <w:dstrike w:val="0"/>
                      <w:color w:val="auto"/>
                      <w:kern w:val="0"/>
                      <w:szCs w:val="21"/>
                      <w:highlight w:val="none"/>
                    </w:rPr>
                  </w:pPr>
                </w:p>
              </w:tc>
              <w:tc>
                <w:tcPr>
                  <w:tcW w:w="2343" w:type="dxa"/>
                  <w:shd w:val="clear" w:color="auto" w:fill="auto"/>
                  <w:vAlign w:val="center"/>
                </w:tcPr>
                <w:p w14:paraId="7681FB3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1，2-二氯乙烷*</w:t>
                  </w:r>
                </w:p>
              </w:tc>
              <w:tc>
                <w:tcPr>
                  <w:tcW w:w="1107" w:type="dxa"/>
                  <w:shd w:val="clear" w:color="auto" w:fill="auto"/>
                  <w:vAlign w:val="center"/>
                </w:tcPr>
                <w:p w14:paraId="018080F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1.3×10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2B2817CB">
                  <w:pPr>
                    <w:adjustRightInd w:val="0"/>
                    <w:snapToGrid w:val="0"/>
                    <w:jc w:val="center"/>
                    <w:rPr>
                      <w:strike w:val="0"/>
                      <w:dstrike w:val="0"/>
                      <w:color w:val="auto"/>
                      <w:kern w:val="0"/>
                      <w:szCs w:val="21"/>
                      <w:highlight w:val="none"/>
                    </w:rPr>
                  </w:pPr>
                  <w:r>
                    <w:rPr>
                      <w:strike w:val="0"/>
                      <w:dstrike w:val="0"/>
                      <w:color w:val="auto"/>
                      <w:kern w:val="0"/>
                      <w:szCs w:val="21"/>
                      <w:highlight w:val="none"/>
                    </w:rPr>
                    <w:t>5</w:t>
                  </w:r>
                </w:p>
              </w:tc>
              <w:tc>
                <w:tcPr>
                  <w:tcW w:w="823" w:type="dxa"/>
                  <w:vAlign w:val="center"/>
                </w:tcPr>
                <w:p w14:paraId="69C0856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63C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7E37F77F">
                  <w:pPr>
                    <w:adjustRightInd w:val="0"/>
                    <w:snapToGrid w:val="0"/>
                    <w:jc w:val="center"/>
                    <w:rPr>
                      <w:strike w:val="0"/>
                      <w:dstrike w:val="0"/>
                      <w:color w:val="auto"/>
                      <w:kern w:val="0"/>
                      <w:szCs w:val="21"/>
                      <w:highlight w:val="none"/>
                    </w:rPr>
                  </w:pPr>
                </w:p>
              </w:tc>
              <w:tc>
                <w:tcPr>
                  <w:tcW w:w="1243" w:type="dxa"/>
                  <w:vMerge w:val="continue"/>
                  <w:vAlign w:val="center"/>
                </w:tcPr>
                <w:p w14:paraId="2B35527F">
                  <w:pPr>
                    <w:adjustRightInd w:val="0"/>
                    <w:snapToGrid w:val="0"/>
                    <w:jc w:val="center"/>
                    <w:rPr>
                      <w:strike w:val="0"/>
                      <w:dstrike w:val="0"/>
                      <w:color w:val="auto"/>
                      <w:kern w:val="0"/>
                      <w:szCs w:val="21"/>
                      <w:highlight w:val="none"/>
                    </w:rPr>
                  </w:pPr>
                </w:p>
              </w:tc>
              <w:tc>
                <w:tcPr>
                  <w:tcW w:w="2343" w:type="dxa"/>
                  <w:shd w:val="clear" w:color="auto" w:fill="auto"/>
                  <w:vAlign w:val="center"/>
                </w:tcPr>
                <w:p w14:paraId="03701CF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 1-二氯乙烯*</w:t>
                  </w:r>
                </w:p>
              </w:tc>
              <w:tc>
                <w:tcPr>
                  <w:tcW w:w="1107" w:type="dxa"/>
                  <w:shd w:val="clear" w:color="auto" w:fill="auto"/>
                  <w:vAlign w:val="center"/>
                </w:tcPr>
                <w:p w14:paraId="73A95DD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1.0×10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7A305456">
                  <w:pPr>
                    <w:adjustRightInd w:val="0"/>
                    <w:snapToGrid w:val="0"/>
                    <w:jc w:val="center"/>
                    <w:rPr>
                      <w:strike w:val="0"/>
                      <w:dstrike w:val="0"/>
                      <w:color w:val="auto"/>
                      <w:kern w:val="0"/>
                      <w:szCs w:val="21"/>
                      <w:highlight w:val="none"/>
                    </w:rPr>
                  </w:pPr>
                  <w:r>
                    <w:rPr>
                      <w:strike w:val="0"/>
                      <w:dstrike w:val="0"/>
                      <w:color w:val="auto"/>
                      <w:kern w:val="0"/>
                      <w:szCs w:val="21"/>
                      <w:highlight w:val="none"/>
                    </w:rPr>
                    <w:t>/</w:t>
                  </w:r>
                </w:p>
              </w:tc>
              <w:tc>
                <w:tcPr>
                  <w:tcW w:w="823" w:type="dxa"/>
                  <w:vAlign w:val="center"/>
                </w:tcPr>
                <w:p w14:paraId="1F0ADEC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4098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166D4523">
                  <w:pPr>
                    <w:adjustRightInd w:val="0"/>
                    <w:snapToGrid w:val="0"/>
                    <w:jc w:val="center"/>
                    <w:rPr>
                      <w:strike w:val="0"/>
                      <w:dstrike w:val="0"/>
                      <w:color w:val="auto"/>
                      <w:kern w:val="0"/>
                      <w:szCs w:val="21"/>
                      <w:highlight w:val="none"/>
                    </w:rPr>
                  </w:pPr>
                </w:p>
              </w:tc>
              <w:tc>
                <w:tcPr>
                  <w:tcW w:w="1243" w:type="dxa"/>
                  <w:vMerge w:val="continue"/>
                  <w:vAlign w:val="center"/>
                </w:tcPr>
                <w:p w14:paraId="71ADEC05">
                  <w:pPr>
                    <w:adjustRightInd w:val="0"/>
                    <w:snapToGrid w:val="0"/>
                    <w:jc w:val="center"/>
                    <w:rPr>
                      <w:strike w:val="0"/>
                      <w:dstrike w:val="0"/>
                      <w:color w:val="auto"/>
                      <w:kern w:val="0"/>
                      <w:szCs w:val="21"/>
                      <w:highlight w:val="none"/>
                    </w:rPr>
                  </w:pPr>
                </w:p>
              </w:tc>
              <w:tc>
                <w:tcPr>
                  <w:tcW w:w="2343" w:type="dxa"/>
                  <w:shd w:val="clear" w:color="auto" w:fill="auto"/>
                  <w:vAlign w:val="center"/>
                </w:tcPr>
                <w:p w14:paraId="113694A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顺式-1，2-二氯乙烯*</w:t>
                  </w:r>
                </w:p>
              </w:tc>
              <w:tc>
                <w:tcPr>
                  <w:tcW w:w="1107" w:type="dxa"/>
                  <w:shd w:val="clear" w:color="auto" w:fill="auto"/>
                  <w:vAlign w:val="center"/>
                </w:tcPr>
                <w:p w14:paraId="101363E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1.3×10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0E191214">
                  <w:pPr>
                    <w:adjustRightInd w:val="0"/>
                    <w:snapToGrid w:val="0"/>
                    <w:jc w:val="center"/>
                    <w:rPr>
                      <w:strike w:val="0"/>
                      <w:dstrike w:val="0"/>
                      <w:color w:val="auto"/>
                      <w:kern w:val="0"/>
                      <w:szCs w:val="21"/>
                      <w:highlight w:val="none"/>
                    </w:rPr>
                  </w:pPr>
                  <w:r>
                    <w:rPr>
                      <w:strike w:val="0"/>
                      <w:dstrike w:val="0"/>
                      <w:color w:val="auto"/>
                      <w:kern w:val="0"/>
                      <w:szCs w:val="21"/>
                      <w:highlight w:val="none"/>
                    </w:rPr>
                    <w:t>596</w:t>
                  </w:r>
                </w:p>
              </w:tc>
              <w:tc>
                <w:tcPr>
                  <w:tcW w:w="823" w:type="dxa"/>
                  <w:vAlign w:val="center"/>
                </w:tcPr>
                <w:p w14:paraId="61FF662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0FD7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6DB4864B">
                  <w:pPr>
                    <w:adjustRightInd w:val="0"/>
                    <w:snapToGrid w:val="0"/>
                    <w:jc w:val="center"/>
                    <w:rPr>
                      <w:strike w:val="0"/>
                      <w:dstrike w:val="0"/>
                      <w:color w:val="auto"/>
                      <w:kern w:val="0"/>
                      <w:szCs w:val="21"/>
                      <w:highlight w:val="none"/>
                    </w:rPr>
                  </w:pPr>
                </w:p>
              </w:tc>
              <w:tc>
                <w:tcPr>
                  <w:tcW w:w="1243" w:type="dxa"/>
                  <w:vMerge w:val="continue"/>
                  <w:vAlign w:val="center"/>
                </w:tcPr>
                <w:p w14:paraId="501D9E66">
                  <w:pPr>
                    <w:adjustRightInd w:val="0"/>
                    <w:snapToGrid w:val="0"/>
                    <w:jc w:val="center"/>
                    <w:rPr>
                      <w:strike w:val="0"/>
                      <w:dstrike w:val="0"/>
                      <w:color w:val="auto"/>
                      <w:kern w:val="0"/>
                      <w:szCs w:val="21"/>
                      <w:highlight w:val="none"/>
                    </w:rPr>
                  </w:pPr>
                </w:p>
              </w:tc>
              <w:tc>
                <w:tcPr>
                  <w:tcW w:w="2343" w:type="dxa"/>
                  <w:shd w:val="clear" w:color="auto" w:fill="auto"/>
                  <w:vAlign w:val="center"/>
                </w:tcPr>
                <w:p w14:paraId="24465F9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反式-1，2-二氯乙烯*</w:t>
                  </w:r>
                </w:p>
              </w:tc>
              <w:tc>
                <w:tcPr>
                  <w:tcW w:w="1107" w:type="dxa"/>
                  <w:shd w:val="clear" w:color="auto" w:fill="auto"/>
                  <w:vAlign w:val="center"/>
                </w:tcPr>
                <w:p w14:paraId="4BEB78B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1.4×10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3A88C66D">
                  <w:pPr>
                    <w:adjustRightInd w:val="0"/>
                    <w:snapToGrid w:val="0"/>
                    <w:jc w:val="center"/>
                    <w:rPr>
                      <w:strike w:val="0"/>
                      <w:dstrike w:val="0"/>
                      <w:color w:val="auto"/>
                      <w:kern w:val="0"/>
                      <w:szCs w:val="21"/>
                      <w:highlight w:val="none"/>
                    </w:rPr>
                  </w:pPr>
                  <w:r>
                    <w:rPr>
                      <w:strike w:val="0"/>
                      <w:dstrike w:val="0"/>
                      <w:color w:val="auto"/>
                      <w:kern w:val="0"/>
                      <w:szCs w:val="21"/>
                      <w:highlight w:val="none"/>
                    </w:rPr>
                    <w:t>54</w:t>
                  </w:r>
                </w:p>
              </w:tc>
              <w:tc>
                <w:tcPr>
                  <w:tcW w:w="823" w:type="dxa"/>
                  <w:vAlign w:val="center"/>
                </w:tcPr>
                <w:p w14:paraId="7225FDD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2104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2F258E79">
                  <w:pPr>
                    <w:adjustRightInd w:val="0"/>
                    <w:snapToGrid w:val="0"/>
                    <w:jc w:val="center"/>
                    <w:rPr>
                      <w:strike w:val="0"/>
                      <w:dstrike w:val="0"/>
                      <w:color w:val="auto"/>
                      <w:kern w:val="0"/>
                      <w:szCs w:val="21"/>
                      <w:highlight w:val="none"/>
                    </w:rPr>
                  </w:pPr>
                </w:p>
              </w:tc>
              <w:tc>
                <w:tcPr>
                  <w:tcW w:w="1243" w:type="dxa"/>
                  <w:vMerge w:val="continue"/>
                  <w:vAlign w:val="center"/>
                </w:tcPr>
                <w:p w14:paraId="60FBACD2">
                  <w:pPr>
                    <w:adjustRightInd w:val="0"/>
                    <w:snapToGrid w:val="0"/>
                    <w:jc w:val="center"/>
                    <w:rPr>
                      <w:strike w:val="0"/>
                      <w:dstrike w:val="0"/>
                      <w:color w:val="auto"/>
                      <w:kern w:val="0"/>
                      <w:szCs w:val="21"/>
                      <w:highlight w:val="none"/>
                    </w:rPr>
                  </w:pPr>
                </w:p>
              </w:tc>
              <w:tc>
                <w:tcPr>
                  <w:tcW w:w="2343" w:type="dxa"/>
                  <w:shd w:val="clear" w:color="auto" w:fill="auto"/>
                  <w:vAlign w:val="center"/>
                </w:tcPr>
                <w:p w14:paraId="2C569C4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二氯甲烷*</w:t>
                  </w:r>
                </w:p>
              </w:tc>
              <w:tc>
                <w:tcPr>
                  <w:tcW w:w="1107" w:type="dxa"/>
                  <w:shd w:val="clear" w:color="auto" w:fill="auto"/>
                  <w:vAlign w:val="center"/>
                </w:tcPr>
                <w:p w14:paraId="79196AE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1.5×10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46C740AA">
                  <w:pPr>
                    <w:adjustRightInd w:val="0"/>
                    <w:snapToGrid w:val="0"/>
                    <w:jc w:val="center"/>
                    <w:rPr>
                      <w:strike w:val="0"/>
                      <w:dstrike w:val="0"/>
                      <w:color w:val="auto"/>
                      <w:kern w:val="0"/>
                      <w:szCs w:val="21"/>
                      <w:highlight w:val="none"/>
                    </w:rPr>
                  </w:pPr>
                  <w:r>
                    <w:rPr>
                      <w:strike w:val="0"/>
                      <w:dstrike w:val="0"/>
                      <w:color w:val="auto"/>
                      <w:kern w:val="0"/>
                      <w:szCs w:val="21"/>
                      <w:highlight w:val="none"/>
                    </w:rPr>
                    <w:t>616</w:t>
                  </w:r>
                </w:p>
              </w:tc>
              <w:tc>
                <w:tcPr>
                  <w:tcW w:w="823" w:type="dxa"/>
                  <w:vAlign w:val="center"/>
                </w:tcPr>
                <w:p w14:paraId="4BAF8FE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3651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72BEEC3">
                  <w:pPr>
                    <w:adjustRightInd w:val="0"/>
                    <w:snapToGrid w:val="0"/>
                    <w:jc w:val="center"/>
                    <w:rPr>
                      <w:strike w:val="0"/>
                      <w:dstrike w:val="0"/>
                      <w:color w:val="auto"/>
                      <w:kern w:val="0"/>
                      <w:szCs w:val="21"/>
                      <w:highlight w:val="none"/>
                    </w:rPr>
                  </w:pPr>
                </w:p>
              </w:tc>
              <w:tc>
                <w:tcPr>
                  <w:tcW w:w="1243" w:type="dxa"/>
                  <w:vMerge w:val="continue"/>
                  <w:vAlign w:val="center"/>
                </w:tcPr>
                <w:p w14:paraId="5B73E99E">
                  <w:pPr>
                    <w:adjustRightInd w:val="0"/>
                    <w:snapToGrid w:val="0"/>
                    <w:jc w:val="center"/>
                    <w:rPr>
                      <w:strike w:val="0"/>
                      <w:dstrike w:val="0"/>
                      <w:color w:val="auto"/>
                      <w:kern w:val="0"/>
                      <w:szCs w:val="21"/>
                      <w:highlight w:val="none"/>
                    </w:rPr>
                  </w:pPr>
                </w:p>
              </w:tc>
              <w:tc>
                <w:tcPr>
                  <w:tcW w:w="2343" w:type="dxa"/>
                  <w:shd w:val="clear" w:color="auto" w:fill="auto"/>
                  <w:vAlign w:val="center"/>
                </w:tcPr>
                <w:p w14:paraId="2158B30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1，2-二氯丙烷*</w:t>
                  </w:r>
                </w:p>
              </w:tc>
              <w:tc>
                <w:tcPr>
                  <w:tcW w:w="1107" w:type="dxa"/>
                  <w:shd w:val="clear" w:color="auto" w:fill="auto"/>
                  <w:vAlign w:val="center"/>
                </w:tcPr>
                <w:p w14:paraId="1966CC1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1.1×10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55BFE45A">
                  <w:pPr>
                    <w:adjustRightInd w:val="0"/>
                    <w:snapToGrid w:val="0"/>
                    <w:jc w:val="center"/>
                    <w:rPr>
                      <w:strike w:val="0"/>
                      <w:dstrike w:val="0"/>
                      <w:color w:val="auto"/>
                      <w:kern w:val="0"/>
                      <w:szCs w:val="21"/>
                      <w:highlight w:val="none"/>
                    </w:rPr>
                  </w:pPr>
                  <w:r>
                    <w:rPr>
                      <w:strike w:val="0"/>
                      <w:dstrike w:val="0"/>
                      <w:color w:val="auto"/>
                      <w:kern w:val="0"/>
                      <w:szCs w:val="21"/>
                      <w:highlight w:val="none"/>
                    </w:rPr>
                    <w:t>5</w:t>
                  </w:r>
                </w:p>
              </w:tc>
              <w:tc>
                <w:tcPr>
                  <w:tcW w:w="823" w:type="dxa"/>
                  <w:vAlign w:val="center"/>
                </w:tcPr>
                <w:p w14:paraId="48896D1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38C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53FC733">
                  <w:pPr>
                    <w:adjustRightInd w:val="0"/>
                    <w:snapToGrid w:val="0"/>
                    <w:jc w:val="center"/>
                    <w:rPr>
                      <w:strike w:val="0"/>
                      <w:dstrike w:val="0"/>
                      <w:color w:val="auto"/>
                      <w:kern w:val="0"/>
                      <w:szCs w:val="21"/>
                      <w:highlight w:val="none"/>
                    </w:rPr>
                  </w:pPr>
                </w:p>
              </w:tc>
              <w:tc>
                <w:tcPr>
                  <w:tcW w:w="1243" w:type="dxa"/>
                  <w:vMerge w:val="continue"/>
                  <w:vAlign w:val="center"/>
                </w:tcPr>
                <w:p w14:paraId="1D05E67C">
                  <w:pPr>
                    <w:adjustRightInd w:val="0"/>
                    <w:snapToGrid w:val="0"/>
                    <w:jc w:val="center"/>
                    <w:rPr>
                      <w:strike w:val="0"/>
                      <w:dstrike w:val="0"/>
                      <w:color w:val="auto"/>
                      <w:kern w:val="0"/>
                      <w:szCs w:val="21"/>
                      <w:highlight w:val="none"/>
                    </w:rPr>
                  </w:pPr>
                </w:p>
              </w:tc>
              <w:tc>
                <w:tcPr>
                  <w:tcW w:w="2343" w:type="dxa"/>
                  <w:shd w:val="clear" w:color="auto" w:fill="auto"/>
                  <w:vAlign w:val="center"/>
                </w:tcPr>
                <w:p w14:paraId="59765CC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1，1，1，2-四氯乙烷*</w:t>
                  </w:r>
                </w:p>
              </w:tc>
              <w:tc>
                <w:tcPr>
                  <w:tcW w:w="1107" w:type="dxa"/>
                  <w:shd w:val="clear" w:color="auto" w:fill="auto"/>
                  <w:vAlign w:val="center"/>
                </w:tcPr>
                <w:p w14:paraId="65BF67F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4CE50138">
                  <w:pPr>
                    <w:adjustRightInd w:val="0"/>
                    <w:snapToGrid w:val="0"/>
                    <w:jc w:val="center"/>
                    <w:rPr>
                      <w:strike w:val="0"/>
                      <w:dstrike w:val="0"/>
                      <w:color w:val="auto"/>
                      <w:kern w:val="0"/>
                      <w:szCs w:val="21"/>
                      <w:highlight w:val="none"/>
                    </w:rPr>
                  </w:pPr>
                  <w:r>
                    <w:rPr>
                      <w:strike w:val="0"/>
                      <w:dstrike w:val="0"/>
                      <w:color w:val="auto"/>
                      <w:kern w:val="0"/>
                      <w:szCs w:val="21"/>
                      <w:highlight w:val="none"/>
                    </w:rPr>
                    <w:t>10</w:t>
                  </w:r>
                </w:p>
              </w:tc>
              <w:tc>
                <w:tcPr>
                  <w:tcW w:w="823" w:type="dxa"/>
                  <w:vAlign w:val="center"/>
                </w:tcPr>
                <w:p w14:paraId="3F979FA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3E0E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6CD54F72">
                  <w:pPr>
                    <w:adjustRightInd w:val="0"/>
                    <w:snapToGrid w:val="0"/>
                    <w:jc w:val="center"/>
                    <w:rPr>
                      <w:strike w:val="0"/>
                      <w:dstrike w:val="0"/>
                      <w:color w:val="auto"/>
                      <w:kern w:val="0"/>
                      <w:szCs w:val="21"/>
                      <w:highlight w:val="none"/>
                    </w:rPr>
                  </w:pPr>
                </w:p>
              </w:tc>
              <w:tc>
                <w:tcPr>
                  <w:tcW w:w="1243" w:type="dxa"/>
                  <w:vMerge w:val="continue"/>
                  <w:vAlign w:val="center"/>
                </w:tcPr>
                <w:p w14:paraId="5AE62E50">
                  <w:pPr>
                    <w:adjustRightInd w:val="0"/>
                    <w:snapToGrid w:val="0"/>
                    <w:jc w:val="center"/>
                    <w:rPr>
                      <w:strike w:val="0"/>
                      <w:dstrike w:val="0"/>
                      <w:color w:val="auto"/>
                      <w:kern w:val="0"/>
                      <w:szCs w:val="21"/>
                      <w:highlight w:val="none"/>
                    </w:rPr>
                  </w:pPr>
                </w:p>
              </w:tc>
              <w:tc>
                <w:tcPr>
                  <w:tcW w:w="2343" w:type="dxa"/>
                  <w:shd w:val="clear" w:color="auto" w:fill="auto"/>
                  <w:vAlign w:val="center"/>
                </w:tcPr>
                <w:p w14:paraId="32CE0FC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 1，2，2-四氯乙烷*</w:t>
                  </w:r>
                </w:p>
              </w:tc>
              <w:tc>
                <w:tcPr>
                  <w:tcW w:w="1107" w:type="dxa"/>
                  <w:shd w:val="clear" w:color="auto" w:fill="auto"/>
                  <w:vAlign w:val="center"/>
                </w:tcPr>
                <w:p w14:paraId="4C27C0A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73B34808">
                  <w:pPr>
                    <w:adjustRightInd w:val="0"/>
                    <w:snapToGrid w:val="0"/>
                    <w:jc w:val="center"/>
                    <w:rPr>
                      <w:strike w:val="0"/>
                      <w:dstrike w:val="0"/>
                      <w:color w:val="auto"/>
                      <w:kern w:val="0"/>
                      <w:szCs w:val="21"/>
                      <w:highlight w:val="none"/>
                    </w:rPr>
                  </w:pPr>
                  <w:r>
                    <w:rPr>
                      <w:strike w:val="0"/>
                      <w:dstrike w:val="0"/>
                      <w:color w:val="auto"/>
                      <w:kern w:val="0"/>
                      <w:szCs w:val="21"/>
                      <w:highlight w:val="none"/>
                    </w:rPr>
                    <w:t>6.8</w:t>
                  </w:r>
                </w:p>
              </w:tc>
              <w:tc>
                <w:tcPr>
                  <w:tcW w:w="823" w:type="dxa"/>
                  <w:vAlign w:val="center"/>
                </w:tcPr>
                <w:p w14:paraId="00F74B8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7CFD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00E14DAA">
                  <w:pPr>
                    <w:adjustRightInd w:val="0"/>
                    <w:snapToGrid w:val="0"/>
                    <w:jc w:val="center"/>
                    <w:rPr>
                      <w:strike w:val="0"/>
                      <w:dstrike w:val="0"/>
                      <w:color w:val="auto"/>
                      <w:kern w:val="0"/>
                      <w:szCs w:val="21"/>
                      <w:highlight w:val="none"/>
                    </w:rPr>
                  </w:pPr>
                </w:p>
              </w:tc>
              <w:tc>
                <w:tcPr>
                  <w:tcW w:w="1243" w:type="dxa"/>
                  <w:vMerge w:val="continue"/>
                  <w:vAlign w:val="center"/>
                </w:tcPr>
                <w:p w14:paraId="65951BF2">
                  <w:pPr>
                    <w:adjustRightInd w:val="0"/>
                    <w:snapToGrid w:val="0"/>
                    <w:jc w:val="center"/>
                    <w:rPr>
                      <w:strike w:val="0"/>
                      <w:dstrike w:val="0"/>
                      <w:color w:val="auto"/>
                      <w:kern w:val="0"/>
                      <w:szCs w:val="21"/>
                      <w:highlight w:val="none"/>
                    </w:rPr>
                  </w:pPr>
                </w:p>
              </w:tc>
              <w:tc>
                <w:tcPr>
                  <w:tcW w:w="2343" w:type="dxa"/>
                  <w:shd w:val="clear" w:color="auto" w:fill="auto"/>
                  <w:vAlign w:val="center"/>
                </w:tcPr>
                <w:p w14:paraId="732407A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四氯乙烯*</w:t>
                  </w:r>
                </w:p>
              </w:tc>
              <w:tc>
                <w:tcPr>
                  <w:tcW w:w="1107" w:type="dxa"/>
                  <w:shd w:val="clear" w:color="auto" w:fill="auto"/>
                  <w:vAlign w:val="center"/>
                </w:tcPr>
                <w:p w14:paraId="5A071BB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1.4×10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16172BB5">
                  <w:pPr>
                    <w:adjustRightInd w:val="0"/>
                    <w:snapToGrid w:val="0"/>
                    <w:jc w:val="center"/>
                    <w:rPr>
                      <w:strike w:val="0"/>
                      <w:dstrike w:val="0"/>
                      <w:color w:val="auto"/>
                      <w:kern w:val="0"/>
                      <w:szCs w:val="21"/>
                      <w:highlight w:val="none"/>
                    </w:rPr>
                  </w:pPr>
                  <w:r>
                    <w:rPr>
                      <w:strike w:val="0"/>
                      <w:dstrike w:val="0"/>
                      <w:color w:val="auto"/>
                      <w:kern w:val="0"/>
                      <w:szCs w:val="21"/>
                      <w:highlight w:val="none"/>
                    </w:rPr>
                    <w:t>53</w:t>
                  </w:r>
                </w:p>
              </w:tc>
              <w:tc>
                <w:tcPr>
                  <w:tcW w:w="823" w:type="dxa"/>
                  <w:vAlign w:val="center"/>
                </w:tcPr>
                <w:p w14:paraId="1F9808D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6E8B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5C4FA199">
                  <w:pPr>
                    <w:adjustRightInd w:val="0"/>
                    <w:snapToGrid w:val="0"/>
                    <w:jc w:val="center"/>
                    <w:rPr>
                      <w:strike w:val="0"/>
                      <w:dstrike w:val="0"/>
                      <w:color w:val="auto"/>
                      <w:kern w:val="0"/>
                      <w:szCs w:val="21"/>
                      <w:highlight w:val="none"/>
                    </w:rPr>
                  </w:pPr>
                </w:p>
              </w:tc>
              <w:tc>
                <w:tcPr>
                  <w:tcW w:w="1243" w:type="dxa"/>
                  <w:vMerge w:val="continue"/>
                  <w:vAlign w:val="center"/>
                </w:tcPr>
                <w:p w14:paraId="0D7C3C69">
                  <w:pPr>
                    <w:adjustRightInd w:val="0"/>
                    <w:snapToGrid w:val="0"/>
                    <w:jc w:val="center"/>
                    <w:rPr>
                      <w:strike w:val="0"/>
                      <w:dstrike w:val="0"/>
                      <w:color w:val="auto"/>
                      <w:kern w:val="0"/>
                      <w:szCs w:val="21"/>
                      <w:highlight w:val="none"/>
                    </w:rPr>
                  </w:pPr>
                </w:p>
              </w:tc>
              <w:tc>
                <w:tcPr>
                  <w:tcW w:w="2343" w:type="dxa"/>
                  <w:shd w:val="clear" w:color="auto" w:fill="auto"/>
                  <w:vAlign w:val="center"/>
                </w:tcPr>
                <w:p w14:paraId="6E347E5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 1， 1-三氯乙烷*</w:t>
                  </w:r>
                </w:p>
              </w:tc>
              <w:tc>
                <w:tcPr>
                  <w:tcW w:w="1107" w:type="dxa"/>
                  <w:shd w:val="clear" w:color="auto" w:fill="auto"/>
                  <w:vAlign w:val="center"/>
                </w:tcPr>
                <w:p w14:paraId="0F1622A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1.3×10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07543F60">
                  <w:pPr>
                    <w:adjustRightInd w:val="0"/>
                    <w:snapToGrid w:val="0"/>
                    <w:jc w:val="center"/>
                    <w:rPr>
                      <w:strike w:val="0"/>
                      <w:dstrike w:val="0"/>
                      <w:color w:val="auto"/>
                      <w:kern w:val="0"/>
                      <w:szCs w:val="21"/>
                      <w:highlight w:val="none"/>
                    </w:rPr>
                  </w:pPr>
                  <w:r>
                    <w:rPr>
                      <w:strike w:val="0"/>
                      <w:dstrike w:val="0"/>
                      <w:color w:val="auto"/>
                      <w:kern w:val="0"/>
                      <w:szCs w:val="21"/>
                      <w:highlight w:val="none"/>
                    </w:rPr>
                    <w:t>840</w:t>
                  </w:r>
                </w:p>
              </w:tc>
              <w:tc>
                <w:tcPr>
                  <w:tcW w:w="823" w:type="dxa"/>
                  <w:vAlign w:val="center"/>
                </w:tcPr>
                <w:p w14:paraId="6306408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67B2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586F7E26">
                  <w:pPr>
                    <w:adjustRightInd w:val="0"/>
                    <w:snapToGrid w:val="0"/>
                    <w:jc w:val="center"/>
                    <w:rPr>
                      <w:strike w:val="0"/>
                      <w:dstrike w:val="0"/>
                      <w:color w:val="auto"/>
                      <w:kern w:val="0"/>
                      <w:szCs w:val="21"/>
                      <w:highlight w:val="none"/>
                    </w:rPr>
                  </w:pPr>
                </w:p>
              </w:tc>
              <w:tc>
                <w:tcPr>
                  <w:tcW w:w="1243" w:type="dxa"/>
                  <w:vMerge w:val="continue"/>
                  <w:vAlign w:val="center"/>
                </w:tcPr>
                <w:p w14:paraId="7E3FF37A">
                  <w:pPr>
                    <w:adjustRightInd w:val="0"/>
                    <w:snapToGrid w:val="0"/>
                    <w:jc w:val="center"/>
                    <w:rPr>
                      <w:strike w:val="0"/>
                      <w:dstrike w:val="0"/>
                      <w:color w:val="auto"/>
                      <w:kern w:val="0"/>
                      <w:szCs w:val="21"/>
                      <w:highlight w:val="none"/>
                    </w:rPr>
                  </w:pPr>
                </w:p>
              </w:tc>
              <w:tc>
                <w:tcPr>
                  <w:tcW w:w="2343" w:type="dxa"/>
                  <w:shd w:val="clear" w:color="auto" w:fill="auto"/>
                  <w:vAlign w:val="center"/>
                </w:tcPr>
                <w:p w14:paraId="388FB85B">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 1，2-三氯乙烷*</w:t>
                  </w:r>
                </w:p>
              </w:tc>
              <w:tc>
                <w:tcPr>
                  <w:tcW w:w="1107" w:type="dxa"/>
                  <w:shd w:val="clear" w:color="auto" w:fill="auto"/>
                  <w:vAlign w:val="center"/>
                </w:tcPr>
                <w:p w14:paraId="7152B5F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401C3718">
                  <w:pPr>
                    <w:adjustRightInd w:val="0"/>
                    <w:snapToGrid w:val="0"/>
                    <w:jc w:val="center"/>
                    <w:rPr>
                      <w:strike w:val="0"/>
                      <w:dstrike w:val="0"/>
                      <w:color w:val="auto"/>
                      <w:kern w:val="0"/>
                      <w:szCs w:val="21"/>
                      <w:highlight w:val="none"/>
                    </w:rPr>
                  </w:pPr>
                  <w:r>
                    <w:rPr>
                      <w:strike w:val="0"/>
                      <w:dstrike w:val="0"/>
                      <w:color w:val="auto"/>
                      <w:kern w:val="0"/>
                      <w:szCs w:val="21"/>
                      <w:highlight w:val="none"/>
                    </w:rPr>
                    <w:t>2.8</w:t>
                  </w:r>
                </w:p>
              </w:tc>
              <w:tc>
                <w:tcPr>
                  <w:tcW w:w="823" w:type="dxa"/>
                  <w:vAlign w:val="center"/>
                </w:tcPr>
                <w:p w14:paraId="7B08ABF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0CEA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22CB081F">
                  <w:pPr>
                    <w:adjustRightInd w:val="0"/>
                    <w:snapToGrid w:val="0"/>
                    <w:jc w:val="center"/>
                    <w:rPr>
                      <w:strike w:val="0"/>
                      <w:dstrike w:val="0"/>
                      <w:color w:val="auto"/>
                      <w:kern w:val="0"/>
                      <w:szCs w:val="21"/>
                      <w:highlight w:val="none"/>
                    </w:rPr>
                  </w:pPr>
                </w:p>
              </w:tc>
              <w:tc>
                <w:tcPr>
                  <w:tcW w:w="1243" w:type="dxa"/>
                  <w:vMerge w:val="continue"/>
                  <w:vAlign w:val="center"/>
                </w:tcPr>
                <w:p w14:paraId="3F8350F2">
                  <w:pPr>
                    <w:adjustRightInd w:val="0"/>
                    <w:snapToGrid w:val="0"/>
                    <w:jc w:val="center"/>
                    <w:rPr>
                      <w:strike w:val="0"/>
                      <w:dstrike w:val="0"/>
                      <w:color w:val="auto"/>
                      <w:kern w:val="0"/>
                      <w:szCs w:val="21"/>
                      <w:highlight w:val="none"/>
                    </w:rPr>
                  </w:pPr>
                </w:p>
              </w:tc>
              <w:tc>
                <w:tcPr>
                  <w:tcW w:w="2343" w:type="dxa"/>
                  <w:shd w:val="clear" w:color="auto" w:fill="auto"/>
                  <w:vAlign w:val="center"/>
                </w:tcPr>
                <w:p w14:paraId="6200A50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三氯乙烯*</w:t>
                  </w:r>
                </w:p>
              </w:tc>
              <w:tc>
                <w:tcPr>
                  <w:tcW w:w="1107" w:type="dxa"/>
                  <w:shd w:val="clear" w:color="auto" w:fill="auto"/>
                  <w:vAlign w:val="center"/>
                </w:tcPr>
                <w:p w14:paraId="11DB365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4ABBE2C2">
                  <w:pPr>
                    <w:adjustRightInd w:val="0"/>
                    <w:snapToGrid w:val="0"/>
                    <w:jc w:val="center"/>
                    <w:rPr>
                      <w:strike w:val="0"/>
                      <w:dstrike w:val="0"/>
                      <w:color w:val="auto"/>
                      <w:kern w:val="0"/>
                      <w:szCs w:val="21"/>
                      <w:highlight w:val="none"/>
                    </w:rPr>
                  </w:pPr>
                  <w:r>
                    <w:rPr>
                      <w:strike w:val="0"/>
                      <w:dstrike w:val="0"/>
                      <w:color w:val="auto"/>
                      <w:kern w:val="0"/>
                      <w:szCs w:val="21"/>
                      <w:highlight w:val="none"/>
                    </w:rPr>
                    <w:t>2.8</w:t>
                  </w:r>
                </w:p>
              </w:tc>
              <w:tc>
                <w:tcPr>
                  <w:tcW w:w="823" w:type="dxa"/>
                  <w:vAlign w:val="center"/>
                </w:tcPr>
                <w:p w14:paraId="413BF96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0CC3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762BE062">
                  <w:pPr>
                    <w:adjustRightInd w:val="0"/>
                    <w:snapToGrid w:val="0"/>
                    <w:jc w:val="center"/>
                    <w:rPr>
                      <w:strike w:val="0"/>
                      <w:dstrike w:val="0"/>
                      <w:color w:val="auto"/>
                      <w:kern w:val="0"/>
                      <w:szCs w:val="21"/>
                      <w:highlight w:val="none"/>
                    </w:rPr>
                  </w:pPr>
                </w:p>
              </w:tc>
              <w:tc>
                <w:tcPr>
                  <w:tcW w:w="1243" w:type="dxa"/>
                  <w:vMerge w:val="continue"/>
                  <w:vAlign w:val="center"/>
                </w:tcPr>
                <w:p w14:paraId="42C6A9BB">
                  <w:pPr>
                    <w:adjustRightInd w:val="0"/>
                    <w:snapToGrid w:val="0"/>
                    <w:jc w:val="center"/>
                    <w:rPr>
                      <w:strike w:val="0"/>
                      <w:dstrike w:val="0"/>
                      <w:color w:val="auto"/>
                      <w:kern w:val="0"/>
                      <w:szCs w:val="21"/>
                      <w:highlight w:val="none"/>
                    </w:rPr>
                  </w:pPr>
                </w:p>
              </w:tc>
              <w:tc>
                <w:tcPr>
                  <w:tcW w:w="2343" w:type="dxa"/>
                  <w:shd w:val="clear" w:color="auto" w:fill="auto"/>
                  <w:vAlign w:val="center"/>
                </w:tcPr>
                <w:p w14:paraId="4C4F04C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1，2，3-三氯丙烷*</w:t>
                  </w:r>
                </w:p>
              </w:tc>
              <w:tc>
                <w:tcPr>
                  <w:tcW w:w="1107" w:type="dxa"/>
                  <w:shd w:val="clear" w:color="auto" w:fill="auto"/>
                  <w:vAlign w:val="center"/>
                </w:tcPr>
                <w:p w14:paraId="07C5A8E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0D2A1CD3">
                  <w:pPr>
                    <w:adjustRightInd w:val="0"/>
                    <w:snapToGrid w:val="0"/>
                    <w:jc w:val="center"/>
                    <w:rPr>
                      <w:strike w:val="0"/>
                      <w:dstrike w:val="0"/>
                      <w:color w:val="auto"/>
                      <w:kern w:val="0"/>
                      <w:szCs w:val="21"/>
                      <w:highlight w:val="none"/>
                    </w:rPr>
                  </w:pPr>
                  <w:r>
                    <w:rPr>
                      <w:strike w:val="0"/>
                      <w:dstrike w:val="0"/>
                      <w:color w:val="auto"/>
                      <w:kern w:val="0"/>
                      <w:szCs w:val="21"/>
                      <w:highlight w:val="none"/>
                    </w:rPr>
                    <w:t>0.5</w:t>
                  </w:r>
                </w:p>
              </w:tc>
              <w:tc>
                <w:tcPr>
                  <w:tcW w:w="823" w:type="dxa"/>
                  <w:vAlign w:val="center"/>
                </w:tcPr>
                <w:p w14:paraId="79983A4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281F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6BC65B66">
                  <w:pPr>
                    <w:adjustRightInd w:val="0"/>
                    <w:snapToGrid w:val="0"/>
                    <w:jc w:val="center"/>
                    <w:rPr>
                      <w:strike w:val="0"/>
                      <w:dstrike w:val="0"/>
                      <w:color w:val="auto"/>
                      <w:kern w:val="0"/>
                      <w:szCs w:val="21"/>
                      <w:highlight w:val="none"/>
                    </w:rPr>
                  </w:pPr>
                </w:p>
              </w:tc>
              <w:tc>
                <w:tcPr>
                  <w:tcW w:w="1243" w:type="dxa"/>
                  <w:vMerge w:val="continue"/>
                  <w:vAlign w:val="center"/>
                </w:tcPr>
                <w:p w14:paraId="76179FD4">
                  <w:pPr>
                    <w:adjustRightInd w:val="0"/>
                    <w:snapToGrid w:val="0"/>
                    <w:jc w:val="center"/>
                    <w:rPr>
                      <w:strike w:val="0"/>
                      <w:dstrike w:val="0"/>
                      <w:color w:val="auto"/>
                      <w:kern w:val="0"/>
                      <w:szCs w:val="21"/>
                      <w:highlight w:val="none"/>
                    </w:rPr>
                  </w:pPr>
                </w:p>
              </w:tc>
              <w:tc>
                <w:tcPr>
                  <w:tcW w:w="2343" w:type="dxa"/>
                  <w:shd w:val="clear" w:color="auto" w:fill="auto"/>
                  <w:vAlign w:val="center"/>
                </w:tcPr>
                <w:p w14:paraId="62877EB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氯乙烯*</w:t>
                  </w:r>
                </w:p>
              </w:tc>
              <w:tc>
                <w:tcPr>
                  <w:tcW w:w="1107" w:type="dxa"/>
                  <w:shd w:val="clear" w:color="auto" w:fill="auto"/>
                  <w:vAlign w:val="center"/>
                </w:tcPr>
                <w:p w14:paraId="6F7DD04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1.0×10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7D05CFE1">
                  <w:pPr>
                    <w:adjustRightInd w:val="0"/>
                    <w:snapToGrid w:val="0"/>
                    <w:jc w:val="center"/>
                    <w:rPr>
                      <w:strike w:val="0"/>
                      <w:dstrike w:val="0"/>
                      <w:color w:val="auto"/>
                      <w:kern w:val="0"/>
                      <w:szCs w:val="21"/>
                      <w:highlight w:val="none"/>
                    </w:rPr>
                  </w:pPr>
                  <w:r>
                    <w:rPr>
                      <w:strike w:val="0"/>
                      <w:dstrike w:val="0"/>
                      <w:color w:val="auto"/>
                      <w:kern w:val="0"/>
                      <w:szCs w:val="21"/>
                      <w:highlight w:val="none"/>
                    </w:rPr>
                    <w:t>0.43</w:t>
                  </w:r>
                </w:p>
              </w:tc>
              <w:tc>
                <w:tcPr>
                  <w:tcW w:w="823" w:type="dxa"/>
                  <w:vAlign w:val="center"/>
                </w:tcPr>
                <w:p w14:paraId="047E590B">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45E6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2EC43DF2">
                  <w:pPr>
                    <w:adjustRightInd w:val="0"/>
                    <w:snapToGrid w:val="0"/>
                    <w:jc w:val="center"/>
                    <w:rPr>
                      <w:strike w:val="0"/>
                      <w:dstrike w:val="0"/>
                      <w:color w:val="auto"/>
                      <w:kern w:val="0"/>
                      <w:szCs w:val="21"/>
                      <w:highlight w:val="none"/>
                    </w:rPr>
                  </w:pPr>
                </w:p>
              </w:tc>
              <w:tc>
                <w:tcPr>
                  <w:tcW w:w="1243" w:type="dxa"/>
                  <w:vMerge w:val="continue"/>
                  <w:vAlign w:val="center"/>
                </w:tcPr>
                <w:p w14:paraId="03996172">
                  <w:pPr>
                    <w:adjustRightInd w:val="0"/>
                    <w:snapToGrid w:val="0"/>
                    <w:jc w:val="center"/>
                    <w:rPr>
                      <w:strike w:val="0"/>
                      <w:dstrike w:val="0"/>
                      <w:color w:val="auto"/>
                      <w:kern w:val="0"/>
                      <w:szCs w:val="21"/>
                      <w:highlight w:val="none"/>
                    </w:rPr>
                  </w:pPr>
                </w:p>
              </w:tc>
              <w:tc>
                <w:tcPr>
                  <w:tcW w:w="2343" w:type="dxa"/>
                  <w:shd w:val="clear" w:color="auto" w:fill="auto"/>
                  <w:vAlign w:val="center"/>
                </w:tcPr>
                <w:p w14:paraId="5A63263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苯*</w:t>
                  </w:r>
                </w:p>
              </w:tc>
              <w:tc>
                <w:tcPr>
                  <w:tcW w:w="1107" w:type="dxa"/>
                  <w:shd w:val="clear" w:color="auto" w:fill="auto"/>
                  <w:vAlign w:val="center"/>
                </w:tcPr>
                <w:p w14:paraId="4FF18BA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1.9×10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280CFEBE">
                  <w:pPr>
                    <w:adjustRightInd w:val="0"/>
                    <w:snapToGrid w:val="0"/>
                    <w:jc w:val="center"/>
                    <w:rPr>
                      <w:strike w:val="0"/>
                      <w:dstrike w:val="0"/>
                      <w:color w:val="auto"/>
                      <w:kern w:val="0"/>
                      <w:szCs w:val="21"/>
                      <w:highlight w:val="none"/>
                    </w:rPr>
                  </w:pPr>
                  <w:r>
                    <w:rPr>
                      <w:strike w:val="0"/>
                      <w:dstrike w:val="0"/>
                      <w:color w:val="auto"/>
                      <w:kern w:val="0"/>
                      <w:szCs w:val="21"/>
                      <w:highlight w:val="none"/>
                    </w:rPr>
                    <w:t>4</w:t>
                  </w:r>
                </w:p>
              </w:tc>
              <w:tc>
                <w:tcPr>
                  <w:tcW w:w="823" w:type="dxa"/>
                  <w:vAlign w:val="center"/>
                </w:tcPr>
                <w:p w14:paraId="407DCE1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6F90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129357EA">
                  <w:pPr>
                    <w:adjustRightInd w:val="0"/>
                    <w:snapToGrid w:val="0"/>
                    <w:jc w:val="center"/>
                    <w:rPr>
                      <w:strike w:val="0"/>
                      <w:dstrike w:val="0"/>
                      <w:color w:val="auto"/>
                      <w:kern w:val="0"/>
                      <w:szCs w:val="21"/>
                      <w:highlight w:val="none"/>
                    </w:rPr>
                  </w:pPr>
                </w:p>
              </w:tc>
              <w:tc>
                <w:tcPr>
                  <w:tcW w:w="1243" w:type="dxa"/>
                  <w:vMerge w:val="continue"/>
                  <w:vAlign w:val="center"/>
                </w:tcPr>
                <w:p w14:paraId="007290BB">
                  <w:pPr>
                    <w:adjustRightInd w:val="0"/>
                    <w:snapToGrid w:val="0"/>
                    <w:jc w:val="center"/>
                    <w:rPr>
                      <w:strike w:val="0"/>
                      <w:dstrike w:val="0"/>
                      <w:color w:val="auto"/>
                      <w:kern w:val="0"/>
                      <w:szCs w:val="21"/>
                      <w:highlight w:val="none"/>
                    </w:rPr>
                  </w:pPr>
                </w:p>
              </w:tc>
              <w:tc>
                <w:tcPr>
                  <w:tcW w:w="2343" w:type="dxa"/>
                  <w:shd w:val="clear" w:color="auto" w:fill="auto"/>
                  <w:vAlign w:val="center"/>
                </w:tcPr>
                <w:p w14:paraId="78F7FDC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氯苯*</w:t>
                  </w:r>
                </w:p>
              </w:tc>
              <w:tc>
                <w:tcPr>
                  <w:tcW w:w="1107" w:type="dxa"/>
                  <w:shd w:val="clear" w:color="auto" w:fill="auto"/>
                  <w:vAlign w:val="center"/>
                </w:tcPr>
                <w:p w14:paraId="2B43E05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0031BAD6">
                  <w:pPr>
                    <w:adjustRightInd w:val="0"/>
                    <w:snapToGrid w:val="0"/>
                    <w:jc w:val="center"/>
                    <w:rPr>
                      <w:strike w:val="0"/>
                      <w:dstrike w:val="0"/>
                      <w:color w:val="auto"/>
                      <w:kern w:val="0"/>
                      <w:szCs w:val="21"/>
                      <w:highlight w:val="none"/>
                    </w:rPr>
                  </w:pPr>
                  <w:r>
                    <w:rPr>
                      <w:strike w:val="0"/>
                      <w:dstrike w:val="0"/>
                      <w:color w:val="auto"/>
                      <w:kern w:val="0"/>
                      <w:szCs w:val="21"/>
                      <w:highlight w:val="none"/>
                    </w:rPr>
                    <w:t>270</w:t>
                  </w:r>
                </w:p>
              </w:tc>
              <w:tc>
                <w:tcPr>
                  <w:tcW w:w="823" w:type="dxa"/>
                  <w:vAlign w:val="center"/>
                </w:tcPr>
                <w:p w14:paraId="0D467B7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73BB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0B5F0611">
                  <w:pPr>
                    <w:adjustRightInd w:val="0"/>
                    <w:snapToGrid w:val="0"/>
                    <w:jc w:val="center"/>
                    <w:rPr>
                      <w:strike w:val="0"/>
                      <w:dstrike w:val="0"/>
                      <w:color w:val="auto"/>
                      <w:kern w:val="0"/>
                      <w:szCs w:val="21"/>
                      <w:highlight w:val="none"/>
                    </w:rPr>
                  </w:pPr>
                </w:p>
              </w:tc>
              <w:tc>
                <w:tcPr>
                  <w:tcW w:w="1243" w:type="dxa"/>
                  <w:vMerge w:val="continue"/>
                  <w:vAlign w:val="center"/>
                </w:tcPr>
                <w:p w14:paraId="16629FE0">
                  <w:pPr>
                    <w:adjustRightInd w:val="0"/>
                    <w:snapToGrid w:val="0"/>
                    <w:jc w:val="center"/>
                    <w:rPr>
                      <w:strike w:val="0"/>
                      <w:dstrike w:val="0"/>
                      <w:color w:val="auto"/>
                      <w:kern w:val="0"/>
                      <w:szCs w:val="21"/>
                      <w:highlight w:val="none"/>
                    </w:rPr>
                  </w:pPr>
                </w:p>
              </w:tc>
              <w:tc>
                <w:tcPr>
                  <w:tcW w:w="2343" w:type="dxa"/>
                  <w:shd w:val="clear" w:color="auto" w:fill="auto"/>
                  <w:vAlign w:val="center"/>
                </w:tcPr>
                <w:p w14:paraId="0CD365C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1，2-二氯苯*</w:t>
                  </w:r>
                </w:p>
              </w:tc>
              <w:tc>
                <w:tcPr>
                  <w:tcW w:w="1107" w:type="dxa"/>
                  <w:shd w:val="clear" w:color="auto" w:fill="auto"/>
                  <w:vAlign w:val="center"/>
                </w:tcPr>
                <w:p w14:paraId="40CEB87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1.5×10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27D7D211">
                  <w:pPr>
                    <w:adjustRightInd w:val="0"/>
                    <w:snapToGrid w:val="0"/>
                    <w:jc w:val="center"/>
                    <w:rPr>
                      <w:strike w:val="0"/>
                      <w:dstrike w:val="0"/>
                      <w:color w:val="auto"/>
                      <w:kern w:val="0"/>
                      <w:szCs w:val="21"/>
                      <w:highlight w:val="none"/>
                    </w:rPr>
                  </w:pPr>
                  <w:r>
                    <w:rPr>
                      <w:strike w:val="0"/>
                      <w:dstrike w:val="0"/>
                      <w:color w:val="auto"/>
                      <w:kern w:val="0"/>
                      <w:szCs w:val="21"/>
                      <w:highlight w:val="none"/>
                    </w:rPr>
                    <w:t>560</w:t>
                  </w:r>
                </w:p>
              </w:tc>
              <w:tc>
                <w:tcPr>
                  <w:tcW w:w="823" w:type="dxa"/>
                  <w:vAlign w:val="center"/>
                </w:tcPr>
                <w:p w14:paraId="510DC04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732F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74078C6A">
                  <w:pPr>
                    <w:adjustRightInd w:val="0"/>
                    <w:snapToGrid w:val="0"/>
                    <w:jc w:val="center"/>
                    <w:rPr>
                      <w:strike w:val="0"/>
                      <w:dstrike w:val="0"/>
                      <w:color w:val="auto"/>
                      <w:kern w:val="0"/>
                      <w:szCs w:val="21"/>
                      <w:highlight w:val="none"/>
                    </w:rPr>
                  </w:pPr>
                </w:p>
              </w:tc>
              <w:tc>
                <w:tcPr>
                  <w:tcW w:w="1243" w:type="dxa"/>
                  <w:vMerge w:val="continue"/>
                  <w:vAlign w:val="center"/>
                </w:tcPr>
                <w:p w14:paraId="4A6AA278">
                  <w:pPr>
                    <w:adjustRightInd w:val="0"/>
                    <w:snapToGrid w:val="0"/>
                    <w:jc w:val="center"/>
                    <w:rPr>
                      <w:strike w:val="0"/>
                      <w:dstrike w:val="0"/>
                      <w:color w:val="auto"/>
                      <w:kern w:val="0"/>
                      <w:szCs w:val="21"/>
                      <w:highlight w:val="none"/>
                    </w:rPr>
                  </w:pPr>
                </w:p>
              </w:tc>
              <w:tc>
                <w:tcPr>
                  <w:tcW w:w="2343" w:type="dxa"/>
                  <w:shd w:val="clear" w:color="auto" w:fill="auto"/>
                  <w:vAlign w:val="center"/>
                </w:tcPr>
                <w:p w14:paraId="2334622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1，4-二氯苯*</w:t>
                  </w:r>
                </w:p>
              </w:tc>
              <w:tc>
                <w:tcPr>
                  <w:tcW w:w="1107" w:type="dxa"/>
                  <w:shd w:val="clear" w:color="auto" w:fill="auto"/>
                  <w:vAlign w:val="center"/>
                </w:tcPr>
                <w:p w14:paraId="163F74F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1.5×10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2F941451">
                  <w:pPr>
                    <w:adjustRightInd w:val="0"/>
                    <w:snapToGrid w:val="0"/>
                    <w:jc w:val="center"/>
                    <w:rPr>
                      <w:strike w:val="0"/>
                      <w:dstrike w:val="0"/>
                      <w:color w:val="auto"/>
                      <w:kern w:val="0"/>
                      <w:szCs w:val="21"/>
                      <w:highlight w:val="none"/>
                    </w:rPr>
                  </w:pPr>
                  <w:r>
                    <w:rPr>
                      <w:strike w:val="0"/>
                      <w:dstrike w:val="0"/>
                      <w:color w:val="auto"/>
                      <w:kern w:val="0"/>
                      <w:szCs w:val="21"/>
                      <w:highlight w:val="none"/>
                    </w:rPr>
                    <w:t>20</w:t>
                  </w:r>
                </w:p>
              </w:tc>
              <w:tc>
                <w:tcPr>
                  <w:tcW w:w="823" w:type="dxa"/>
                  <w:vAlign w:val="center"/>
                </w:tcPr>
                <w:p w14:paraId="2FC5D5E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C0F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02674778">
                  <w:pPr>
                    <w:adjustRightInd w:val="0"/>
                    <w:snapToGrid w:val="0"/>
                    <w:jc w:val="center"/>
                    <w:rPr>
                      <w:strike w:val="0"/>
                      <w:dstrike w:val="0"/>
                      <w:color w:val="auto"/>
                      <w:kern w:val="0"/>
                      <w:szCs w:val="21"/>
                      <w:highlight w:val="none"/>
                    </w:rPr>
                  </w:pPr>
                </w:p>
              </w:tc>
              <w:tc>
                <w:tcPr>
                  <w:tcW w:w="1243" w:type="dxa"/>
                  <w:vMerge w:val="continue"/>
                  <w:vAlign w:val="center"/>
                </w:tcPr>
                <w:p w14:paraId="2EE34B41">
                  <w:pPr>
                    <w:adjustRightInd w:val="0"/>
                    <w:snapToGrid w:val="0"/>
                    <w:jc w:val="center"/>
                    <w:rPr>
                      <w:strike w:val="0"/>
                      <w:dstrike w:val="0"/>
                      <w:color w:val="auto"/>
                      <w:kern w:val="0"/>
                      <w:szCs w:val="21"/>
                      <w:highlight w:val="none"/>
                    </w:rPr>
                  </w:pPr>
                </w:p>
              </w:tc>
              <w:tc>
                <w:tcPr>
                  <w:tcW w:w="2343" w:type="dxa"/>
                  <w:shd w:val="clear" w:color="auto" w:fill="auto"/>
                  <w:vAlign w:val="center"/>
                </w:tcPr>
                <w:p w14:paraId="006C82F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乙苯*</w:t>
                  </w:r>
                </w:p>
              </w:tc>
              <w:tc>
                <w:tcPr>
                  <w:tcW w:w="1107" w:type="dxa"/>
                  <w:shd w:val="clear" w:color="auto" w:fill="auto"/>
                  <w:vAlign w:val="center"/>
                </w:tcPr>
                <w:p w14:paraId="07E16B8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534AC5DB">
                  <w:pPr>
                    <w:adjustRightInd w:val="0"/>
                    <w:snapToGrid w:val="0"/>
                    <w:jc w:val="center"/>
                    <w:rPr>
                      <w:strike w:val="0"/>
                      <w:dstrike w:val="0"/>
                      <w:color w:val="auto"/>
                      <w:kern w:val="0"/>
                      <w:szCs w:val="21"/>
                      <w:highlight w:val="none"/>
                    </w:rPr>
                  </w:pPr>
                  <w:r>
                    <w:rPr>
                      <w:strike w:val="0"/>
                      <w:dstrike w:val="0"/>
                      <w:color w:val="auto"/>
                      <w:kern w:val="0"/>
                      <w:szCs w:val="21"/>
                      <w:highlight w:val="none"/>
                    </w:rPr>
                    <w:t>28</w:t>
                  </w:r>
                </w:p>
              </w:tc>
              <w:tc>
                <w:tcPr>
                  <w:tcW w:w="823" w:type="dxa"/>
                  <w:vAlign w:val="center"/>
                </w:tcPr>
                <w:p w14:paraId="1725DFA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3F87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7BAC3299">
                  <w:pPr>
                    <w:adjustRightInd w:val="0"/>
                    <w:snapToGrid w:val="0"/>
                    <w:jc w:val="center"/>
                    <w:rPr>
                      <w:strike w:val="0"/>
                      <w:dstrike w:val="0"/>
                      <w:color w:val="auto"/>
                      <w:kern w:val="0"/>
                      <w:szCs w:val="21"/>
                      <w:highlight w:val="none"/>
                    </w:rPr>
                  </w:pPr>
                </w:p>
              </w:tc>
              <w:tc>
                <w:tcPr>
                  <w:tcW w:w="1243" w:type="dxa"/>
                  <w:vMerge w:val="continue"/>
                  <w:vAlign w:val="center"/>
                </w:tcPr>
                <w:p w14:paraId="7FBE79B4">
                  <w:pPr>
                    <w:adjustRightInd w:val="0"/>
                    <w:snapToGrid w:val="0"/>
                    <w:jc w:val="center"/>
                    <w:rPr>
                      <w:strike w:val="0"/>
                      <w:dstrike w:val="0"/>
                      <w:color w:val="auto"/>
                      <w:kern w:val="0"/>
                      <w:szCs w:val="21"/>
                      <w:highlight w:val="none"/>
                    </w:rPr>
                  </w:pPr>
                </w:p>
              </w:tc>
              <w:tc>
                <w:tcPr>
                  <w:tcW w:w="2343" w:type="dxa"/>
                  <w:shd w:val="clear" w:color="auto" w:fill="auto"/>
                  <w:vAlign w:val="center"/>
                </w:tcPr>
                <w:p w14:paraId="1234769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苯乙烯*</w:t>
                  </w:r>
                </w:p>
              </w:tc>
              <w:tc>
                <w:tcPr>
                  <w:tcW w:w="1107" w:type="dxa"/>
                  <w:shd w:val="clear" w:color="auto" w:fill="auto"/>
                  <w:vAlign w:val="center"/>
                </w:tcPr>
                <w:p w14:paraId="0D41D9F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1.1×10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31A7B156">
                  <w:pPr>
                    <w:adjustRightInd w:val="0"/>
                    <w:snapToGrid w:val="0"/>
                    <w:jc w:val="center"/>
                    <w:rPr>
                      <w:strike w:val="0"/>
                      <w:dstrike w:val="0"/>
                      <w:color w:val="auto"/>
                      <w:kern w:val="0"/>
                      <w:szCs w:val="21"/>
                      <w:highlight w:val="none"/>
                    </w:rPr>
                  </w:pPr>
                  <w:r>
                    <w:rPr>
                      <w:strike w:val="0"/>
                      <w:dstrike w:val="0"/>
                      <w:color w:val="auto"/>
                      <w:kern w:val="0"/>
                      <w:szCs w:val="21"/>
                      <w:highlight w:val="none"/>
                    </w:rPr>
                    <w:t>1290</w:t>
                  </w:r>
                </w:p>
              </w:tc>
              <w:tc>
                <w:tcPr>
                  <w:tcW w:w="823" w:type="dxa"/>
                  <w:vAlign w:val="center"/>
                </w:tcPr>
                <w:p w14:paraId="38E9E34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70D8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115B975A">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22DD943C">
                  <w:pPr>
                    <w:pStyle w:val="43"/>
                    <w:kinsoku w:val="0"/>
                    <w:overflowPunct w:val="0"/>
                    <w:jc w:val="center"/>
                    <w:rPr>
                      <w:strike w:val="0"/>
                      <w:dstrike w:val="0"/>
                      <w:color w:val="auto"/>
                      <w:sz w:val="21"/>
                      <w:szCs w:val="21"/>
                      <w:highlight w:val="none"/>
                    </w:rPr>
                  </w:pPr>
                </w:p>
              </w:tc>
              <w:tc>
                <w:tcPr>
                  <w:tcW w:w="2343" w:type="dxa"/>
                  <w:shd w:val="clear" w:color="auto" w:fill="auto"/>
                  <w:vAlign w:val="center"/>
                </w:tcPr>
                <w:p w14:paraId="69887C6B">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甲苯*</w:t>
                  </w:r>
                </w:p>
              </w:tc>
              <w:tc>
                <w:tcPr>
                  <w:tcW w:w="1107" w:type="dxa"/>
                  <w:shd w:val="clear" w:color="auto" w:fill="auto"/>
                  <w:vAlign w:val="center"/>
                </w:tcPr>
                <w:p w14:paraId="46DBDAB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1.3×10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00DC4AA5">
                  <w:pPr>
                    <w:adjustRightInd w:val="0"/>
                    <w:snapToGrid w:val="0"/>
                    <w:jc w:val="center"/>
                    <w:rPr>
                      <w:strike w:val="0"/>
                      <w:dstrike w:val="0"/>
                      <w:color w:val="auto"/>
                      <w:kern w:val="0"/>
                      <w:szCs w:val="21"/>
                      <w:highlight w:val="none"/>
                    </w:rPr>
                  </w:pPr>
                  <w:r>
                    <w:rPr>
                      <w:strike w:val="0"/>
                      <w:dstrike w:val="0"/>
                      <w:color w:val="auto"/>
                      <w:kern w:val="0"/>
                      <w:szCs w:val="21"/>
                      <w:highlight w:val="none"/>
                    </w:rPr>
                    <w:t>1200</w:t>
                  </w:r>
                </w:p>
              </w:tc>
              <w:tc>
                <w:tcPr>
                  <w:tcW w:w="823" w:type="dxa"/>
                  <w:vAlign w:val="center"/>
                </w:tcPr>
                <w:p w14:paraId="7CDD2FA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037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454DA2E8">
                  <w:pPr>
                    <w:adjustRightInd w:val="0"/>
                    <w:snapToGrid w:val="0"/>
                    <w:jc w:val="center"/>
                    <w:rPr>
                      <w:strike w:val="0"/>
                      <w:dstrike w:val="0"/>
                      <w:color w:val="auto"/>
                      <w:kern w:val="0"/>
                      <w:szCs w:val="21"/>
                      <w:highlight w:val="none"/>
                    </w:rPr>
                  </w:pPr>
                </w:p>
              </w:tc>
              <w:tc>
                <w:tcPr>
                  <w:tcW w:w="1243" w:type="dxa"/>
                  <w:vMerge w:val="continue"/>
                  <w:vAlign w:val="center"/>
                </w:tcPr>
                <w:p w14:paraId="1790535A">
                  <w:pPr>
                    <w:adjustRightInd w:val="0"/>
                    <w:snapToGrid w:val="0"/>
                    <w:jc w:val="center"/>
                    <w:rPr>
                      <w:strike w:val="0"/>
                      <w:dstrike w:val="0"/>
                      <w:color w:val="auto"/>
                      <w:kern w:val="0"/>
                      <w:szCs w:val="21"/>
                      <w:highlight w:val="none"/>
                    </w:rPr>
                  </w:pPr>
                </w:p>
              </w:tc>
              <w:tc>
                <w:tcPr>
                  <w:tcW w:w="2343" w:type="dxa"/>
                  <w:shd w:val="clear" w:color="auto" w:fill="auto"/>
                  <w:vAlign w:val="center"/>
                </w:tcPr>
                <w:p w14:paraId="0DB8443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间-二甲苯+对-二甲苯*</w:t>
                  </w:r>
                </w:p>
              </w:tc>
              <w:tc>
                <w:tcPr>
                  <w:tcW w:w="1107" w:type="dxa"/>
                  <w:shd w:val="clear" w:color="auto" w:fill="auto"/>
                  <w:vAlign w:val="center"/>
                </w:tcPr>
                <w:p w14:paraId="5A5AB58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21935C06">
                  <w:pPr>
                    <w:adjustRightInd w:val="0"/>
                    <w:snapToGrid w:val="0"/>
                    <w:jc w:val="center"/>
                    <w:rPr>
                      <w:strike w:val="0"/>
                      <w:dstrike w:val="0"/>
                      <w:color w:val="auto"/>
                      <w:kern w:val="0"/>
                      <w:szCs w:val="21"/>
                      <w:highlight w:val="none"/>
                    </w:rPr>
                  </w:pPr>
                  <w:r>
                    <w:rPr>
                      <w:strike w:val="0"/>
                      <w:dstrike w:val="0"/>
                      <w:color w:val="auto"/>
                      <w:kern w:val="0"/>
                      <w:szCs w:val="21"/>
                      <w:highlight w:val="none"/>
                    </w:rPr>
                    <w:t>570</w:t>
                  </w:r>
                </w:p>
              </w:tc>
              <w:tc>
                <w:tcPr>
                  <w:tcW w:w="823" w:type="dxa"/>
                  <w:vAlign w:val="center"/>
                </w:tcPr>
                <w:p w14:paraId="195C4E7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371B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89F5939">
                  <w:pPr>
                    <w:adjustRightInd w:val="0"/>
                    <w:snapToGrid w:val="0"/>
                    <w:jc w:val="center"/>
                    <w:rPr>
                      <w:strike w:val="0"/>
                      <w:dstrike w:val="0"/>
                      <w:color w:val="auto"/>
                      <w:kern w:val="0"/>
                      <w:szCs w:val="21"/>
                      <w:highlight w:val="none"/>
                    </w:rPr>
                  </w:pPr>
                </w:p>
              </w:tc>
              <w:tc>
                <w:tcPr>
                  <w:tcW w:w="1243" w:type="dxa"/>
                  <w:vMerge w:val="continue"/>
                  <w:vAlign w:val="center"/>
                </w:tcPr>
                <w:p w14:paraId="3BE1DB4E">
                  <w:pPr>
                    <w:adjustRightInd w:val="0"/>
                    <w:snapToGrid w:val="0"/>
                    <w:jc w:val="center"/>
                    <w:rPr>
                      <w:strike w:val="0"/>
                      <w:dstrike w:val="0"/>
                      <w:color w:val="auto"/>
                      <w:kern w:val="0"/>
                      <w:szCs w:val="21"/>
                      <w:highlight w:val="none"/>
                    </w:rPr>
                  </w:pPr>
                </w:p>
              </w:tc>
              <w:tc>
                <w:tcPr>
                  <w:tcW w:w="2343" w:type="dxa"/>
                  <w:shd w:val="clear" w:color="auto" w:fill="auto"/>
                  <w:vAlign w:val="center"/>
                </w:tcPr>
                <w:p w14:paraId="1E1B0CC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邻-二甲苯*</w:t>
                  </w:r>
                </w:p>
              </w:tc>
              <w:tc>
                <w:tcPr>
                  <w:tcW w:w="1107" w:type="dxa"/>
                  <w:shd w:val="clear" w:color="auto" w:fill="auto"/>
                  <w:vAlign w:val="center"/>
                </w:tcPr>
                <w:p w14:paraId="1308D78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1.2×10</w:t>
                  </w:r>
                  <w:r>
                    <w:rPr>
                      <w:strike w:val="0"/>
                      <w:dstrike w:val="0"/>
                      <w:color w:val="auto"/>
                      <w:sz w:val="21"/>
                      <w:szCs w:val="21"/>
                      <w:highlight w:val="none"/>
                      <w:vertAlign w:val="superscript"/>
                    </w:rPr>
                    <w:t>-4</w:t>
                  </w:r>
                  <w:r>
                    <w:rPr>
                      <w:strike w:val="0"/>
                      <w:dstrike w:val="0"/>
                      <w:color w:val="auto"/>
                      <w:sz w:val="21"/>
                      <w:szCs w:val="21"/>
                      <w:highlight w:val="none"/>
                    </w:rPr>
                    <w:t>L</w:t>
                  </w:r>
                </w:p>
              </w:tc>
              <w:tc>
                <w:tcPr>
                  <w:tcW w:w="1431" w:type="dxa"/>
                  <w:vAlign w:val="center"/>
                </w:tcPr>
                <w:p w14:paraId="0A57DBFE">
                  <w:pPr>
                    <w:adjustRightInd w:val="0"/>
                    <w:snapToGrid w:val="0"/>
                    <w:jc w:val="center"/>
                    <w:rPr>
                      <w:strike w:val="0"/>
                      <w:dstrike w:val="0"/>
                      <w:color w:val="auto"/>
                      <w:kern w:val="0"/>
                      <w:szCs w:val="21"/>
                      <w:highlight w:val="none"/>
                    </w:rPr>
                  </w:pPr>
                  <w:r>
                    <w:rPr>
                      <w:strike w:val="0"/>
                      <w:dstrike w:val="0"/>
                      <w:color w:val="auto"/>
                      <w:kern w:val="0"/>
                      <w:szCs w:val="21"/>
                      <w:highlight w:val="none"/>
                    </w:rPr>
                    <w:t>640</w:t>
                  </w:r>
                </w:p>
              </w:tc>
              <w:tc>
                <w:tcPr>
                  <w:tcW w:w="823" w:type="dxa"/>
                  <w:vAlign w:val="center"/>
                </w:tcPr>
                <w:p w14:paraId="3C2733E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9DA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56D09403">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1B1C0A4F">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61A86C3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硝基苯*</w:t>
                  </w:r>
                </w:p>
              </w:tc>
              <w:tc>
                <w:tcPr>
                  <w:tcW w:w="1107" w:type="dxa"/>
                  <w:shd w:val="clear" w:color="auto" w:fill="auto"/>
                  <w:vAlign w:val="center"/>
                </w:tcPr>
                <w:p w14:paraId="3F2B1C8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0.09L</w:t>
                  </w:r>
                </w:p>
              </w:tc>
              <w:tc>
                <w:tcPr>
                  <w:tcW w:w="1431" w:type="dxa"/>
                  <w:vAlign w:val="center"/>
                </w:tcPr>
                <w:p w14:paraId="21F23095">
                  <w:pPr>
                    <w:adjustRightInd w:val="0"/>
                    <w:snapToGrid w:val="0"/>
                    <w:jc w:val="center"/>
                    <w:rPr>
                      <w:strike w:val="0"/>
                      <w:dstrike w:val="0"/>
                      <w:color w:val="auto"/>
                      <w:kern w:val="0"/>
                      <w:szCs w:val="21"/>
                      <w:highlight w:val="none"/>
                    </w:rPr>
                  </w:pPr>
                  <w:r>
                    <w:rPr>
                      <w:strike w:val="0"/>
                      <w:dstrike w:val="0"/>
                      <w:color w:val="auto"/>
                      <w:kern w:val="0"/>
                      <w:szCs w:val="21"/>
                      <w:highlight w:val="none"/>
                    </w:rPr>
                    <w:t>76</w:t>
                  </w:r>
                </w:p>
              </w:tc>
              <w:tc>
                <w:tcPr>
                  <w:tcW w:w="823" w:type="dxa"/>
                  <w:vAlign w:val="center"/>
                </w:tcPr>
                <w:p w14:paraId="439ADDFB">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D4D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2ACED7DF">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19412350">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43A3BCF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苯胺*</w:t>
                  </w:r>
                </w:p>
              </w:tc>
              <w:tc>
                <w:tcPr>
                  <w:tcW w:w="1107" w:type="dxa"/>
                  <w:shd w:val="clear" w:color="auto" w:fill="auto"/>
                  <w:vAlign w:val="center"/>
                </w:tcPr>
                <w:p w14:paraId="6423038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0.02L</w:t>
                  </w:r>
                </w:p>
              </w:tc>
              <w:tc>
                <w:tcPr>
                  <w:tcW w:w="1431" w:type="dxa"/>
                  <w:vAlign w:val="center"/>
                </w:tcPr>
                <w:p w14:paraId="38666F12">
                  <w:pPr>
                    <w:adjustRightInd w:val="0"/>
                    <w:snapToGrid w:val="0"/>
                    <w:jc w:val="center"/>
                    <w:rPr>
                      <w:strike w:val="0"/>
                      <w:dstrike w:val="0"/>
                      <w:color w:val="auto"/>
                      <w:kern w:val="0"/>
                      <w:szCs w:val="21"/>
                      <w:highlight w:val="none"/>
                    </w:rPr>
                  </w:pPr>
                  <w:r>
                    <w:rPr>
                      <w:strike w:val="0"/>
                      <w:dstrike w:val="0"/>
                      <w:color w:val="auto"/>
                      <w:kern w:val="0"/>
                      <w:szCs w:val="21"/>
                      <w:highlight w:val="none"/>
                    </w:rPr>
                    <w:t>260</w:t>
                  </w:r>
                </w:p>
              </w:tc>
              <w:tc>
                <w:tcPr>
                  <w:tcW w:w="823" w:type="dxa"/>
                  <w:vAlign w:val="center"/>
                </w:tcPr>
                <w:p w14:paraId="312EDEC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39DE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A24D07B">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6466FDA1">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283845F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2-氯酚*</w:t>
                  </w:r>
                </w:p>
              </w:tc>
              <w:tc>
                <w:tcPr>
                  <w:tcW w:w="1107" w:type="dxa"/>
                  <w:shd w:val="clear" w:color="auto" w:fill="auto"/>
                  <w:vAlign w:val="center"/>
                </w:tcPr>
                <w:p w14:paraId="68E346F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0.06L</w:t>
                  </w:r>
                </w:p>
              </w:tc>
              <w:tc>
                <w:tcPr>
                  <w:tcW w:w="1431" w:type="dxa"/>
                  <w:vAlign w:val="center"/>
                </w:tcPr>
                <w:p w14:paraId="3135F111">
                  <w:pPr>
                    <w:adjustRightInd w:val="0"/>
                    <w:snapToGrid w:val="0"/>
                    <w:jc w:val="center"/>
                    <w:rPr>
                      <w:strike w:val="0"/>
                      <w:dstrike w:val="0"/>
                      <w:color w:val="auto"/>
                      <w:kern w:val="0"/>
                      <w:szCs w:val="21"/>
                      <w:highlight w:val="none"/>
                    </w:rPr>
                  </w:pPr>
                  <w:r>
                    <w:rPr>
                      <w:strike w:val="0"/>
                      <w:dstrike w:val="0"/>
                      <w:color w:val="auto"/>
                      <w:kern w:val="0"/>
                      <w:szCs w:val="21"/>
                      <w:highlight w:val="none"/>
                    </w:rPr>
                    <w:t>2256</w:t>
                  </w:r>
                </w:p>
              </w:tc>
              <w:tc>
                <w:tcPr>
                  <w:tcW w:w="823" w:type="dxa"/>
                  <w:vAlign w:val="center"/>
                </w:tcPr>
                <w:p w14:paraId="4719430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19DA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64FAB8B">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7B3B929C">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018CE09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苯并[a]蒽*</w:t>
                  </w:r>
                </w:p>
              </w:tc>
              <w:tc>
                <w:tcPr>
                  <w:tcW w:w="1107" w:type="dxa"/>
                  <w:shd w:val="clear" w:color="auto" w:fill="auto"/>
                  <w:vAlign w:val="center"/>
                </w:tcPr>
                <w:p w14:paraId="79041C7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0.1L</w:t>
                  </w:r>
                </w:p>
              </w:tc>
              <w:tc>
                <w:tcPr>
                  <w:tcW w:w="1431" w:type="dxa"/>
                  <w:vAlign w:val="center"/>
                </w:tcPr>
                <w:p w14:paraId="3646527F">
                  <w:pPr>
                    <w:adjustRightInd w:val="0"/>
                    <w:snapToGrid w:val="0"/>
                    <w:jc w:val="center"/>
                    <w:rPr>
                      <w:strike w:val="0"/>
                      <w:dstrike w:val="0"/>
                      <w:color w:val="auto"/>
                      <w:kern w:val="0"/>
                      <w:szCs w:val="21"/>
                      <w:highlight w:val="none"/>
                    </w:rPr>
                  </w:pPr>
                  <w:r>
                    <w:rPr>
                      <w:strike w:val="0"/>
                      <w:dstrike w:val="0"/>
                      <w:color w:val="auto"/>
                      <w:kern w:val="0"/>
                      <w:szCs w:val="21"/>
                      <w:highlight w:val="none"/>
                    </w:rPr>
                    <w:t>15</w:t>
                  </w:r>
                </w:p>
              </w:tc>
              <w:tc>
                <w:tcPr>
                  <w:tcW w:w="823" w:type="dxa"/>
                  <w:vAlign w:val="center"/>
                </w:tcPr>
                <w:p w14:paraId="2FBB1D0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7411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20D4805D">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126E9F9C">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33E0215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苯并[a]芘*</w:t>
                  </w:r>
                </w:p>
              </w:tc>
              <w:tc>
                <w:tcPr>
                  <w:tcW w:w="1107" w:type="dxa"/>
                  <w:shd w:val="clear" w:color="auto" w:fill="auto"/>
                  <w:vAlign w:val="center"/>
                </w:tcPr>
                <w:p w14:paraId="439DA26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0.1L</w:t>
                  </w:r>
                </w:p>
              </w:tc>
              <w:tc>
                <w:tcPr>
                  <w:tcW w:w="1431" w:type="dxa"/>
                  <w:vAlign w:val="center"/>
                </w:tcPr>
                <w:p w14:paraId="25C6213C">
                  <w:pPr>
                    <w:adjustRightInd w:val="0"/>
                    <w:snapToGrid w:val="0"/>
                    <w:jc w:val="center"/>
                    <w:rPr>
                      <w:strike w:val="0"/>
                      <w:dstrike w:val="0"/>
                      <w:color w:val="auto"/>
                      <w:kern w:val="0"/>
                      <w:szCs w:val="21"/>
                      <w:highlight w:val="none"/>
                    </w:rPr>
                  </w:pPr>
                  <w:r>
                    <w:rPr>
                      <w:strike w:val="0"/>
                      <w:dstrike w:val="0"/>
                      <w:color w:val="auto"/>
                      <w:kern w:val="0"/>
                      <w:szCs w:val="21"/>
                      <w:highlight w:val="none"/>
                    </w:rPr>
                    <w:t>1.5</w:t>
                  </w:r>
                </w:p>
              </w:tc>
              <w:tc>
                <w:tcPr>
                  <w:tcW w:w="823" w:type="dxa"/>
                  <w:vAlign w:val="center"/>
                </w:tcPr>
                <w:p w14:paraId="770DB26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4B95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3AA81229">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5B1C0511">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2E212B5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苯并[b]荧蒽*</w:t>
                  </w:r>
                </w:p>
              </w:tc>
              <w:tc>
                <w:tcPr>
                  <w:tcW w:w="1107" w:type="dxa"/>
                  <w:shd w:val="clear" w:color="auto" w:fill="auto"/>
                  <w:vAlign w:val="center"/>
                </w:tcPr>
                <w:p w14:paraId="3F07C52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0.2L</w:t>
                  </w:r>
                </w:p>
              </w:tc>
              <w:tc>
                <w:tcPr>
                  <w:tcW w:w="1431" w:type="dxa"/>
                  <w:vAlign w:val="center"/>
                </w:tcPr>
                <w:p w14:paraId="1EB1F461">
                  <w:pPr>
                    <w:adjustRightInd w:val="0"/>
                    <w:snapToGrid w:val="0"/>
                    <w:jc w:val="center"/>
                    <w:rPr>
                      <w:strike w:val="0"/>
                      <w:dstrike w:val="0"/>
                      <w:color w:val="auto"/>
                      <w:kern w:val="0"/>
                      <w:szCs w:val="21"/>
                      <w:highlight w:val="none"/>
                    </w:rPr>
                  </w:pPr>
                  <w:r>
                    <w:rPr>
                      <w:strike w:val="0"/>
                      <w:dstrike w:val="0"/>
                      <w:color w:val="auto"/>
                      <w:kern w:val="0"/>
                      <w:szCs w:val="21"/>
                      <w:highlight w:val="none"/>
                    </w:rPr>
                    <w:t>15</w:t>
                  </w:r>
                </w:p>
              </w:tc>
              <w:tc>
                <w:tcPr>
                  <w:tcW w:w="823" w:type="dxa"/>
                  <w:vAlign w:val="center"/>
                </w:tcPr>
                <w:p w14:paraId="1DC02E3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6C8B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B684BE8">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085E3119">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1F69E97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苯并[k]荧蒽</w:t>
                  </w:r>
                </w:p>
              </w:tc>
              <w:tc>
                <w:tcPr>
                  <w:tcW w:w="1107" w:type="dxa"/>
                  <w:shd w:val="clear" w:color="auto" w:fill="auto"/>
                  <w:vAlign w:val="center"/>
                </w:tcPr>
                <w:p w14:paraId="78E4386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0.1L</w:t>
                  </w:r>
                </w:p>
              </w:tc>
              <w:tc>
                <w:tcPr>
                  <w:tcW w:w="1431" w:type="dxa"/>
                  <w:vAlign w:val="center"/>
                </w:tcPr>
                <w:p w14:paraId="32AE8E75">
                  <w:pPr>
                    <w:adjustRightInd w:val="0"/>
                    <w:snapToGrid w:val="0"/>
                    <w:jc w:val="center"/>
                    <w:rPr>
                      <w:strike w:val="0"/>
                      <w:dstrike w:val="0"/>
                      <w:color w:val="auto"/>
                      <w:kern w:val="0"/>
                      <w:szCs w:val="21"/>
                      <w:highlight w:val="none"/>
                    </w:rPr>
                  </w:pPr>
                  <w:r>
                    <w:rPr>
                      <w:strike w:val="0"/>
                      <w:dstrike w:val="0"/>
                      <w:color w:val="auto"/>
                      <w:kern w:val="0"/>
                      <w:szCs w:val="21"/>
                      <w:highlight w:val="none"/>
                    </w:rPr>
                    <w:t>151</w:t>
                  </w:r>
                </w:p>
              </w:tc>
              <w:tc>
                <w:tcPr>
                  <w:tcW w:w="823" w:type="dxa"/>
                  <w:vAlign w:val="center"/>
                </w:tcPr>
                <w:p w14:paraId="4B53D30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43C9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1274F229">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5254417A">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4AEA3F3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䓛*</w:t>
                  </w:r>
                </w:p>
              </w:tc>
              <w:tc>
                <w:tcPr>
                  <w:tcW w:w="1107" w:type="dxa"/>
                  <w:shd w:val="clear" w:color="auto" w:fill="auto"/>
                  <w:vAlign w:val="center"/>
                </w:tcPr>
                <w:p w14:paraId="31BA64A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0.1L</w:t>
                  </w:r>
                </w:p>
              </w:tc>
              <w:tc>
                <w:tcPr>
                  <w:tcW w:w="1431" w:type="dxa"/>
                  <w:vAlign w:val="center"/>
                </w:tcPr>
                <w:p w14:paraId="4CFE7894">
                  <w:pPr>
                    <w:adjustRightInd w:val="0"/>
                    <w:snapToGrid w:val="0"/>
                    <w:jc w:val="center"/>
                    <w:rPr>
                      <w:strike w:val="0"/>
                      <w:dstrike w:val="0"/>
                      <w:color w:val="auto"/>
                      <w:kern w:val="0"/>
                      <w:szCs w:val="21"/>
                      <w:highlight w:val="none"/>
                    </w:rPr>
                  </w:pPr>
                  <w:r>
                    <w:rPr>
                      <w:strike w:val="0"/>
                      <w:dstrike w:val="0"/>
                      <w:color w:val="auto"/>
                      <w:kern w:val="0"/>
                      <w:szCs w:val="21"/>
                      <w:highlight w:val="none"/>
                    </w:rPr>
                    <w:t>1293</w:t>
                  </w:r>
                </w:p>
              </w:tc>
              <w:tc>
                <w:tcPr>
                  <w:tcW w:w="823" w:type="dxa"/>
                  <w:vAlign w:val="center"/>
                </w:tcPr>
                <w:p w14:paraId="0602A21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2FB6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552663A3">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5FF19803">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6C67964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二苯并[a，h]蒽*</w:t>
                  </w:r>
                </w:p>
              </w:tc>
              <w:tc>
                <w:tcPr>
                  <w:tcW w:w="1107" w:type="dxa"/>
                  <w:shd w:val="clear" w:color="auto" w:fill="auto"/>
                  <w:vAlign w:val="center"/>
                </w:tcPr>
                <w:p w14:paraId="7FE1618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0.1L</w:t>
                  </w:r>
                </w:p>
              </w:tc>
              <w:tc>
                <w:tcPr>
                  <w:tcW w:w="1431" w:type="dxa"/>
                  <w:vAlign w:val="center"/>
                </w:tcPr>
                <w:p w14:paraId="49364DB7">
                  <w:pPr>
                    <w:adjustRightInd w:val="0"/>
                    <w:snapToGrid w:val="0"/>
                    <w:jc w:val="center"/>
                    <w:rPr>
                      <w:strike w:val="0"/>
                      <w:dstrike w:val="0"/>
                      <w:color w:val="auto"/>
                      <w:kern w:val="0"/>
                      <w:szCs w:val="21"/>
                      <w:highlight w:val="none"/>
                    </w:rPr>
                  </w:pPr>
                  <w:r>
                    <w:rPr>
                      <w:strike w:val="0"/>
                      <w:dstrike w:val="0"/>
                      <w:color w:val="auto"/>
                      <w:kern w:val="0"/>
                      <w:szCs w:val="21"/>
                      <w:highlight w:val="none"/>
                    </w:rPr>
                    <w:t>1.5</w:t>
                  </w:r>
                </w:p>
              </w:tc>
              <w:tc>
                <w:tcPr>
                  <w:tcW w:w="823" w:type="dxa"/>
                  <w:vAlign w:val="center"/>
                </w:tcPr>
                <w:p w14:paraId="38E10D9B">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952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029C1CF1">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5552E9ED">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5E6AD3C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茚并[1，2，3-cd]芘*</w:t>
                  </w:r>
                </w:p>
              </w:tc>
              <w:tc>
                <w:tcPr>
                  <w:tcW w:w="1107" w:type="dxa"/>
                  <w:shd w:val="clear" w:color="auto" w:fill="auto"/>
                  <w:vAlign w:val="center"/>
                </w:tcPr>
                <w:p w14:paraId="3737D09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0.1L</w:t>
                  </w:r>
                </w:p>
              </w:tc>
              <w:tc>
                <w:tcPr>
                  <w:tcW w:w="1431" w:type="dxa"/>
                  <w:vAlign w:val="center"/>
                </w:tcPr>
                <w:p w14:paraId="54D75E93">
                  <w:pPr>
                    <w:adjustRightInd w:val="0"/>
                    <w:snapToGrid w:val="0"/>
                    <w:jc w:val="center"/>
                    <w:rPr>
                      <w:strike w:val="0"/>
                      <w:dstrike w:val="0"/>
                      <w:color w:val="auto"/>
                      <w:kern w:val="0"/>
                      <w:szCs w:val="21"/>
                      <w:highlight w:val="none"/>
                    </w:rPr>
                  </w:pPr>
                  <w:r>
                    <w:rPr>
                      <w:strike w:val="0"/>
                      <w:dstrike w:val="0"/>
                      <w:color w:val="auto"/>
                      <w:kern w:val="0"/>
                      <w:szCs w:val="21"/>
                      <w:highlight w:val="none"/>
                    </w:rPr>
                    <w:t>15</w:t>
                  </w:r>
                </w:p>
              </w:tc>
              <w:tc>
                <w:tcPr>
                  <w:tcW w:w="823" w:type="dxa"/>
                  <w:vAlign w:val="center"/>
                </w:tcPr>
                <w:p w14:paraId="0330B2C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04F0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1B56A46B">
                  <w:pPr>
                    <w:adjustRightInd w:val="0"/>
                    <w:snapToGrid w:val="0"/>
                    <w:jc w:val="center"/>
                    <w:rPr>
                      <w:strike w:val="0"/>
                      <w:dstrike w:val="0"/>
                      <w:color w:val="auto"/>
                      <w:kern w:val="0"/>
                      <w:szCs w:val="21"/>
                      <w:highlight w:val="none"/>
                    </w:rPr>
                  </w:pPr>
                </w:p>
              </w:tc>
              <w:tc>
                <w:tcPr>
                  <w:tcW w:w="1243" w:type="dxa"/>
                  <w:vMerge w:val="continue"/>
                  <w:shd w:val="clear" w:color="auto" w:fill="auto"/>
                  <w:vAlign w:val="center"/>
                </w:tcPr>
                <w:p w14:paraId="259B12F8">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7296452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萘*</w:t>
                  </w:r>
                </w:p>
              </w:tc>
              <w:tc>
                <w:tcPr>
                  <w:tcW w:w="1107" w:type="dxa"/>
                  <w:shd w:val="clear" w:color="auto" w:fill="auto"/>
                  <w:vAlign w:val="center"/>
                </w:tcPr>
                <w:p w14:paraId="3A50276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0.09L</w:t>
                  </w:r>
                </w:p>
              </w:tc>
              <w:tc>
                <w:tcPr>
                  <w:tcW w:w="1431" w:type="dxa"/>
                  <w:vAlign w:val="center"/>
                </w:tcPr>
                <w:p w14:paraId="7BCB842F">
                  <w:pPr>
                    <w:adjustRightInd w:val="0"/>
                    <w:snapToGrid w:val="0"/>
                    <w:jc w:val="center"/>
                    <w:rPr>
                      <w:strike w:val="0"/>
                      <w:dstrike w:val="0"/>
                      <w:color w:val="auto"/>
                      <w:kern w:val="0"/>
                      <w:szCs w:val="21"/>
                      <w:highlight w:val="none"/>
                    </w:rPr>
                  </w:pPr>
                  <w:r>
                    <w:rPr>
                      <w:strike w:val="0"/>
                      <w:dstrike w:val="0"/>
                      <w:color w:val="auto"/>
                      <w:kern w:val="0"/>
                      <w:szCs w:val="21"/>
                      <w:highlight w:val="none"/>
                    </w:rPr>
                    <w:t>70</w:t>
                  </w:r>
                </w:p>
              </w:tc>
              <w:tc>
                <w:tcPr>
                  <w:tcW w:w="823" w:type="dxa"/>
                  <w:vAlign w:val="center"/>
                </w:tcPr>
                <w:p w14:paraId="6F5BCFC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5DB7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restart"/>
                  <w:vAlign w:val="center"/>
                </w:tcPr>
                <w:p w14:paraId="3DB3A94D">
                  <w:pPr>
                    <w:adjustRightInd w:val="0"/>
                    <w:snapToGrid w:val="0"/>
                    <w:jc w:val="center"/>
                    <w:rPr>
                      <w:strike w:val="0"/>
                      <w:dstrike w:val="0"/>
                      <w:color w:val="auto"/>
                      <w:kern w:val="0"/>
                      <w:szCs w:val="21"/>
                      <w:highlight w:val="none"/>
                    </w:rPr>
                  </w:pPr>
                  <w:r>
                    <w:rPr>
                      <w:strike w:val="0"/>
                      <w:dstrike w:val="0"/>
                      <w:color w:val="auto"/>
                      <w:szCs w:val="21"/>
                      <w:highlight w:val="none"/>
                    </w:rPr>
                    <w:t>厂区外西北侧--农用地区域（S2）</w:t>
                  </w:r>
                </w:p>
              </w:tc>
              <w:tc>
                <w:tcPr>
                  <w:tcW w:w="1243" w:type="dxa"/>
                  <w:vMerge w:val="restart"/>
                  <w:shd w:val="clear" w:color="auto" w:fill="auto"/>
                  <w:vAlign w:val="center"/>
                </w:tcPr>
                <w:p w14:paraId="166E848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2024年9月11日</w:t>
                  </w:r>
                </w:p>
              </w:tc>
              <w:tc>
                <w:tcPr>
                  <w:tcW w:w="2343" w:type="dxa"/>
                  <w:shd w:val="clear" w:color="auto" w:fill="auto"/>
                  <w:vAlign w:val="center"/>
                </w:tcPr>
                <w:p w14:paraId="4DCA2E7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pH*</w:t>
                  </w:r>
                </w:p>
              </w:tc>
              <w:tc>
                <w:tcPr>
                  <w:tcW w:w="1107" w:type="dxa"/>
                  <w:shd w:val="clear" w:color="auto" w:fill="auto"/>
                  <w:vAlign w:val="center"/>
                </w:tcPr>
                <w:p w14:paraId="16D7000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5.03</w:t>
                  </w:r>
                </w:p>
              </w:tc>
              <w:tc>
                <w:tcPr>
                  <w:tcW w:w="1431" w:type="dxa"/>
                  <w:vAlign w:val="center"/>
                </w:tcPr>
                <w:p w14:paraId="2D4A4E69">
                  <w:pPr>
                    <w:adjustRightInd w:val="0"/>
                    <w:snapToGrid w:val="0"/>
                    <w:jc w:val="center"/>
                    <w:rPr>
                      <w:strike w:val="0"/>
                      <w:dstrike w:val="0"/>
                      <w:color w:val="auto"/>
                      <w:kern w:val="0"/>
                      <w:szCs w:val="21"/>
                      <w:highlight w:val="none"/>
                    </w:rPr>
                  </w:pPr>
                  <w:r>
                    <w:rPr>
                      <w:strike w:val="0"/>
                      <w:dstrike w:val="0"/>
                      <w:color w:val="auto"/>
                      <w:kern w:val="0"/>
                      <w:szCs w:val="21"/>
                      <w:highlight w:val="none"/>
                    </w:rPr>
                    <w:t>≤5.5</w:t>
                  </w:r>
                </w:p>
              </w:tc>
              <w:tc>
                <w:tcPr>
                  <w:tcW w:w="823" w:type="dxa"/>
                  <w:shd w:val="clear" w:color="auto" w:fill="auto"/>
                  <w:vAlign w:val="center"/>
                </w:tcPr>
                <w:p w14:paraId="76328BE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2540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0938B668">
                  <w:pPr>
                    <w:adjustRightInd w:val="0"/>
                    <w:snapToGrid w:val="0"/>
                    <w:jc w:val="center"/>
                    <w:rPr>
                      <w:strike w:val="0"/>
                      <w:dstrike w:val="0"/>
                      <w:color w:val="auto"/>
                      <w:kern w:val="0"/>
                      <w:szCs w:val="21"/>
                      <w:highlight w:val="none"/>
                    </w:rPr>
                  </w:pPr>
                </w:p>
              </w:tc>
              <w:tc>
                <w:tcPr>
                  <w:tcW w:w="1243" w:type="dxa"/>
                  <w:vMerge w:val="continue"/>
                  <w:vAlign w:val="center"/>
                </w:tcPr>
                <w:p w14:paraId="055E4252">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20A21F0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砷*</w:t>
                  </w:r>
                </w:p>
              </w:tc>
              <w:tc>
                <w:tcPr>
                  <w:tcW w:w="1107" w:type="dxa"/>
                  <w:shd w:val="clear" w:color="auto" w:fill="auto"/>
                  <w:vAlign w:val="center"/>
                </w:tcPr>
                <w:p w14:paraId="1F762B1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3.04</w:t>
                  </w:r>
                </w:p>
              </w:tc>
              <w:tc>
                <w:tcPr>
                  <w:tcW w:w="1431" w:type="dxa"/>
                  <w:vAlign w:val="center"/>
                </w:tcPr>
                <w:p w14:paraId="7C25C2D5">
                  <w:pPr>
                    <w:adjustRightInd w:val="0"/>
                    <w:snapToGrid w:val="0"/>
                    <w:jc w:val="center"/>
                    <w:rPr>
                      <w:strike w:val="0"/>
                      <w:dstrike w:val="0"/>
                      <w:color w:val="auto"/>
                      <w:kern w:val="0"/>
                      <w:szCs w:val="21"/>
                      <w:highlight w:val="none"/>
                    </w:rPr>
                  </w:pPr>
                  <w:r>
                    <w:rPr>
                      <w:strike w:val="0"/>
                      <w:dstrike w:val="0"/>
                      <w:color w:val="auto"/>
                      <w:kern w:val="0"/>
                      <w:szCs w:val="21"/>
                      <w:highlight w:val="none"/>
                    </w:rPr>
                    <w:t>40</w:t>
                  </w:r>
                </w:p>
              </w:tc>
              <w:tc>
                <w:tcPr>
                  <w:tcW w:w="823" w:type="dxa"/>
                  <w:vAlign w:val="center"/>
                </w:tcPr>
                <w:p w14:paraId="594A6DC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0.08</w:t>
                  </w:r>
                </w:p>
              </w:tc>
            </w:tr>
            <w:tr w14:paraId="1A3E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394BEBD8">
                  <w:pPr>
                    <w:adjustRightInd w:val="0"/>
                    <w:snapToGrid w:val="0"/>
                    <w:jc w:val="center"/>
                    <w:rPr>
                      <w:strike w:val="0"/>
                      <w:dstrike w:val="0"/>
                      <w:color w:val="auto"/>
                      <w:kern w:val="0"/>
                      <w:szCs w:val="21"/>
                      <w:highlight w:val="none"/>
                    </w:rPr>
                  </w:pPr>
                </w:p>
              </w:tc>
              <w:tc>
                <w:tcPr>
                  <w:tcW w:w="1243" w:type="dxa"/>
                  <w:vMerge w:val="continue"/>
                  <w:vAlign w:val="center"/>
                </w:tcPr>
                <w:p w14:paraId="43DE3CCA">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2DB8CC0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镉*</w:t>
                  </w:r>
                </w:p>
              </w:tc>
              <w:tc>
                <w:tcPr>
                  <w:tcW w:w="1107" w:type="dxa"/>
                  <w:shd w:val="clear" w:color="auto" w:fill="auto"/>
                  <w:vAlign w:val="center"/>
                </w:tcPr>
                <w:p w14:paraId="3691397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0.26</w:t>
                  </w:r>
                </w:p>
              </w:tc>
              <w:tc>
                <w:tcPr>
                  <w:tcW w:w="1431" w:type="dxa"/>
                  <w:vAlign w:val="center"/>
                </w:tcPr>
                <w:p w14:paraId="603D9B3D">
                  <w:pPr>
                    <w:adjustRightInd w:val="0"/>
                    <w:snapToGrid w:val="0"/>
                    <w:jc w:val="center"/>
                    <w:rPr>
                      <w:strike w:val="0"/>
                      <w:dstrike w:val="0"/>
                      <w:color w:val="auto"/>
                      <w:kern w:val="0"/>
                      <w:szCs w:val="21"/>
                      <w:highlight w:val="none"/>
                    </w:rPr>
                  </w:pPr>
                  <w:r>
                    <w:rPr>
                      <w:strike w:val="0"/>
                      <w:dstrike w:val="0"/>
                      <w:color w:val="auto"/>
                      <w:kern w:val="0"/>
                      <w:szCs w:val="21"/>
                      <w:highlight w:val="none"/>
                    </w:rPr>
                    <w:t>0.3</w:t>
                  </w:r>
                </w:p>
              </w:tc>
              <w:tc>
                <w:tcPr>
                  <w:tcW w:w="823" w:type="dxa"/>
                  <w:vAlign w:val="center"/>
                </w:tcPr>
                <w:p w14:paraId="5236296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0.87</w:t>
                  </w:r>
                </w:p>
              </w:tc>
            </w:tr>
            <w:tr w14:paraId="4F8A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073151BA">
                  <w:pPr>
                    <w:adjustRightInd w:val="0"/>
                    <w:snapToGrid w:val="0"/>
                    <w:jc w:val="center"/>
                    <w:rPr>
                      <w:strike w:val="0"/>
                      <w:dstrike w:val="0"/>
                      <w:color w:val="auto"/>
                      <w:kern w:val="0"/>
                      <w:szCs w:val="21"/>
                      <w:highlight w:val="none"/>
                    </w:rPr>
                  </w:pPr>
                </w:p>
              </w:tc>
              <w:tc>
                <w:tcPr>
                  <w:tcW w:w="1243" w:type="dxa"/>
                  <w:vMerge w:val="continue"/>
                  <w:vAlign w:val="center"/>
                </w:tcPr>
                <w:p w14:paraId="3D7A2E07">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6E06ECD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铜*</w:t>
                  </w:r>
                </w:p>
              </w:tc>
              <w:tc>
                <w:tcPr>
                  <w:tcW w:w="1107" w:type="dxa"/>
                  <w:shd w:val="clear" w:color="auto" w:fill="auto"/>
                  <w:vAlign w:val="center"/>
                </w:tcPr>
                <w:p w14:paraId="02BD8D8C">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23</w:t>
                  </w:r>
                </w:p>
              </w:tc>
              <w:tc>
                <w:tcPr>
                  <w:tcW w:w="1431" w:type="dxa"/>
                  <w:vAlign w:val="center"/>
                </w:tcPr>
                <w:p w14:paraId="7962D954">
                  <w:pPr>
                    <w:adjustRightInd w:val="0"/>
                    <w:snapToGrid w:val="0"/>
                    <w:jc w:val="center"/>
                    <w:rPr>
                      <w:strike w:val="0"/>
                      <w:dstrike w:val="0"/>
                      <w:color w:val="auto"/>
                      <w:kern w:val="0"/>
                      <w:szCs w:val="21"/>
                      <w:highlight w:val="none"/>
                    </w:rPr>
                  </w:pPr>
                  <w:r>
                    <w:rPr>
                      <w:strike w:val="0"/>
                      <w:dstrike w:val="0"/>
                      <w:color w:val="auto"/>
                      <w:kern w:val="0"/>
                      <w:szCs w:val="21"/>
                      <w:highlight w:val="none"/>
                    </w:rPr>
                    <w:t>50</w:t>
                  </w:r>
                </w:p>
              </w:tc>
              <w:tc>
                <w:tcPr>
                  <w:tcW w:w="823" w:type="dxa"/>
                  <w:vAlign w:val="center"/>
                </w:tcPr>
                <w:p w14:paraId="1E8EFA5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0.46</w:t>
                  </w:r>
                </w:p>
              </w:tc>
            </w:tr>
            <w:tr w14:paraId="481E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760762F7">
                  <w:pPr>
                    <w:adjustRightInd w:val="0"/>
                    <w:snapToGrid w:val="0"/>
                    <w:jc w:val="center"/>
                    <w:rPr>
                      <w:strike w:val="0"/>
                      <w:dstrike w:val="0"/>
                      <w:color w:val="auto"/>
                      <w:kern w:val="0"/>
                      <w:szCs w:val="21"/>
                      <w:highlight w:val="none"/>
                    </w:rPr>
                  </w:pPr>
                </w:p>
              </w:tc>
              <w:tc>
                <w:tcPr>
                  <w:tcW w:w="1243" w:type="dxa"/>
                  <w:vMerge w:val="continue"/>
                  <w:vAlign w:val="center"/>
                </w:tcPr>
                <w:p w14:paraId="7DCD6CED">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7ED69A8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镍*</w:t>
                  </w:r>
                </w:p>
              </w:tc>
              <w:tc>
                <w:tcPr>
                  <w:tcW w:w="1107" w:type="dxa"/>
                  <w:shd w:val="clear" w:color="auto" w:fill="auto"/>
                  <w:vAlign w:val="center"/>
                </w:tcPr>
                <w:p w14:paraId="1B29A64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25</w:t>
                  </w:r>
                </w:p>
              </w:tc>
              <w:tc>
                <w:tcPr>
                  <w:tcW w:w="1431" w:type="dxa"/>
                  <w:vAlign w:val="center"/>
                </w:tcPr>
                <w:p w14:paraId="25A742E0">
                  <w:pPr>
                    <w:adjustRightInd w:val="0"/>
                    <w:snapToGrid w:val="0"/>
                    <w:jc w:val="center"/>
                    <w:rPr>
                      <w:strike w:val="0"/>
                      <w:dstrike w:val="0"/>
                      <w:color w:val="auto"/>
                      <w:kern w:val="0"/>
                      <w:szCs w:val="21"/>
                      <w:highlight w:val="none"/>
                    </w:rPr>
                  </w:pPr>
                  <w:r>
                    <w:rPr>
                      <w:strike w:val="0"/>
                      <w:dstrike w:val="0"/>
                      <w:color w:val="auto"/>
                      <w:kern w:val="0"/>
                      <w:szCs w:val="21"/>
                      <w:highlight w:val="none"/>
                    </w:rPr>
                    <w:t>30</w:t>
                  </w:r>
                </w:p>
              </w:tc>
              <w:tc>
                <w:tcPr>
                  <w:tcW w:w="823" w:type="dxa"/>
                  <w:vAlign w:val="center"/>
                </w:tcPr>
                <w:p w14:paraId="162B5CAB">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0.83</w:t>
                  </w:r>
                </w:p>
              </w:tc>
            </w:tr>
            <w:tr w14:paraId="2260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6AEB101F">
                  <w:pPr>
                    <w:adjustRightInd w:val="0"/>
                    <w:snapToGrid w:val="0"/>
                    <w:jc w:val="center"/>
                    <w:rPr>
                      <w:strike w:val="0"/>
                      <w:dstrike w:val="0"/>
                      <w:color w:val="auto"/>
                      <w:kern w:val="0"/>
                      <w:szCs w:val="21"/>
                      <w:highlight w:val="none"/>
                    </w:rPr>
                  </w:pPr>
                </w:p>
              </w:tc>
              <w:tc>
                <w:tcPr>
                  <w:tcW w:w="1243" w:type="dxa"/>
                  <w:vMerge w:val="continue"/>
                  <w:vAlign w:val="center"/>
                </w:tcPr>
                <w:p w14:paraId="7B030620">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592E32B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锌*</w:t>
                  </w:r>
                </w:p>
              </w:tc>
              <w:tc>
                <w:tcPr>
                  <w:tcW w:w="1107" w:type="dxa"/>
                  <w:shd w:val="clear" w:color="auto" w:fill="auto"/>
                  <w:vAlign w:val="center"/>
                </w:tcPr>
                <w:p w14:paraId="17199C3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71</w:t>
                  </w:r>
                </w:p>
              </w:tc>
              <w:tc>
                <w:tcPr>
                  <w:tcW w:w="1431" w:type="dxa"/>
                  <w:vAlign w:val="center"/>
                </w:tcPr>
                <w:p w14:paraId="1A498C89">
                  <w:pPr>
                    <w:adjustRightInd w:val="0"/>
                    <w:snapToGrid w:val="0"/>
                    <w:jc w:val="center"/>
                    <w:rPr>
                      <w:strike w:val="0"/>
                      <w:dstrike w:val="0"/>
                      <w:color w:val="auto"/>
                      <w:kern w:val="0"/>
                      <w:szCs w:val="21"/>
                      <w:highlight w:val="none"/>
                    </w:rPr>
                  </w:pPr>
                  <w:r>
                    <w:rPr>
                      <w:strike w:val="0"/>
                      <w:dstrike w:val="0"/>
                      <w:color w:val="auto"/>
                      <w:kern w:val="0"/>
                      <w:szCs w:val="21"/>
                      <w:highlight w:val="none"/>
                    </w:rPr>
                    <w:t>200</w:t>
                  </w:r>
                </w:p>
              </w:tc>
              <w:tc>
                <w:tcPr>
                  <w:tcW w:w="823" w:type="dxa"/>
                  <w:vAlign w:val="center"/>
                </w:tcPr>
                <w:p w14:paraId="60DEDAD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0.36</w:t>
                  </w:r>
                </w:p>
              </w:tc>
            </w:tr>
            <w:tr w14:paraId="30D4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1389" w:type="dxa"/>
                  <w:vMerge w:val="continue"/>
                  <w:vAlign w:val="center"/>
                </w:tcPr>
                <w:p w14:paraId="30C1B65E">
                  <w:pPr>
                    <w:adjustRightInd w:val="0"/>
                    <w:snapToGrid w:val="0"/>
                    <w:jc w:val="center"/>
                    <w:rPr>
                      <w:strike w:val="0"/>
                      <w:dstrike w:val="0"/>
                      <w:color w:val="auto"/>
                      <w:kern w:val="0"/>
                      <w:szCs w:val="21"/>
                      <w:highlight w:val="none"/>
                    </w:rPr>
                  </w:pPr>
                </w:p>
              </w:tc>
              <w:tc>
                <w:tcPr>
                  <w:tcW w:w="1243" w:type="dxa"/>
                  <w:vMerge w:val="continue"/>
                  <w:vAlign w:val="center"/>
                </w:tcPr>
                <w:p w14:paraId="0E69842E">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12E80D2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铬*</w:t>
                  </w:r>
                </w:p>
              </w:tc>
              <w:tc>
                <w:tcPr>
                  <w:tcW w:w="1107" w:type="dxa"/>
                  <w:shd w:val="clear" w:color="auto" w:fill="auto"/>
                  <w:vAlign w:val="center"/>
                </w:tcPr>
                <w:p w14:paraId="40919D5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66</w:t>
                  </w:r>
                </w:p>
              </w:tc>
              <w:tc>
                <w:tcPr>
                  <w:tcW w:w="1431" w:type="dxa"/>
                  <w:vAlign w:val="center"/>
                </w:tcPr>
                <w:p w14:paraId="5DAD4B9C">
                  <w:pPr>
                    <w:adjustRightInd w:val="0"/>
                    <w:snapToGrid w:val="0"/>
                    <w:jc w:val="center"/>
                    <w:rPr>
                      <w:strike w:val="0"/>
                      <w:dstrike w:val="0"/>
                      <w:color w:val="auto"/>
                      <w:kern w:val="0"/>
                      <w:szCs w:val="21"/>
                      <w:highlight w:val="none"/>
                    </w:rPr>
                  </w:pPr>
                  <w:r>
                    <w:rPr>
                      <w:strike w:val="0"/>
                      <w:dstrike w:val="0"/>
                      <w:color w:val="auto"/>
                      <w:kern w:val="0"/>
                      <w:szCs w:val="21"/>
                      <w:highlight w:val="none"/>
                    </w:rPr>
                    <w:t>150</w:t>
                  </w:r>
                </w:p>
              </w:tc>
              <w:tc>
                <w:tcPr>
                  <w:tcW w:w="823" w:type="dxa"/>
                  <w:vAlign w:val="center"/>
                </w:tcPr>
                <w:p w14:paraId="08C32D5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0.44</w:t>
                  </w:r>
                </w:p>
              </w:tc>
            </w:tr>
            <w:tr w14:paraId="5711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5A10D3D8">
                  <w:pPr>
                    <w:adjustRightInd w:val="0"/>
                    <w:snapToGrid w:val="0"/>
                    <w:jc w:val="center"/>
                    <w:rPr>
                      <w:strike w:val="0"/>
                      <w:dstrike w:val="0"/>
                      <w:color w:val="auto"/>
                      <w:kern w:val="0"/>
                      <w:szCs w:val="21"/>
                      <w:highlight w:val="none"/>
                    </w:rPr>
                  </w:pPr>
                </w:p>
              </w:tc>
              <w:tc>
                <w:tcPr>
                  <w:tcW w:w="1243" w:type="dxa"/>
                  <w:vMerge w:val="continue"/>
                  <w:vAlign w:val="center"/>
                </w:tcPr>
                <w:p w14:paraId="5A0CAEAC">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6D94D1C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汞*</w:t>
                  </w:r>
                </w:p>
              </w:tc>
              <w:tc>
                <w:tcPr>
                  <w:tcW w:w="1107" w:type="dxa"/>
                  <w:shd w:val="clear" w:color="auto" w:fill="auto"/>
                  <w:vAlign w:val="center"/>
                </w:tcPr>
                <w:p w14:paraId="04742AD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0.025</w:t>
                  </w:r>
                </w:p>
              </w:tc>
              <w:tc>
                <w:tcPr>
                  <w:tcW w:w="1431" w:type="dxa"/>
                  <w:vAlign w:val="center"/>
                </w:tcPr>
                <w:p w14:paraId="2C13273F">
                  <w:pPr>
                    <w:adjustRightInd w:val="0"/>
                    <w:snapToGrid w:val="0"/>
                    <w:jc w:val="center"/>
                    <w:rPr>
                      <w:strike w:val="0"/>
                      <w:dstrike w:val="0"/>
                      <w:color w:val="auto"/>
                      <w:kern w:val="0"/>
                      <w:szCs w:val="21"/>
                      <w:highlight w:val="none"/>
                    </w:rPr>
                  </w:pPr>
                  <w:r>
                    <w:rPr>
                      <w:strike w:val="0"/>
                      <w:dstrike w:val="0"/>
                      <w:color w:val="auto"/>
                      <w:kern w:val="0"/>
                      <w:szCs w:val="21"/>
                      <w:highlight w:val="none"/>
                    </w:rPr>
                    <w:t>1.3</w:t>
                  </w:r>
                </w:p>
              </w:tc>
              <w:tc>
                <w:tcPr>
                  <w:tcW w:w="823" w:type="dxa"/>
                  <w:vAlign w:val="center"/>
                </w:tcPr>
                <w:p w14:paraId="4A9C7DC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0.02</w:t>
                  </w:r>
                </w:p>
              </w:tc>
            </w:tr>
            <w:tr w14:paraId="0361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4B986618">
                  <w:pPr>
                    <w:adjustRightInd w:val="0"/>
                    <w:snapToGrid w:val="0"/>
                    <w:jc w:val="center"/>
                    <w:rPr>
                      <w:strike w:val="0"/>
                      <w:dstrike w:val="0"/>
                      <w:color w:val="auto"/>
                      <w:kern w:val="0"/>
                      <w:szCs w:val="21"/>
                      <w:highlight w:val="none"/>
                    </w:rPr>
                  </w:pPr>
                </w:p>
              </w:tc>
              <w:tc>
                <w:tcPr>
                  <w:tcW w:w="1243" w:type="dxa"/>
                  <w:vMerge w:val="continue"/>
                  <w:vAlign w:val="center"/>
                </w:tcPr>
                <w:p w14:paraId="5459E07B">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78E770F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铅*</w:t>
                  </w:r>
                </w:p>
              </w:tc>
              <w:tc>
                <w:tcPr>
                  <w:tcW w:w="1107" w:type="dxa"/>
                  <w:shd w:val="clear" w:color="auto" w:fill="auto"/>
                  <w:vAlign w:val="center"/>
                </w:tcPr>
                <w:p w14:paraId="08DCEB1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27.4</w:t>
                  </w:r>
                </w:p>
              </w:tc>
              <w:tc>
                <w:tcPr>
                  <w:tcW w:w="1431" w:type="dxa"/>
                  <w:vAlign w:val="center"/>
                </w:tcPr>
                <w:p w14:paraId="2F937CCC">
                  <w:pPr>
                    <w:adjustRightInd w:val="0"/>
                    <w:snapToGrid w:val="0"/>
                    <w:jc w:val="center"/>
                    <w:rPr>
                      <w:strike w:val="0"/>
                      <w:dstrike w:val="0"/>
                      <w:color w:val="auto"/>
                      <w:kern w:val="0"/>
                      <w:szCs w:val="21"/>
                      <w:highlight w:val="none"/>
                    </w:rPr>
                  </w:pPr>
                  <w:r>
                    <w:rPr>
                      <w:strike w:val="0"/>
                      <w:dstrike w:val="0"/>
                      <w:color w:val="auto"/>
                      <w:kern w:val="0"/>
                      <w:szCs w:val="21"/>
                      <w:highlight w:val="none"/>
                    </w:rPr>
                    <w:t>70</w:t>
                  </w:r>
                </w:p>
              </w:tc>
              <w:tc>
                <w:tcPr>
                  <w:tcW w:w="823" w:type="dxa"/>
                  <w:vAlign w:val="center"/>
                </w:tcPr>
                <w:p w14:paraId="607FDF2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0.39</w:t>
                  </w:r>
                </w:p>
              </w:tc>
            </w:tr>
            <w:tr w14:paraId="3634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89" w:type="dxa"/>
                  <w:vMerge w:val="continue"/>
                  <w:vAlign w:val="center"/>
                </w:tcPr>
                <w:p w14:paraId="09941697">
                  <w:pPr>
                    <w:adjustRightInd w:val="0"/>
                    <w:snapToGrid w:val="0"/>
                    <w:jc w:val="center"/>
                    <w:rPr>
                      <w:strike w:val="0"/>
                      <w:dstrike w:val="0"/>
                      <w:color w:val="auto"/>
                      <w:kern w:val="0"/>
                      <w:szCs w:val="21"/>
                      <w:highlight w:val="none"/>
                    </w:rPr>
                  </w:pPr>
                </w:p>
              </w:tc>
              <w:tc>
                <w:tcPr>
                  <w:tcW w:w="1243" w:type="dxa"/>
                  <w:vMerge w:val="continue"/>
                  <w:vAlign w:val="center"/>
                </w:tcPr>
                <w:p w14:paraId="2087C41D">
                  <w:pPr>
                    <w:pStyle w:val="46"/>
                    <w:kinsoku w:val="0"/>
                    <w:overflowPunct w:val="0"/>
                    <w:jc w:val="center"/>
                    <w:rPr>
                      <w:strike w:val="0"/>
                      <w:dstrike w:val="0"/>
                      <w:color w:val="auto"/>
                      <w:sz w:val="21"/>
                      <w:szCs w:val="21"/>
                      <w:highlight w:val="none"/>
                    </w:rPr>
                  </w:pPr>
                </w:p>
              </w:tc>
              <w:tc>
                <w:tcPr>
                  <w:tcW w:w="2343" w:type="dxa"/>
                  <w:shd w:val="clear" w:color="auto" w:fill="auto"/>
                  <w:vAlign w:val="center"/>
                </w:tcPr>
                <w:p w14:paraId="62399FEB">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石油烃（C10-C40）*</w:t>
                  </w:r>
                </w:p>
              </w:tc>
              <w:tc>
                <w:tcPr>
                  <w:tcW w:w="1107" w:type="dxa"/>
                  <w:shd w:val="clear" w:color="auto" w:fill="auto"/>
                  <w:vAlign w:val="center"/>
                </w:tcPr>
                <w:p w14:paraId="669D189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24</w:t>
                  </w:r>
                </w:p>
              </w:tc>
              <w:tc>
                <w:tcPr>
                  <w:tcW w:w="1431" w:type="dxa"/>
                  <w:vAlign w:val="center"/>
                </w:tcPr>
                <w:p w14:paraId="6F8C5B71">
                  <w:pPr>
                    <w:adjustRightInd w:val="0"/>
                    <w:snapToGrid w:val="0"/>
                    <w:jc w:val="center"/>
                    <w:rPr>
                      <w:strike w:val="0"/>
                      <w:dstrike w:val="0"/>
                      <w:color w:val="auto"/>
                      <w:kern w:val="0"/>
                      <w:szCs w:val="21"/>
                      <w:highlight w:val="none"/>
                    </w:rPr>
                  </w:pPr>
                  <w:r>
                    <w:rPr>
                      <w:strike w:val="0"/>
                      <w:dstrike w:val="0"/>
                      <w:color w:val="auto"/>
                      <w:kern w:val="0"/>
                      <w:szCs w:val="21"/>
                      <w:highlight w:val="none"/>
                    </w:rPr>
                    <w:t>/</w:t>
                  </w:r>
                </w:p>
              </w:tc>
              <w:tc>
                <w:tcPr>
                  <w:tcW w:w="823" w:type="dxa"/>
                  <w:shd w:val="clear" w:color="auto" w:fill="auto"/>
                  <w:vAlign w:val="center"/>
                </w:tcPr>
                <w:p w14:paraId="18DC187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w:t>
                  </w:r>
                </w:p>
              </w:tc>
            </w:tr>
            <w:tr w14:paraId="71C8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36" w:type="dxa"/>
                  <w:gridSpan w:val="6"/>
                  <w:vAlign w:val="center"/>
                </w:tcPr>
                <w:p w14:paraId="2D62A864">
                  <w:pPr>
                    <w:pStyle w:val="43"/>
                    <w:kinsoku w:val="0"/>
                    <w:overflowPunct w:val="0"/>
                    <w:spacing w:before="60"/>
                    <w:ind w:right="1892"/>
                    <w:jc w:val="center"/>
                    <w:rPr>
                      <w:strike w:val="0"/>
                      <w:dstrike w:val="0"/>
                      <w:color w:val="auto"/>
                      <w:sz w:val="21"/>
                      <w:szCs w:val="21"/>
                      <w:highlight w:val="none"/>
                    </w:rPr>
                  </w:pPr>
                  <w:r>
                    <w:rPr>
                      <w:strike w:val="0"/>
                      <w:dstrike w:val="0"/>
                      <w:color w:val="auto"/>
                      <w:sz w:val="21"/>
                      <w:szCs w:val="21"/>
                      <w:highlight w:val="none"/>
                    </w:rPr>
                    <w:t>备注：当检测结果小于检出限时，报出结果用“检出限L</w:t>
                  </w:r>
                  <w:r>
                    <w:rPr>
                      <w:rFonts w:hint="eastAsia"/>
                      <w:strike w:val="0"/>
                      <w:dstrike w:val="0"/>
                      <w:color w:val="auto"/>
                      <w:sz w:val="21"/>
                      <w:szCs w:val="21"/>
                      <w:highlight w:val="none"/>
                    </w:rPr>
                    <w:t>”</w:t>
                  </w:r>
                  <w:r>
                    <w:rPr>
                      <w:strike w:val="0"/>
                      <w:dstrike w:val="0"/>
                      <w:color w:val="auto"/>
                      <w:sz w:val="21"/>
                      <w:szCs w:val="21"/>
                      <w:highlight w:val="none"/>
                    </w:rPr>
                    <w:t>表示。</w:t>
                  </w:r>
                </w:p>
              </w:tc>
            </w:tr>
          </w:tbl>
          <w:p w14:paraId="79EA0F62">
            <w:pPr>
              <w:adjustRightInd w:val="0"/>
              <w:snapToGrid w:val="0"/>
              <w:spacing w:line="360" w:lineRule="auto"/>
              <w:ind w:firstLine="480" w:firstLineChars="200"/>
              <w:rPr>
                <w:strike w:val="0"/>
                <w:dstrike w:val="0"/>
                <w:color w:val="auto"/>
                <w:kern w:val="0"/>
                <w:sz w:val="24"/>
                <w:highlight w:val="none"/>
              </w:rPr>
            </w:pPr>
            <w:r>
              <w:rPr>
                <w:strike w:val="0"/>
                <w:dstrike w:val="0"/>
                <w:color w:val="auto"/>
                <w:sz w:val="24"/>
                <w:highlight w:val="none"/>
              </w:rPr>
              <w:t>由监测结果可知，项目厂区外农用地区域土壤环境质量满足《土壤环境质量 农用地土壤污染风险管控标准（试行）》（GB15618-2018）表1中其他风险筛选值；项目所在区域土壤环境质量满足《土壤环境质量建设用地土壤污染风险管控标准》（GB36600-2018）第二类用地筛选值，项目所在区域土壤环境质量较好。</w:t>
            </w:r>
          </w:p>
        </w:tc>
      </w:tr>
      <w:tr w14:paraId="2E8C8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499" w:type="dxa"/>
            <w:vAlign w:val="center"/>
          </w:tcPr>
          <w:p w14:paraId="4B9305FE">
            <w:pPr>
              <w:adjustRightInd w:val="0"/>
              <w:snapToGrid w:val="0"/>
              <w:jc w:val="center"/>
              <w:rPr>
                <w:strike w:val="0"/>
                <w:dstrike w:val="0"/>
                <w:color w:val="auto"/>
                <w:kern w:val="0"/>
                <w:sz w:val="24"/>
                <w:highlight w:val="none"/>
              </w:rPr>
            </w:pPr>
            <w:r>
              <w:rPr>
                <w:strike w:val="0"/>
                <w:dstrike w:val="0"/>
                <w:color w:val="auto"/>
                <w:kern w:val="0"/>
                <w:sz w:val="24"/>
                <w:highlight w:val="none"/>
              </w:rPr>
              <w:t>环境</w:t>
            </w:r>
          </w:p>
          <w:p w14:paraId="722ABFBD">
            <w:pPr>
              <w:adjustRightInd w:val="0"/>
              <w:snapToGrid w:val="0"/>
              <w:jc w:val="center"/>
              <w:rPr>
                <w:strike w:val="0"/>
                <w:dstrike w:val="0"/>
                <w:color w:val="auto"/>
                <w:kern w:val="0"/>
                <w:sz w:val="24"/>
                <w:highlight w:val="none"/>
              </w:rPr>
            </w:pPr>
            <w:r>
              <w:rPr>
                <w:strike w:val="0"/>
                <w:dstrike w:val="0"/>
                <w:color w:val="auto"/>
                <w:kern w:val="0"/>
                <w:sz w:val="24"/>
                <w:highlight w:val="none"/>
              </w:rPr>
              <w:t>保护</w:t>
            </w:r>
          </w:p>
          <w:p w14:paraId="03825E4C">
            <w:pPr>
              <w:adjustRightInd w:val="0"/>
              <w:snapToGrid w:val="0"/>
              <w:jc w:val="center"/>
              <w:rPr>
                <w:strike w:val="0"/>
                <w:dstrike w:val="0"/>
                <w:color w:val="auto"/>
                <w:kern w:val="0"/>
                <w:sz w:val="24"/>
                <w:highlight w:val="none"/>
              </w:rPr>
            </w:pPr>
            <w:r>
              <w:rPr>
                <w:strike w:val="0"/>
                <w:dstrike w:val="0"/>
                <w:color w:val="auto"/>
                <w:kern w:val="0"/>
                <w:sz w:val="24"/>
                <w:highlight w:val="none"/>
              </w:rPr>
              <w:t>目标</w:t>
            </w:r>
          </w:p>
        </w:tc>
        <w:tc>
          <w:tcPr>
            <w:tcW w:w="8491" w:type="dxa"/>
            <w:vAlign w:val="center"/>
          </w:tcPr>
          <w:p w14:paraId="28FEC46D">
            <w:pPr>
              <w:spacing w:line="360" w:lineRule="auto"/>
              <w:rPr>
                <w:b/>
                <w:strike w:val="0"/>
                <w:dstrike w:val="0"/>
                <w:color w:val="auto"/>
                <w:kern w:val="0"/>
                <w:sz w:val="24"/>
                <w:highlight w:val="none"/>
              </w:rPr>
            </w:pPr>
            <w:r>
              <w:rPr>
                <w:b/>
                <w:strike w:val="0"/>
                <w:dstrike w:val="0"/>
                <w:color w:val="auto"/>
                <w:kern w:val="0"/>
                <w:sz w:val="24"/>
                <w:highlight w:val="none"/>
              </w:rPr>
              <w:t>3.2环境保护目标</w:t>
            </w:r>
          </w:p>
          <w:p w14:paraId="6F501249">
            <w:pPr>
              <w:spacing w:line="360" w:lineRule="auto"/>
              <w:ind w:firstLine="480" w:firstLineChars="200"/>
              <w:jc w:val="left"/>
              <w:rPr>
                <w:strike w:val="0"/>
                <w:dstrike w:val="0"/>
                <w:color w:val="auto"/>
                <w:kern w:val="0"/>
                <w:sz w:val="24"/>
                <w:highlight w:val="none"/>
              </w:rPr>
            </w:pPr>
            <w:r>
              <w:rPr>
                <w:strike w:val="0"/>
                <w:dstrike w:val="0"/>
                <w:color w:val="auto"/>
                <w:kern w:val="0"/>
                <w:sz w:val="24"/>
                <w:highlight w:val="none"/>
              </w:rPr>
              <w:t>根据现场踏勘，项目东侧为中微大道</w:t>
            </w:r>
            <w:r>
              <w:rPr>
                <w:rFonts w:hint="eastAsia"/>
                <w:strike w:val="0"/>
                <w:dstrike w:val="0"/>
                <w:color w:val="auto"/>
                <w:kern w:val="0"/>
                <w:sz w:val="24"/>
                <w:highlight w:val="none"/>
                <w:lang w:eastAsia="zh-CN"/>
              </w:rPr>
              <w:t>（</w:t>
            </w:r>
            <w:r>
              <w:rPr>
                <w:rFonts w:hint="eastAsia"/>
                <w:strike w:val="0"/>
                <w:dstrike w:val="0"/>
                <w:color w:val="auto"/>
                <w:kern w:val="0"/>
                <w:sz w:val="24"/>
                <w:highlight w:val="none"/>
                <w:lang w:val="en-US" w:eastAsia="zh-CN"/>
              </w:rPr>
              <w:t>城市主干道</w:t>
            </w:r>
            <w:r>
              <w:rPr>
                <w:rFonts w:hint="eastAsia"/>
                <w:strike w:val="0"/>
                <w:dstrike w:val="0"/>
                <w:color w:val="auto"/>
                <w:kern w:val="0"/>
                <w:sz w:val="24"/>
                <w:highlight w:val="none"/>
                <w:lang w:eastAsia="zh-CN"/>
              </w:rPr>
              <w:t>）</w:t>
            </w:r>
            <w:r>
              <w:rPr>
                <w:strike w:val="0"/>
                <w:dstrike w:val="0"/>
                <w:color w:val="auto"/>
                <w:kern w:val="0"/>
                <w:sz w:val="24"/>
                <w:highlight w:val="none"/>
              </w:rPr>
              <w:t>，与重庆国昱科技有限公司隔路相望，</w:t>
            </w:r>
            <w:r>
              <w:rPr>
                <w:strike w:val="0"/>
                <w:dstrike w:val="0"/>
                <w:color w:val="auto"/>
                <w:sz w:val="24"/>
                <w:highlight w:val="none"/>
              </w:rPr>
              <w:t>北</w:t>
            </w:r>
            <w:r>
              <w:rPr>
                <w:rFonts w:hint="eastAsia"/>
                <w:strike w:val="0"/>
                <w:dstrike w:val="0"/>
                <w:color w:val="auto"/>
                <w:sz w:val="24"/>
                <w:highlight w:val="none"/>
              </w:rPr>
              <w:t>侧</w:t>
            </w:r>
            <w:r>
              <w:rPr>
                <w:strike w:val="0"/>
                <w:dstrike w:val="0"/>
                <w:color w:val="auto"/>
                <w:sz w:val="24"/>
                <w:highlight w:val="none"/>
              </w:rPr>
              <w:t>、南</w:t>
            </w:r>
            <w:r>
              <w:rPr>
                <w:rFonts w:hint="eastAsia"/>
                <w:strike w:val="0"/>
                <w:dstrike w:val="0"/>
                <w:color w:val="auto"/>
                <w:sz w:val="24"/>
                <w:highlight w:val="none"/>
              </w:rPr>
              <w:t>侧、西侧</w:t>
            </w:r>
            <w:r>
              <w:rPr>
                <w:strike w:val="0"/>
                <w:dstrike w:val="0"/>
                <w:color w:val="auto"/>
                <w:sz w:val="24"/>
                <w:highlight w:val="none"/>
              </w:rPr>
              <w:t>均为荒地，西</w:t>
            </w:r>
            <w:r>
              <w:rPr>
                <w:rFonts w:hint="eastAsia"/>
                <w:strike w:val="0"/>
                <w:dstrike w:val="0"/>
                <w:color w:val="auto"/>
                <w:sz w:val="24"/>
                <w:highlight w:val="none"/>
              </w:rPr>
              <w:t>北侧</w:t>
            </w:r>
            <w:r>
              <w:rPr>
                <w:strike w:val="0"/>
                <w:dstrike w:val="0"/>
                <w:color w:val="auto"/>
                <w:sz w:val="24"/>
                <w:highlight w:val="none"/>
              </w:rPr>
              <w:t>为耕地。</w:t>
            </w:r>
            <w:r>
              <w:rPr>
                <w:strike w:val="0"/>
                <w:dstrike w:val="0"/>
                <w:color w:val="auto"/>
                <w:kern w:val="0"/>
                <w:sz w:val="24"/>
                <w:highlight w:val="none"/>
              </w:rPr>
              <w:t>项目外环境关系见表3.2-1。</w:t>
            </w:r>
          </w:p>
          <w:p w14:paraId="4F888020">
            <w:pPr>
              <w:spacing w:line="360" w:lineRule="auto"/>
              <w:ind w:firstLine="480" w:firstLineChars="200"/>
              <w:rPr>
                <w:strike w:val="0"/>
                <w:dstrike w:val="0"/>
                <w:color w:val="auto"/>
                <w:kern w:val="0"/>
                <w:sz w:val="24"/>
                <w:highlight w:val="none"/>
              </w:rPr>
            </w:pPr>
            <w:r>
              <w:rPr>
                <w:strike w:val="0"/>
                <w:dstrike w:val="0"/>
                <w:color w:val="auto"/>
                <w:kern w:val="0"/>
                <w:sz w:val="24"/>
                <w:highlight w:val="none"/>
              </w:rPr>
              <w:t>项目厂界外500m范围内无自然保护区、风景名胜区、文化区等大气环境保护目标，周边主要以工业企业分布为主，以及周边存在的几处零散居民点。项目环境保护目标见表3.2-2。</w:t>
            </w:r>
          </w:p>
          <w:p w14:paraId="0FEF48FF">
            <w:pPr>
              <w:jc w:val="center"/>
              <w:rPr>
                <w:b/>
                <w:strike w:val="0"/>
                <w:dstrike w:val="0"/>
                <w:color w:val="auto"/>
                <w:kern w:val="0"/>
                <w:sz w:val="24"/>
                <w:highlight w:val="none"/>
              </w:rPr>
            </w:pPr>
            <w:r>
              <w:rPr>
                <w:b/>
                <w:strike w:val="0"/>
                <w:dstrike w:val="0"/>
                <w:color w:val="auto"/>
                <w:kern w:val="0"/>
                <w:sz w:val="24"/>
                <w:highlight w:val="none"/>
              </w:rPr>
              <w:t>表3.2-1  外环境关系</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6"/>
              <w:gridCol w:w="1947"/>
              <w:gridCol w:w="912"/>
              <w:gridCol w:w="2389"/>
              <w:gridCol w:w="2491"/>
            </w:tblGrid>
            <w:tr w14:paraId="5202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8" w:type="pct"/>
                  <w:vAlign w:val="center"/>
                </w:tcPr>
                <w:p w14:paraId="2F82514A">
                  <w:pPr>
                    <w:jc w:val="center"/>
                    <w:rPr>
                      <w:b/>
                      <w:strike w:val="0"/>
                      <w:dstrike w:val="0"/>
                      <w:color w:val="auto"/>
                      <w:szCs w:val="21"/>
                      <w:highlight w:val="none"/>
                    </w:rPr>
                  </w:pPr>
                  <w:r>
                    <w:rPr>
                      <w:b/>
                      <w:strike w:val="0"/>
                      <w:dstrike w:val="0"/>
                      <w:color w:val="auto"/>
                      <w:szCs w:val="21"/>
                      <w:highlight w:val="none"/>
                    </w:rPr>
                    <w:t>序号</w:t>
                  </w:r>
                </w:p>
              </w:tc>
              <w:tc>
                <w:tcPr>
                  <w:tcW w:w="1177" w:type="pct"/>
                  <w:vAlign w:val="center"/>
                </w:tcPr>
                <w:p w14:paraId="166887B9">
                  <w:pPr>
                    <w:jc w:val="center"/>
                    <w:rPr>
                      <w:b/>
                      <w:strike w:val="0"/>
                      <w:dstrike w:val="0"/>
                      <w:color w:val="auto"/>
                      <w:szCs w:val="21"/>
                      <w:highlight w:val="none"/>
                    </w:rPr>
                  </w:pPr>
                  <w:r>
                    <w:rPr>
                      <w:b/>
                      <w:strike w:val="0"/>
                      <w:dstrike w:val="0"/>
                      <w:color w:val="auto"/>
                      <w:szCs w:val="21"/>
                      <w:highlight w:val="none"/>
                    </w:rPr>
                    <w:t>周边企业名称</w:t>
                  </w:r>
                </w:p>
              </w:tc>
              <w:tc>
                <w:tcPr>
                  <w:tcW w:w="552" w:type="pct"/>
                  <w:vAlign w:val="center"/>
                </w:tcPr>
                <w:p w14:paraId="6D793539">
                  <w:pPr>
                    <w:jc w:val="center"/>
                    <w:rPr>
                      <w:b/>
                      <w:strike w:val="0"/>
                      <w:dstrike w:val="0"/>
                      <w:color w:val="auto"/>
                      <w:szCs w:val="21"/>
                      <w:highlight w:val="none"/>
                    </w:rPr>
                  </w:pPr>
                  <w:r>
                    <w:rPr>
                      <w:b/>
                      <w:strike w:val="0"/>
                      <w:dstrike w:val="0"/>
                      <w:color w:val="auto"/>
                      <w:szCs w:val="21"/>
                      <w:highlight w:val="none"/>
                    </w:rPr>
                    <w:t>方位</w:t>
                  </w:r>
                </w:p>
              </w:tc>
              <w:tc>
                <w:tcPr>
                  <w:tcW w:w="1444" w:type="pct"/>
                  <w:vAlign w:val="center"/>
                </w:tcPr>
                <w:p w14:paraId="0CD94CDC">
                  <w:pPr>
                    <w:jc w:val="center"/>
                    <w:rPr>
                      <w:b/>
                      <w:strike w:val="0"/>
                      <w:dstrike w:val="0"/>
                      <w:color w:val="auto"/>
                      <w:szCs w:val="21"/>
                      <w:highlight w:val="none"/>
                    </w:rPr>
                  </w:pPr>
                  <w:r>
                    <w:rPr>
                      <w:b/>
                      <w:strike w:val="0"/>
                      <w:dstrike w:val="0"/>
                      <w:color w:val="auto"/>
                      <w:szCs w:val="21"/>
                      <w:highlight w:val="none"/>
                    </w:rPr>
                    <w:t>与项目最近距离（m）</w:t>
                  </w:r>
                </w:p>
              </w:tc>
              <w:tc>
                <w:tcPr>
                  <w:tcW w:w="1506" w:type="pct"/>
                  <w:vAlign w:val="center"/>
                </w:tcPr>
                <w:p w14:paraId="205C67C7">
                  <w:pPr>
                    <w:jc w:val="center"/>
                    <w:rPr>
                      <w:b/>
                      <w:strike w:val="0"/>
                      <w:dstrike w:val="0"/>
                      <w:color w:val="auto"/>
                      <w:szCs w:val="21"/>
                      <w:highlight w:val="none"/>
                    </w:rPr>
                  </w:pPr>
                  <w:r>
                    <w:rPr>
                      <w:b/>
                      <w:strike w:val="0"/>
                      <w:dstrike w:val="0"/>
                      <w:color w:val="auto"/>
                      <w:szCs w:val="21"/>
                      <w:highlight w:val="none"/>
                    </w:rPr>
                    <w:t>备注</w:t>
                  </w:r>
                </w:p>
              </w:tc>
            </w:tr>
            <w:tr w14:paraId="4CE8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318" w:type="pct"/>
                  <w:vAlign w:val="center"/>
                </w:tcPr>
                <w:p w14:paraId="6F6E07B8">
                  <w:pPr>
                    <w:snapToGrid w:val="0"/>
                    <w:jc w:val="center"/>
                    <w:rPr>
                      <w:strike w:val="0"/>
                      <w:dstrike w:val="0"/>
                      <w:snapToGrid w:val="0"/>
                      <w:color w:val="auto"/>
                      <w:kern w:val="0"/>
                      <w:szCs w:val="21"/>
                      <w:highlight w:val="none"/>
                    </w:rPr>
                  </w:pPr>
                  <w:r>
                    <w:rPr>
                      <w:strike w:val="0"/>
                      <w:dstrike w:val="0"/>
                      <w:snapToGrid w:val="0"/>
                      <w:color w:val="auto"/>
                      <w:kern w:val="0"/>
                      <w:szCs w:val="21"/>
                      <w:highlight w:val="none"/>
                    </w:rPr>
                    <w:t>1</w:t>
                  </w:r>
                </w:p>
              </w:tc>
              <w:tc>
                <w:tcPr>
                  <w:tcW w:w="1177" w:type="pct"/>
                  <w:vAlign w:val="center"/>
                </w:tcPr>
                <w:p w14:paraId="7FAA7DC9">
                  <w:pPr>
                    <w:snapToGrid w:val="0"/>
                    <w:jc w:val="center"/>
                    <w:rPr>
                      <w:strike w:val="0"/>
                      <w:dstrike w:val="0"/>
                      <w:snapToGrid w:val="0"/>
                      <w:color w:val="auto"/>
                      <w:kern w:val="0"/>
                      <w:szCs w:val="21"/>
                      <w:highlight w:val="none"/>
                    </w:rPr>
                  </w:pPr>
                  <w:r>
                    <w:rPr>
                      <w:strike w:val="0"/>
                      <w:dstrike w:val="0"/>
                      <w:color w:val="auto"/>
                      <w:kern w:val="0"/>
                      <w:szCs w:val="21"/>
                      <w:highlight w:val="none"/>
                    </w:rPr>
                    <w:t>中微大道</w:t>
                  </w:r>
                </w:p>
              </w:tc>
              <w:tc>
                <w:tcPr>
                  <w:tcW w:w="552" w:type="pct"/>
                  <w:vAlign w:val="center"/>
                </w:tcPr>
                <w:p w14:paraId="27D92AD4">
                  <w:pPr>
                    <w:jc w:val="center"/>
                    <w:rPr>
                      <w:bCs/>
                      <w:strike w:val="0"/>
                      <w:dstrike w:val="0"/>
                      <w:color w:val="auto"/>
                      <w:szCs w:val="21"/>
                      <w:highlight w:val="none"/>
                    </w:rPr>
                  </w:pPr>
                  <w:r>
                    <w:rPr>
                      <w:bCs/>
                      <w:strike w:val="0"/>
                      <w:dstrike w:val="0"/>
                      <w:color w:val="auto"/>
                      <w:szCs w:val="21"/>
                      <w:highlight w:val="none"/>
                    </w:rPr>
                    <w:t>E</w:t>
                  </w:r>
                </w:p>
              </w:tc>
              <w:tc>
                <w:tcPr>
                  <w:tcW w:w="1444" w:type="pct"/>
                  <w:vAlign w:val="center"/>
                </w:tcPr>
                <w:p w14:paraId="1F7E25D4">
                  <w:pPr>
                    <w:jc w:val="center"/>
                    <w:rPr>
                      <w:bCs/>
                      <w:strike w:val="0"/>
                      <w:dstrike w:val="0"/>
                      <w:color w:val="auto"/>
                      <w:szCs w:val="21"/>
                      <w:highlight w:val="none"/>
                    </w:rPr>
                  </w:pPr>
                  <w:r>
                    <w:rPr>
                      <w:bCs/>
                      <w:strike w:val="0"/>
                      <w:dstrike w:val="0"/>
                      <w:color w:val="auto"/>
                      <w:szCs w:val="21"/>
                      <w:highlight w:val="none"/>
                    </w:rPr>
                    <w:t>紧邻</w:t>
                  </w:r>
                </w:p>
              </w:tc>
              <w:tc>
                <w:tcPr>
                  <w:tcW w:w="1506" w:type="pct"/>
                  <w:vAlign w:val="center"/>
                </w:tcPr>
                <w:p w14:paraId="2B86C9DE">
                  <w:pPr>
                    <w:jc w:val="center"/>
                    <w:rPr>
                      <w:bCs/>
                      <w:strike w:val="0"/>
                      <w:dstrike w:val="0"/>
                      <w:color w:val="auto"/>
                      <w:szCs w:val="21"/>
                      <w:highlight w:val="none"/>
                    </w:rPr>
                  </w:pPr>
                  <w:r>
                    <w:rPr>
                      <w:bCs/>
                      <w:strike w:val="0"/>
                      <w:dstrike w:val="0"/>
                      <w:color w:val="auto"/>
                      <w:szCs w:val="21"/>
                      <w:highlight w:val="none"/>
                    </w:rPr>
                    <w:t>城市主干道，双向6车道</w:t>
                  </w:r>
                </w:p>
              </w:tc>
            </w:tr>
            <w:tr w14:paraId="5609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318" w:type="pct"/>
                  <w:vAlign w:val="center"/>
                </w:tcPr>
                <w:p w14:paraId="3D74E76F">
                  <w:pPr>
                    <w:jc w:val="center"/>
                    <w:rPr>
                      <w:strike w:val="0"/>
                      <w:dstrike w:val="0"/>
                      <w:snapToGrid w:val="0"/>
                      <w:color w:val="auto"/>
                      <w:kern w:val="0"/>
                      <w:szCs w:val="21"/>
                      <w:highlight w:val="none"/>
                    </w:rPr>
                  </w:pPr>
                  <w:r>
                    <w:rPr>
                      <w:strike w:val="0"/>
                      <w:dstrike w:val="0"/>
                      <w:snapToGrid w:val="0"/>
                      <w:color w:val="auto"/>
                      <w:kern w:val="0"/>
                      <w:szCs w:val="21"/>
                      <w:highlight w:val="none"/>
                    </w:rPr>
                    <w:t>2</w:t>
                  </w:r>
                </w:p>
              </w:tc>
              <w:tc>
                <w:tcPr>
                  <w:tcW w:w="1177" w:type="pct"/>
                  <w:vAlign w:val="center"/>
                </w:tcPr>
                <w:p w14:paraId="51FAC2AC">
                  <w:pPr>
                    <w:jc w:val="center"/>
                    <w:rPr>
                      <w:strike w:val="0"/>
                      <w:dstrike w:val="0"/>
                      <w:snapToGrid w:val="0"/>
                      <w:color w:val="auto"/>
                      <w:kern w:val="0"/>
                      <w:szCs w:val="21"/>
                      <w:highlight w:val="none"/>
                    </w:rPr>
                  </w:pPr>
                  <w:r>
                    <w:rPr>
                      <w:strike w:val="0"/>
                      <w:dstrike w:val="0"/>
                      <w:color w:val="auto"/>
                      <w:kern w:val="0"/>
                      <w:szCs w:val="21"/>
                      <w:highlight w:val="none"/>
                    </w:rPr>
                    <w:t>重庆国昱科技有限公司</w:t>
                  </w:r>
                </w:p>
              </w:tc>
              <w:tc>
                <w:tcPr>
                  <w:tcW w:w="552" w:type="pct"/>
                  <w:vAlign w:val="center"/>
                </w:tcPr>
                <w:p w14:paraId="1C915980">
                  <w:pPr>
                    <w:jc w:val="center"/>
                    <w:rPr>
                      <w:strike w:val="0"/>
                      <w:dstrike w:val="0"/>
                      <w:snapToGrid w:val="0"/>
                      <w:color w:val="auto"/>
                      <w:kern w:val="0"/>
                      <w:szCs w:val="21"/>
                      <w:highlight w:val="none"/>
                    </w:rPr>
                  </w:pPr>
                  <w:r>
                    <w:rPr>
                      <w:strike w:val="0"/>
                      <w:dstrike w:val="0"/>
                      <w:snapToGrid w:val="0"/>
                      <w:color w:val="auto"/>
                      <w:kern w:val="0"/>
                      <w:szCs w:val="21"/>
                      <w:highlight w:val="none"/>
                    </w:rPr>
                    <w:t>SE</w:t>
                  </w:r>
                </w:p>
              </w:tc>
              <w:tc>
                <w:tcPr>
                  <w:tcW w:w="1444" w:type="pct"/>
                  <w:vAlign w:val="center"/>
                </w:tcPr>
                <w:p w14:paraId="39C2DDBD">
                  <w:pPr>
                    <w:jc w:val="center"/>
                    <w:rPr>
                      <w:strike w:val="0"/>
                      <w:dstrike w:val="0"/>
                      <w:snapToGrid w:val="0"/>
                      <w:color w:val="auto"/>
                      <w:kern w:val="0"/>
                      <w:szCs w:val="21"/>
                      <w:highlight w:val="none"/>
                    </w:rPr>
                  </w:pPr>
                  <w:r>
                    <w:rPr>
                      <w:strike w:val="0"/>
                      <w:dstrike w:val="0"/>
                      <w:snapToGrid w:val="0"/>
                      <w:color w:val="auto"/>
                      <w:kern w:val="0"/>
                      <w:szCs w:val="21"/>
                      <w:highlight w:val="none"/>
                    </w:rPr>
                    <w:t>100</w:t>
                  </w:r>
                </w:p>
              </w:tc>
              <w:tc>
                <w:tcPr>
                  <w:tcW w:w="1506" w:type="pct"/>
                  <w:vAlign w:val="center"/>
                </w:tcPr>
                <w:p w14:paraId="0502105C">
                  <w:pPr>
                    <w:jc w:val="center"/>
                    <w:rPr>
                      <w:strike w:val="0"/>
                      <w:dstrike w:val="0"/>
                      <w:snapToGrid w:val="0"/>
                      <w:color w:val="auto"/>
                      <w:kern w:val="0"/>
                      <w:szCs w:val="21"/>
                      <w:highlight w:val="none"/>
                    </w:rPr>
                  </w:pPr>
                  <w:r>
                    <w:rPr>
                      <w:strike w:val="0"/>
                      <w:dstrike w:val="0"/>
                      <w:snapToGrid w:val="0"/>
                      <w:color w:val="auto"/>
                      <w:kern w:val="0"/>
                      <w:szCs w:val="21"/>
                      <w:highlight w:val="none"/>
                    </w:rPr>
                    <w:t>工业企业</w:t>
                  </w:r>
                </w:p>
              </w:tc>
            </w:tr>
            <w:tr w14:paraId="6044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318" w:type="pct"/>
                  <w:vAlign w:val="center"/>
                </w:tcPr>
                <w:p w14:paraId="1B91D0E9">
                  <w:pPr>
                    <w:jc w:val="center"/>
                    <w:rPr>
                      <w:strike w:val="0"/>
                      <w:dstrike w:val="0"/>
                      <w:snapToGrid w:val="0"/>
                      <w:color w:val="auto"/>
                      <w:kern w:val="0"/>
                      <w:szCs w:val="21"/>
                      <w:highlight w:val="none"/>
                    </w:rPr>
                  </w:pPr>
                  <w:r>
                    <w:rPr>
                      <w:strike w:val="0"/>
                      <w:dstrike w:val="0"/>
                      <w:snapToGrid w:val="0"/>
                      <w:color w:val="auto"/>
                      <w:kern w:val="0"/>
                      <w:szCs w:val="21"/>
                      <w:highlight w:val="none"/>
                    </w:rPr>
                    <w:t>3</w:t>
                  </w:r>
                </w:p>
              </w:tc>
              <w:tc>
                <w:tcPr>
                  <w:tcW w:w="1177" w:type="pct"/>
                  <w:vAlign w:val="center"/>
                </w:tcPr>
                <w:p w14:paraId="01490483">
                  <w:pPr>
                    <w:jc w:val="center"/>
                    <w:rPr>
                      <w:strike w:val="0"/>
                      <w:dstrike w:val="0"/>
                      <w:snapToGrid w:val="0"/>
                      <w:color w:val="auto"/>
                      <w:kern w:val="0"/>
                      <w:szCs w:val="21"/>
                      <w:highlight w:val="none"/>
                    </w:rPr>
                  </w:pPr>
                  <w:r>
                    <w:rPr>
                      <w:strike w:val="0"/>
                      <w:dstrike w:val="0"/>
                      <w:snapToGrid w:val="0"/>
                      <w:color w:val="auto"/>
                      <w:kern w:val="0"/>
                      <w:szCs w:val="21"/>
                      <w:highlight w:val="none"/>
                    </w:rPr>
                    <w:t>已建空置厂房</w:t>
                  </w:r>
                </w:p>
              </w:tc>
              <w:tc>
                <w:tcPr>
                  <w:tcW w:w="552" w:type="pct"/>
                  <w:vAlign w:val="center"/>
                </w:tcPr>
                <w:p w14:paraId="69AE0910">
                  <w:pPr>
                    <w:jc w:val="center"/>
                    <w:rPr>
                      <w:bCs/>
                      <w:strike w:val="0"/>
                      <w:dstrike w:val="0"/>
                      <w:color w:val="auto"/>
                      <w:szCs w:val="21"/>
                      <w:highlight w:val="none"/>
                    </w:rPr>
                  </w:pPr>
                  <w:r>
                    <w:rPr>
                      <w:bCs/>
                      <w:strike w:val="0"/>
                      <w:dstrike w:val="0"/>
                      <w:color w:val="auto"/>
                      <w:szCs w:val="21"/>
                      <w:highlight w:val="none"/>
                    </w:rPr>
                    <w:t>E</w:t>
                  </w:r>
                </w:p>
              </w:tc>
              <w:tc>
                <w:tcPr>
                  <w:tcW w:w="1444" w:type="pct"/>
                  <w:vAlign w:val="center"/>
                </w:tcPr>
                <w:p w14:paraId="07E5F659">
                  <w:pPr>
                    <w:jc w:val="center"/>
                    <w:rPr>
                      <w:strike w:val="0"/>
                      <w:dstrike w:val="0"/>
                      <w:snapToGrid w:val="0"/>
                      <w:color w:val="auto"/>
                      <w:kern w:val="0"/>
                      <w:szCs w:val="21"/>
                      <w:highlight w:val="none"/>
                    </w:rPr>
                  </w:pPr>
                  <w:r>
                    <w:rPr>
                      <w:strike w:val="0"/>
                      <w:dstrike w:val="0"/>
                      <w:snapToGrid w:val="0"/>
                      <w:color w:val="auto"/>
                      <w:kern w:val="0"/>
                      <w:szCs w:val="21"/>
                      <w:highlight w:val="none"/>
                    </w:rPr>
                    <w:t>38</w:t>
                  </w:r>
                </w:p>
              </w:tc>
              <w:tc>
                <w:tcPr>
                  <w:tcW w:w="1506" w:type="pct"/>
                  <w:vAlign w:val="center"/>
                </w:tcPr>
                <w:p w14:paraId="1F5852D5">
                  <w:pPr>
                    <w:jc w:val="center"/>
                    <w:rPr>
                      <w:strike w:val="0"/>
                      <w:dstrike w:val="0"/>
                      <w:snapToGrid w:val="0"/>
                      <w:color w:val="auto"/>
                      <w:kern w:val="0"/>
                      <w:szCs w:val="21"/>
                      <w:highlight w:val="none"/>
                    </w:rPr>
                  </w:pPr>
                  <w:r>
                    <w:rPr>
                      <w:strike w:val="0"/>
                      <w:dstrike w:val="0"/>
                      <w:snapToGrid w:val="0"/>
                      <w:color w:val="auto"/>
                      <w:kern w:val="0"/>
                      <w:szCs w:val="21"/>
                      <w:highlight w:val="none"/>
                    </w:rPr>
                    <w:t>已建空置厂房</w:t>
                  </w:r>
                </w:p>
              </w:tc>
            </w:tr>
          </w:tbl>
          <w:p w14:paraId="1927D423">
            <w:pPr>
              <w:jc w:val="center"/>
              <w:rPr>
                <w:b/>
                <w:strike w:val="0"/>
                <w:dstrike w:val="0"/>
                <w:color w:val="auto"/>
                <w:kern w:val="0"/>
                <w:sz w:val="24"/>
                <w:highlight w:val="none"/>
              </w:rPr>
            </w:pPr>
            <w:r>
              <w:rPr>
                <w:b/>
                <w:strike w:val="0"/>
                <w:dstrike w:val="0"/>
                <w:color w:val="auto"/>
                <w:kern w:val="0"/>
                <w:sz w:val="24"/>
                <w:highlight w:val="none"/>
              </w:rPr>
              <w:t>表3.2-2  环境保护目标</w:t>
            </w:r>
          </w:p>
          <w:tbl>
            <w:tblPr>
              <w:tblStyle w:val="22"/>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876"/>
              <w:gridCol w:w="953"/>
              <w:gridCol w:w="1040"/>
              <w:gridCol w:w="766"/>
              <w:gridCol w:w="1093"/>
              <w:gridCol w:w="944"/>
              <w:gridCol w:w="679"/>
              <w:gridCol w:w="1011"/>
            </w:tblGrid>
            <w:tr w14:paraId="61D2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vAlign w:val="center"/>
                </w:tcPr>
                <w:p w14:paraId="6AAFAB42">
                  <w:pPr>
                    <w:jc w:val="center"/>
                    <w:rPr>
                      <w:b/>
                      <w:strike w:val="0"/>
                      <w:dstrike w:val="0"/>
                      <w:color w:val="auto"/>
                      <w:kern w:val="0"/>
                      <w:szCs w:val="21"/>
                      <w:highlight w:val="none"/>
                    </w:rPr>
                  </w:pPr>
                  <w:r>
                    <w:rPr>
                      <w:b/>
                      <w:strike w:val="0"/>
                      <w:dstrike w:val="0"/>
                      <w:color w:val="auto"/>
                      <w:kern w:val="0"/>
                      <w:szCs w:val="21"/>
                      <w:highlight w:val="none"/>
                    </w:rPr>
                    <w:t>敏感要素</w:t>
                  </w:r>
                </w:p>
              </w:tc>
              <w:tc>
                <w:tcPr>
                  <w:tcW w:w="876" w:type="dxa"/>
                  <w:vMerge w:val="restart"/>
                  <w:vAlign w:val="center"/>
                </w:tcPr>
                <w:p w14:paraId="35BFB7BF">
                  <w:pPr>
                    <w:jc w:val="center"/>
                    <w:rPr>
                      <w:b/>
                      <w:strike w:val="0"/>
                      <w:dstrike w:val="0"/>
                      <w:color w:val="auto"/>
                      <w:kern w:val="0"/>
                      <w:szCs w:val="21"/>
                      <w:highlight w:val="none"/>
                    </w:rPr>
                  </w:pPr>
                  <w:r>
                    <w:rPr>
                      <w:b/>
                      <w:strike w:val="0"/>
                      <w:dstrike w:val="0"/>
                      <w:color w:val="auto"/>
                      <w:kern w:val="0"/>
                      <w:szCs w:val="21"/>
                      <w:highlight w:val="none"/>
                    </w:rPr>
                    <w:t>名称</w:t>
                  </w:r>
                </w:p>
              </w:tc>
              <w:tc>
                <w:tcPr>
                  <w:tcW w:w="1993" w:type="dxa"/>
                  <w:gridSpan w:val="2"/>
                  <w:vAlign w:val="center"/>
                </w:tcPr>
                <w:p w14:paraId="7F2D71C3">
                  <w:pPr>
                    <w:jc w:val="center"/>
                    <w:rPr>
                      <w:b/>
                      <w:strike w:val="0"/>
                      <w:dstrike w:val="0"/>
                      <w:color w:val="auto"/>
                      <w:kern w:val="0"/>
                      <w:szCs w:val="21"/>
                      <w:highlight w:val="none"/>
                    </w:rPr>
                  </w:pPr>
                  <w:r>
                    <w:rPr>
                      <w:b/>
                      <w:strike w:val="0"/>
                      <w:dstrike w:val="0"/>
                      <w:color w:val="auto"/>
                      <w:kern w:val="0"/>
                      <w:szCs w:val="21"/>
                      <w:highlight w:val="none"/>
                    </w:rPr>
                    <w:t>坐标/m</w:t>
                  </w:r>
                </w:p>
              </w:tc>
              <w:tc>
                <w:tcPr>
                  <w:tcW w:w="766" w:type="dxa"/>
                  <w:vMerge w:val="restart"/>
                  <w:vAlign w:val="center"/>
                </w:tcPr>
                <w:p w14:paraId="4EC35AA0">
                  <w:pPr>
                    <w:jc w:val="center"/>
                    <w:rPr>
                      <w:b/>
                      <w:strike w:val="0"/>
                      <w:dstrike w:val="0"/>
                      <w:color w:val="auto"/>
                      <w:kern w:val="0"/>
                      <w:szCs w:val="21"/>
                      <w:highlight w:val="none"/>
                    </w:rPr>
                  </w:pPr>
                  <w:r>
                    <w:rPr>
                      <w:b/>
                      <w:strike w:val="0"/>
                      <w:dstrike w:val="0"/>
                      <w:color w:val="auto"/>
                      <w:kern w:val="0"/>
                      <w:szCs w:val="21"/>
                      <w:highlight w:val="none"/>
                    </w:rPr>
                    <w:t>保护对象</w:t>
                  </w:r>
                </w:p>
              </w:tc>
              <w:tc>
                <w:tcPr>
                  <w:tcW w:w="1093" w:type="dxa"/>
                  <w:vMerge w:val="restart"/>
                  <w:vAlign w:val="center"/>
                </w:tcPr>
                <w:p w14:paraId="251D8FED">
                  <w:pPr>
                    <w:jc w:val="center"/>
                    <w:rPr>
                      <w:b/>
                      <w:strike w:val="0"/>
                      <w:dstrike w:val="0"/>
                      <w:color w:val="auto"/>
                      <w:kern w:val="0"/>
                      <w:szCs w:val="21"/>
                      <w:highlight w:val="none"/>
                    </w:rPr>
                  </w:pPr>
                  <w:r>
                    <w:rPr>
                      <w:b/>
                      <w:strike w:val="0"/>
                      <w:dstrike w:val="0"/>
                      <w:color w:val="auto"/>
                      <w:kern w:val="0"/>
                      <w:szCs w:val="21"/>
                      <w:highlight w:val="none"/>
                    </w:rPr>
                    <w:t>保护内容</w:t>
                  </w:r>
                </w:p>
              </w:tc>
              <w:tc>
                <w:tcPr>
                  <w:tcW w:w="944" w:type="dxa"/>
                  <w:vMerge w:val="restart"/>
                  <w:vAlign w:val="center"/>
                </w:tcPr>
                <w:p w14:paraId="35D93A1A">
                  <w:pPr>
                    <w:jc w:val="center"/>
                    <w:rPr>
                      <w:b/>
                      <w:strike w:val="0"/>
                      <w:dstrike w:val="0"/>
                      <w:color w:val="auto"/>
                      <w:kern w:val="0"/>
                      <w:szCs w:val="21"/>
                      <w:highlight w:val="none"/>
                    </w:rPr>
                  </w:pPr>
                  <w:r>
                    <w:rPr>
                      <w:b/>
                      <w:strike w:val="0"/>
                      <w:dstrike w:val="0"/>
                      <w:color w:val="auto"/>
                      <w:kern w:val="0"/>
                      <w:szCs w:val="21"/>
                      <w:highlight w:val="none"/>
                    </w:rPr>
                    <w:t>环境功能</w:t>
                  </w:r>
                </w:p>
              </w:tc>
              <w:tc>
                <w:tcPr>
                  <w:tcW w:w="679" w:type="dxa"/>
                  <w:vMerge w:val="restart"/>
                  <w:vAlign w:val="center"/>
                </w:tcPr>
                <w:p w14:paraId="78ED7632">
                  <w:pPr>
                    <w:jc w:val="center"/>
                    <w:rPr>
                      <w:b/>
                      <w:strike w:val="0"/>
                      <w:dstrike w:val="0"/>
                      <w:color w:val="auto"/>
                      <w:kern w:val="0"/>
                      <w:szCs w:val="21"/>
                      <w:highlight w:val="none"/>
                    </w:rPr>
                  </w:pPr>
                  <w:r>
                    <w:rPr>
                      <w:b/>
                      <w:strike w:val="0"/>
                      <w:dstrike w:val="0"/>
                      <w:color w:val="auto"/>
                      <w:kern w:val="0"/>
                      <w:szCs w:val="21"/>
                      <w:highlight w:val="none"/>
                    </w:rPr>
                    <w:t>相对厂址方位</w:t>
                  </w:r>
                </w:p>
              </w:tc>
              <w:tc>
                <w:tcPr>
                  <w:tcW w:w="1011" w:type="dxa"/>
                  <w:vMerge w:val="restart"/>
                  <w:vAlign w:val="center"/>
                </w:tcPr>
                <w:p w14:paraId="5DFB3342">
                  <w:pPr>
                    <w:jc w:val="center"/>
                    <w:rPr>
                      <w:b/>
                      <w:strike w:val="0"/>
                      <w:dstrike w:val="0"/>
                      <w:color w:val="auto"/>
                      <w:kern w:val="0"/>
                      <w:szCs w:val="21"/>
                      <w:highlight w:val="none"/>
                    </w:rPr>
                  </w:pPr>
                  <w:r>
                    <w:rPr>
                      <w:b/>
                      <w:strike w:val="0"/>
                      <w:dstrike w:val="0"/>
                      <w:color w:val="auto"/>
                      <w:kern w:val="0"/>
                      <w:szCs w:val="21"/>
                      <w:highlight w:val="none"/>
                    </w:rPr>
                    <w:t>相对厂界距离/m</w:t>
                  </w:r>
                </w:p>
              </w:tc>
            </w:tr>
            <w:tr w14:paraId="7D10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vAlign w:val="center"/>
                </w:tcPr>
                <w:p w14:paraId="2EF16C47">
                  <w:pPr>
                    <w:jc w:val="center"/>
                    <w:rPr>
                      <w:strike w:val="0"/>
                      <w:dstrike w:val="0"/>
                      <w:color w:val="auto"/>
                      <w:kern w:val="0"/>
                      <w:szCs w:val="21"/>
                      <w:highlight w:val="none"/>
                    </w:rPr>
                  </w:pPr>
                </w:p>
              </w:tc>
              <w:tc>
                <w:tcPr>
                  <w:tcW w:w="876" w:type="dxa"/>
                  <w:vMerge w:val="continue"/>
                  <w:vAlign w:val="center"/>
                </w:tcPr>
                <w:p w14:paraId="781F0C1C">
                  <w:pPr>
                    <w:jc w:val="center"/>
                    <w:rPr>
                      <w:strike w:val="0"/>
                      <w:dstrike w:val="0"/>
                      <w:color w:val="auto"/>
                      <w:kern w:val="0"/>
                      <w:szCs w:val="21"/>
                      <w:highlight w:val="none"/>
                    </w:rPr>
                  </w:pPr>
                </w:p>
              </w:tc>
              <w:tc>
                <w:tcPr>
                  <w:tcW w:w="953" w:type="dxa"/>
                  <w:vAlign w:val="center"/>
                </w:tcPr>
                <w:p w14:paraId="3A2E7436">
                  <w:pPr>
                    <w:jc w:val="center"/>
                    <w:rPr>
                      <w:strike w:val="0"/>
                      <w:dstrike w:val="0"/>
                      <w:color w:val="auto"/>
                      <w:kern w:val="0"/>
                      <w:szCs w:val="21"/>
                      <w:highlight w:val="none"/>
                    </w:rPr>
                  </w:pPr>
                  <w:r>
                    <w:rPr>
                      <w:strike w:val="0"/>
                      <w:dstrike w:val="0"/>
                      <w:color w:val="auto"/>
                      <w:kern w:val="0"/>
                      <w:szCs w:val="21"/>
                      <w:highlight w:val="none"/>
                    </w:rPr>
                    <w:t>X</w:t>
                  </w:r>
                </w:p>
              </w:tc>
              <w:tc>
                <w:tcPr>
                  <w:tcW w:w="1040" w:type="dxa"/>
                  <w:vAlign w:val="center"/>
                </w:tcPr>
                <w:p w14:paraId="4165491F">
                  <w:pPr>
                    <w:jc w:val="center"/>
                    <w:rPr>
                      <w:strike w:val="0"/>
                      <w:dstrike w:val="0"/>
                      <w:color w:val="auto"/>
                      <w:kern w:val="0"/>
                      <w:szCs w:val="21"/>
                      <w:highlight w:val="none"/>
                    </w:rPr>
                  </w:pPr>
                  <w:r>
                    <w:rPr>
                      <w:strike w:val="0"/>
                      <w:dstrike w:val="0"/>
                      <w:color w:val="auto"/>
                      <w:kern w:val="0"/>
                      <w:szCs w:val="21"/>
                      <w:highlight w:val="none"/>
                    </w:rPr>
                    <w:t>Y</w:t>
                  </w:r>
                </w:p>
              </w:tc>
              <w:tc>
                <w:tcPr>
                  <w:tcW w:w="766" w:type="dxa"/>
                  <w:vMerge w:val="continue"/>
                  <w:vAlign w:val="center"/>
                </w:tcPr>
                <w:p w14:paraId="7CD6243C">
                  <w:pPr>
                    <w:jc w:val="center"/>
                    <w:rPr>
                      <w:strike w:val="0"/>
                      <w:dstrike w:val="0"/>
                      <w:color w:val="auto"/>
                      <w:kern w:val="0"/>
                      <w:szCs w:val="21"/>
                      <w:highlight w:val="none"/>
                    </w:rPr>
                  </w:pPr>
                </w:p>
              </w:tc>
              <w:tc>
                <w:tcPr>
                  <w:tcW w:w="1093" w:type="dxa"/>
                  <w:vMerge w:val="continue"/>
                  <w:vAlign w:val="center"/>
                </w:tcPr>
                <w:p w14:paraId="0747A165">
                  <w:pPr>
                    <w:jc w:val="center"/>
                    <w:rPr>
                      <w:strike w:val="0"/>
                      <w:dstrike w:val="0"/>
                      <w:color w:val="auto"/>
                      <w:kern w:val="0"/>
                      <w:szCs w:val="21"/>
                      <w:highlight w:val="none"/>
                    </w:rPr>
                  </w:pPr>
                </w:p>
              </w:tc>
              <w:tc>
                <w:tcPr>
                  <w:tcW w:w="944" w:type="dxa"/>
                  <w:vMerge w:val="continue"/>
                  <w:vAlign w:val="center"/>
                </w:tcPr>
                <w:p w14:paraId="2394F7A6">
                  <w:pPr>
                    <w:jc w:val="center"/>
                    <w:rPr>
                      <w:strike w:val="0"/>
                      <w:dstrike w:val="0"/>
                      <w:color w:val="auto"/>
                      <w:kern w:val="0"/>
                      <w:szCs w:val="21"/>
                      <w:highlight w:val="none"/>
                    </w:rPr>
                  </w:pPr>
                </w:p>
              </w:tc>
              <w:tc>
                <w:tcPr>
                  <w:tcW w:w="679" w:type="dxa"/>
                  <w:vMerge w:val="continue"/>
                  <w:vAlign w:val="center"/>
                </w:tcPr>
                <w:p w14:paraId="3B1506F7">
                  <w:pPr>
                    <w:jc w:val="center"/>
                    <w:rPr>
                      <w:strike w:val="0"/>
                      <w:dstrike w:val="0"/>
                      <w:color w:val="auto"/>
                      <w:kern w:val="0"/>
                      <w:szCs w:val="21"/>
                      <w:highlight w:val="none"/>
                    </w:rPr>
                  </w:pPr>
                </w:p>
              </w:tc>
              <w:tc>
                <w:tcPr>
                  <w:tcW w:w="1011" w:type="dxa"/>
                  <w:vMerge w:val="continue"/>
                  <w:vAlign w:val="center"/>
                </w:tcPr>
                <w:p w14:paraId="62C838CE">
                  <w:pPr>
                    <w:jc w:val="center"/>
                    <w:rPr>
                      <w:strike w:val="0"/>
                      <w:dstrike w:val="0"/>
                      <w:color w:val="auto"/>
                      <w:kern w:val="0"/>
                      <w:szCs w:val="21"/>
                      <w:highlight w:val="none"/>
                    </w:rPr>
                  </w:pPr>
                </w:p>
              </w:tc>
            </w:tr>
            <w:tr w14:paraId="651D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18" w:type="dxa"/>
                  <w:vMerge w:val="restart"/>
                  <w:vAlign w:val="center"/>
                </w:tcPr>
                <w:p w14:paraId="20CC222A">
                  <w:pPr>
                    <w:jc w:val="center"/>
                    <w:rPr>
                      <w:strike w:val="0"/>
                      <w:dstrike w:val="0"/>
                      <w:color w:val="auto"/>
                      <w:kern w:val="0"/>
                      <w:szCs w:val="21"/>
                      <w:highlight w:val="none"/>
                    </w:rPr>
                  </w:pPr>
                  <w:r>
                    <w:rPr>
                      <w:strike w:val="0"/>
                      <w:dstrike w:val="0"/>
                      <w:color w:val="auto"/>
                      <w:kern w:val="0"/>
                      <w:szCs w:val="21"/>
                      <w:highlight w:val="none"/>
                    </w:rPr>
                    <w:t>大气环境</w:t>
                  </w:r>
                </w:p>
              </w:tc>
              <w:tc>
                <w:tcPr>
                  <w:tcW w:w="876" w:type="dxa"/>
                  <w:vAlign w:val="center"/>
                </w:tcPr>
                <w:p w14:paraId="7ED9BD5C">
                  <w:pPr>
                    <w:jc w:val="center"/>
                    <w:rPr>
                      <w:strike w:val="0"/>
                      <w:dstrike w:val="0"/>
                      <w:color w:val="auto"/>
                      <w:kern w:val="0"/>
                      <w:szCs w:val="21"/>
                      <w:highlight w:val="none"/>
                    </w:rPr>
                  </w:pPr>
                  <w:r>
                    <w:rPr>
                      <w:strike w:val="0"/>
                      <w:dstrike w:val="0"/>
                      <w:color w:val="auto"/>
                      <w:kern w:val="0"/>
                      <w:szCs w:val="21"/>
                      <w:highlight w:val="none"/>
                    </w:rPr>
                    <w:t>飞岚垭</w:t>
                  </w:r>
                </w:p>
              </w:tc>
              <w:tc>
                <w:tcPr>
                  <w:tcW w:w="953" w:type="dxa"/>
                  <w:vAlign w:val="center"/>
                </w:tcPr>
                <w:p w14:paraId="18708A1F">
                  <w:pPr>
                    <w:jc w:val="center"/>
                    <w:rPr>
                      <w:strike w:val="0"/>
                      <w:dstrike w:val="0"/>
                      <w:color w:val="auto"/>
                      <w:kern w:val="0"/>
                      <w:szCs w:val="21"/>
                      <w:highlight w:val="none"/>
                    </w:rPr>
                  </w:pPr>
                  <w:r>
                    <w:rPr>
                      <w:strike w:val="0"/>
                      <w:dstrike w:val="0"/>
                      <w:color w:val="auto"/>
                      <w:kern w:val="0"/>
                      <w:szCs w:val="21"/>
                      <w:highlight w:val="none"/>
                    </w:rPr>
                    <w:t>-123</w:t>
                  </w:r>
                </w:p>
              </w:tc>
              <w:tc>
                <w:tcPr>
                  <w:tcW w:w="1040" w:type="dxa"/>
                  <w:vAlign w:val="center"/>
                </w:tcPr>
                <w:p w14:paraId="5F863C83">
                  <w:pPr>
                    <w:jc w:val="center"/>
                    <w:rPr>
                      <w:strike w:val="0"/>
                      <w:dstrike w:val="0"/>
                      <w:color w:val="auto"/>
                      <w:kern w:val="0"/>
                      <w:szCs w:val="21"/>
                      <w:highlight w:val="none"/>
                    </w:rPr>
                  </w:pPr>
                  <w:r>
                    <w:rPr>
                      <w:strike w:val="0"/>
                      <w:dstrike w:val="0"/>
                      <w:color w:val="auto"/>
                      <w:kern w:val="0"/>
                      <w:szCs w:val="21"/>
                      <w:highlight w:val="none"/>
                    </w:rPr>
                    <w:t>-315</w:t>
                  </w:r>
                </w:p>
              </w:tc>
              <w:tc>
                <w:tcPr>
                  <w:tcW w:w="766" w:type="dxa"/>
                  <w:vAlign w:val="center"/>
                </w:tcPr>
                <w:p w14:paraId="646A4D78">
                  <w:pPr>
                    <w:jc w:val="center"/>
                    <w:rPr>
                      <w:strike w:val="0"/>
                      <w:dstrike w:val="0"/>
                      <w:color w:val="auto"/>
                      <w:kern w:val="0"/>
                      <w:szCs w:val="21"/>
                      <w:highlight w:val="none"/>
                    </w:rPr>
                  </w:pPr>
                  <w:r>
                    <w:rPr>
                      <w:strike w:val="0"/>
                      <w:dstrike w:val="0"/>
                      <w:color w:val="auto"/>
                      <w:kern w:val="0"/>
                      <w:szCs w:val="21"/>
                      <w:highlight w:val="none"/>
                    </w:rPr>
                    <w:t>居民点</w:t>
                  </w:r>
                </w:p>
              </w:tc>
              <w:tc>
                <w:tcPr>
                  <w:tcW w:w="1093" w:type="dxa"/>
                  <w:vAlign w:val="center"/>
                </w:tcPr>
                <w:p w14:paraId="6EE9BDB3">
                  <w:pPr>
                    <w:jc w:val="center"/>
                    <w:rPr>
                      <w:strike w:val="0"/>
                      <w:dstrike w:val="0"/>
                      <w:color w:val="auto"/>
                      <w:kern w:val="0"/>
                      <w:szCs w:val="21"/>
                      <w:highlight w:val="none"/>
                    </w:rPr>
                  </w:pPr>
                  <w:r>
                    <w:rPr>
                      <w:strike w:val="0"/>
                      <w:dstrike w:val="0"/>
                      <w:color w:val="auto"/>
                      <w:kern w:val="0"/>
                      <w:szCs w:val="21"/>
                      <w:highlight w:val="none"/>
                    </w:rPr>
                    <w:t>约400人</w:t>
                  </w:r>
                </w:p>
              </w:tc>
              <w:tc>
                <w:tcPr>
                  <w:tcW w:w="944" w:type="dxa"/>
                  <w:vMerge w:val="restart"/>
                  <w:vAlign w:val="center"/>
                </w:tcPr>
                <w:p w14:paraId="1C4833A7">
                  <w:pPr>
                    <w:jc w:val="center"/>
                    <w:rPr>
                      <w:strike w:val="0"/>
                      <w:dstrike w:val="0"/>
                      <w:color w:val="auto"/>
                      <w:kern w:val="0"/>
                      <w:szCs w:val="21"/>
                      <w:highlight w:val="none"/>
                    </w:rPr>
                  </w:pPr>
                  <w:r>
                    <w:rPr>
                      <w:strike w:val="0"/>
                      <w:dstrike w:val="0"/>
                      <w:color w:val="auto"/>
                      <w:kern w:val="0"/>
                      <w:szCs w:val="21"/>
                      <w:highlight w:val="none"/>
                    </w:rPr>
                    <w:t>二类环境空气功能区</w:t>
                  </w:r>
                </w:p>
              </w:tc>
              <w:tc>
                <w:tcPr>
                  <w:tcW w:w="679" w:type="dxa"/>
                  <w:vAlign w:val="center"/>
                </w:tcPr>
                <w:p w14:paraId="62DFA116">
                  <w:pPr>
                    <w:jc w:val="center"/>
                    <w:rPr>
                      <w:strike w:val="0"/>
                      <w:dstrike w:val="0"/>
                      <w:color w:val="auto"/>
                      <w:kern w:val="0"/>
                      <w:szCs w:val="21"/>
                      <w:highlight w:val="none"/>
                    </w:rPr>
                  </w:pPr>
                  <w:r>
                    <w:rPr>
                      <w:strike w:val="0"/>
                      <w:dstrike w:val="0"/>
                      <w:color w:val="auto"/>
                      <w:kern w:val="0"/>
                      <w:szCs w:val="21"/>
                      <w:highlight w:val="none"/>
                    </w:rPr>
                    <w:t>SW</w:t>
                  </w:r>
                </w:p>
              </w:tc>
              <w:tc>
                <w:tcPr>
                  <w:tcW w:w="1011" w:type="dxa"/>
                  <w:vAlign w:val="center"/>
                </w:tcPr>
                <w:p w14:paraId="27F2BD07">
                  <w:pPr>
                    <w:jc w:val="center"/>
                    <w:rPr>
                      <w:strike w:val="0"/>
                      <w:dstrike w:val="0"/>
                      <w:color w:val="auto"/>
                      <w:kern w:val="0"/>
                      <w:szCs w:val="21"/>
                      <w:highlight w:val="none"/>
                    </w:rPr>
                  </w:pPr>
                  <w:r>
                    <w:rPr>
                      <w:strike w:val="0"/>
                      <w:dstrike w:val="0"/>
                      <w:color w:val="auto"/>
                      <w:kern w:val="0"/>
                      <w:szCs w:val="21"/>
                      <w:highlight w:val="none"/>
                    </w:rPr>
                    <w:t>280</w:t>
                  </w:r>
                </w:p>
              </w:tc>
            </w:tr>
            <w:tr w14:paraId="6707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18" w:type="dxa"/>
                  <w:vMerge w:val="continue"/>
                  <w:vAlign w:val="center"/>
                </w:tcPr>
                <w:p w14:paraId="553E2726">
                  <w:pPr>
                    <w:jc w:val="center"/>
                    <w:rPr>
                      <w:strike w:val="0"/>
                      <w:dstrike w:val="0"/>
                      <w:color w:val="auto"/>
                      <w:highlight w:val="none"/>
                    </w:rPr>
                  </w:pPr>
                </w:p>
              </w:tc>
              <w:tc>
                <w:tcPr>
                  <w:tcW w:w="876" w:type="dxa"/>
                  <w:vAlign w:val="center"/>
                </w:tcPr>
                <w:p w14:paraId="32949011">
                  <w:pPr>
                    <w:jc w:val="center"/>
                    <w:rPr>
                      <w:strike w:val="0"/>
                      <w:dstrike w:val="0"/>
                      <w:color w:val="auto"/>
                      <w:kern w:val="0"/>
                      <w:szCs w:val="21"/>
                      <w:highlight w:val="none"/>
                    </w:rPr>
                  </w:pPr>
                  <w:r>
                    <w:rPr>
                      <w:strike w:val="0"/>
                      <w:dstrike w:val="0"/>
                      <w:color w:val="auto"/>
                      <w:kern w:val="0"/>
                      <w:szCs w:val="21"/>
                      <w:highlight w:val="none"/>
                    </w:rPr>
                    <w:t>1#居民点</w:t>
                  </w:r>
                </w:p>
              </w:tc>
              <w:tc>
                <w:tcPr>
                  <w:tcW w:w="953" w:type="dxa"/>
                  <w:vAlign w:val="center"/>
                </w:tcPr>
                <w:p w14:paraId="358C0601">
                  <w:pPr>
                    <w:jc w:val="center"/>
                    <w:rPr>
                      <w:strike w:val="0"/>
                      <w:dstrike w:val="0"/>
                      <w:color w:val="auto"/>
                      <w:kern w:val="0"/>
                      <w:szCs w:val="21"/>
                      <w:highlight w:val="none"/>
                    </w:rPr>
                  </w:pPr>
                  <w:r>
                    <w:rPr>
                      <w:strike w:val="0"/>
                      <w:dstrike w:val="0"/>
                      <w:color w:val="auto"/>
                      <w:kern w:val="0"/>
                      <w:szCs w:val="21"/>
                      <w:highlight w:val="none"/>
                    </w:rPr>
                    <w:t>-73</w:t>
                  </w:r>
                </w:p>
              </w:tc>
              <w:tc>
                <w:tcPr>
                  <w:tcW w:w="1040" w:type="dxa"/>
                  <w:vAlign w:val="center"/>
                </w:tcPr>
                <w:p w14:paraId="2F1AD8BA">
                  <w:pPr>
                    <w:jc w:val="center"/>
                    <w:rPr>
                      <w:strike w:val="0"/>
                      <w:dstrike w:val="0"/>
                      <w:color w:val="auto"/>
                      <w:kern w:val="0"/>
                      <w:szCs w:val="21"/>
                      <w:highlight w:val="none"/>
                    </w:rPr>
                  </w:pPr>
                  <w:r>
                    <w:rPr>
                      <w:strike w:val="0"/>
                      <w:dstrike w:val="0"/>
                      <w:color w:val="auto"/>
                      <w:kern w:val="0"/>
                      <w:szCs w:val="21"/>
                      <w:highlight w:val="none"/>
                    </w:rPr>
                    <w:t>-205</w:t>
                  </w:r>
                </w:p>
              </w:tc>
              <w:tc>
                <w:tcPr>
                  <w:tcW w:w="766" w:type="dxa"/>
                  <w:vAlign w:val="center"/>
                </w:tcPr>
                <w:p w14:paraId="4B94BEA1">
                  <w:pPr>
                    <w:jc w:val="center"/>
                    <w:rPr>
                      <w:strike w:val="0"/>
                      <w:dstrike w:val="0"/>
                      <w:color w:val="auto"/>
                      <w:kern w:val="0"/>
                      <w:szCs w:val="21"/>
                      <w:highlight w:val="none"/>
                    </w:rPr>
                  </w:pPr>
                  <w:r>
                    <w:rPr>
                      <w:strike w:val="0"/>
                      <w:dstrike w:val="0"/>
                      <w:color w:val="auto"/>
                      <w:kern w:val="0"/>
                      <w:szCs w:val="21"/>
                      <w:highlight w:val="none"/>
                    </w:rPr>
                    <w:t>居民点</w:t>
                  </w:r>
                </w:p>
              </w:tc>
              <w:tc>
                <w:tcPr>
                  <w:tcW w:w="1093" w:type="dxa"/>
                  <w:vAlign w:val="center"/>
                </w:tcPr>
                <w:p w14:paraId="1CEBF97F">
                  <w:pPr>
                    <w:jc w:val="center"/>
                    <w:rPr>
                      <w:strike w:val="0"/>
                      <w:dstrike w:val="0"/>
                      <w:color w:val="auto"/>
                      <w:kern w:val="0"/>
                      <w:szCs w:val="21"/>
                      <w:highlight w:val="none"/>
                    </w:rPr>
                  </w:pPr>
                  <w:r>
                    <w:rPr>
                      <w:strike w:val="0"/>
                      <w:dstrike w:val="0"/>
                      <w:color w:val="auto"/>
                      <w:kern w:val="0"/>
                      <w:szCs w:val="21"/>
                      <w:highlight w:val="none"/>
                    </w:rPr>
                    <w:t>5户，约15人</w:t>
                  </w:r>
                </w:p>
              </w:tc>
              <w:tc>
                <w:tcPr>
                  <w:tcW w:w="944" w:type="dxa"/>
                  <w:vMerge w:val="continue"/>
                  <w:vAlign w:val="center"/>
                </w:tcPr>
                <w:p w14:paraId="10CEB0B0">
                  <w:pPr>
                    <w:jc w:val="center"/>
                    <w:rPr>
                      <w:strike w:val="0"/>
                      <w:dstrike w:val="0"/>
                      <w:color w:val="auto"/>
                      <w:kern w:val="0"/>
                      <w:szCs w:val="21"/>
                      <w:highlight w:val="none"/>
                    </w:rPr>
                  </w:pPr>
                </w:p>
              </w:tc>
              <w:tc>
                <w:tcPr>
                  <w:tcW w:w="679" w:type="dxa"/>
                  <w:shd w:val="clear" w:color="auto" w:fill="auto"/>
                  <w:vAlign w:val="center"/>
                </w:tcPr>
                <w:p w14:paraId="0B2F4411">
                  <w:pPr>
                    <w:jc w:val="center"/>
                    <w:rPr>
                      <w:strike w:val="0"/>
                      <w:dstrike w:val="0"/>
                      <w:color w:val="auto"/>
                      <w:kern w:val="0"/>
                      <w:szCs w:val="21"/>
                      <w:highlight w:val="none"/>
                    </w:rPr>
                  </w:pPr>
                  <w:r>
                    <w:rPr>
                      <w:strike w:val="0"/>
                      <w:dstrike w:val="0"/>
                      <w:color w:val="auto"/>
                      <w:kern w:val="0"/>
                      <w:szCs w:val="21"/>
                      <w:highlight w:val="none"/>
                    </w:rPr>
                    <w:t>SW</w:t>
                  </w:r>
                </w:p>
              </w:tc>
              <w:tc>
                <w:tcPr>
                  <w:tcW w:w="1011" w:type="dxa"/>
                  <w:vAlign w:val="center"/>
                </w:tcPr>
                <w:p w14:paraId="2DCAAC51">
                  <w:pPr>
                    <w:jc w:val="center"/>
                    <w:rPr>
                      <w:strike w:val="0"/>
                      <w:dstrike w:val="0"/>
                      <w:color w:val="auto"/>
                      <w:kern w:val="0"/>
                      <w:szCs w:val="21"/>
                      <w:highlight w:val="none"/>
                    </w:rPr>
                  </w:pPr>
                  <w:r>
                    <w:rPr>
                      <w:strike w:val="0"/>
                      <w:dstrike w:val="0"/>
                      <w:color w:val="auto"/>
                      <w:kern w:val="0"/>
                      <w:szCs w:val="21"/>
                      <w:highlight w:val="none"/>
                    </w:rPr>
                    <w:t>160</w:t>
                  </w:r>
                </w:p>
              </w:tc>
            </w:tr>
            <w:tr w14:paraId="2128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18" w:type="dxa"/>
                  <w:vMerge w:val="continue"/>
                  <w:vAlign w:val="center"/>
                </w:tcPr>
                <w:p w14:paraId="1DCDFFA5">
                  <w:pPr>
                    <w:jc w:val="center"/>
                    <w:rPr>
                      <w:strike w:val="0"/>
                      <w:dstrike w:val="0"/>
                      <w:color w:val="auto"/>
                      <w:kern w:val="0"/>
                      <w:szCs w:val="21"/>
                      <w:highlight w:val="none"/>
                    </w:rPr>
                  </w:pPr>
                </w:p>
              </w:tc>
              <w:tc>
                <w:tcPr>
                  <w:tcW w:w="876" w:type="dxa"/>
                  <w:vAlign w:val="center"/>
                </w:tcPr>
                <w:p w14:paraId="39886DB3">
                  <w:pPr>
                    <w:jc w:val="center"/>
                    <w:rPr>
                      <w:strike w:val="0"/>
                      <w:dstrike w:val="0"/>
                      <w:color w:val="auto"/>
                      <w:kern w:val="0"/>
                      <w:szCs w:val="21"/>
                      <w:highlight w:val="none"/>
                    </w:rPr>
                  </w:pPr>
                  <w:r>
                    <w:rPr>
                      <w:strike w:val="0"/>
                      <w:dstrike w:val="0"/>
                      <w:color w:val="auto"/>
                      <w:kern w:val="0"/>
                      <w:szCs w:val="21"/>
                      <w:highlight w:val="none"/>
                    </w:rPr>
                    <w:t>2#居民点</w:t>
                  </w:r>
                </w:p>
              </w:tc>
              <w:tc>
                <w:tcPr>
                  <w:tcW w:w="953" w:type="dxa"/>
                  <w:vAlign w:val="center"/>
                </w:tcPr>
                <w:p w14:paraId="2DC6E46C">
                  <w:pPr>
                    <w:jc w:val="center"/>
                    <w:rPr>
                      <w:strike w:val="0"/>
                      <w:dstrike w:val="0"/>
                      <w:color w:val="auto"/>
                      <w:kern w:val="0"/>
                      <w:szCs w:val="21"/>
                      <w:highlight w:val="none"/>
                    </w:rPr>
                  </w:pPr>
                  <w:r>
                    <w:rPr>
                      <w:strike w:val="0"/>
                      <w:dstrike w:val="0"/>
                      <w:color w:val="auto"/>
                      <w:kern w:val="0"/>
                      <w:szCs w:val="21"/>
                      <w:highlight w:val="none"/>
                    </w:rPr>
                    <w:t>-118</w:t>
                  </w:r>
                </w:p>
              </w:tc>
              <w:tc>
                <w:tcPr>
                  <w:tcW w:w="1040" w:type="dxa"/>
                  <w:vAlign w:val="center"/>
                </w:tcPr>
                <w:p w14:paraId="6E8B0F17">
                  <w:pPr>
                    <w:jc w:val="center"/>
                    <w:rPr>
                      <w:strike w:val="0"/>
                      <w:dstrike w:val="0"/>
                      <w:color w:val="auto"/>
                      <w:kern w:val="0"/>
                      <w:szCs w:val="21"/>
                      <w:highlight w:val="none"/>
                    </w:rPr>
                  </w:pPr>
                  <w:r>
                    <w:rPr>
                      <w:strike w:val="0"/>
                      <w:dstrike w:val="0"/>
                      <w:color w:val="auto"/>
                      <w:kern w:val="0"/>
                      <w:szCs w:val="21"/>
                      <w:highlight w:val="none"/>
                    </w:rPr>
                    <w:t>+205</w:t>
                  </w:r>
                </w:p>
              </w:tc>
              <w:tc>
                <w:tcPr>
                  <w:tcW w:w="766" w:type="dxa"/>
                  <w:vAlign w:val="center"/>
                </w:tcPr>
                <w:p w14:paraId="3B09B997">
                  <w:pPr>
                    <w:jc w:val="center"/>
                    <w:rPr>
                      <w:strike w:val="0"/>
                      <w:dstrike w:val="0"/>
                      <w:color w:val="auto"/>
                      <w:kern w:val="0"/>
                      <w:szCs w:val="21"/>
                      <w:highlight w:val="none"/>
                    </w:rPr>
                  </w:pPr>
                  <w:r>
                    <w:rPr>
                      <w:strike w:val="0"/>
                      <w:dstrike w:val="0"/>
                      <w:color w:val="auto"/>
                      <w:kern w:val="0"/>
                      <w:szCs w:val="21"/>
                      <w:highlight w:val="none"/>
                    </w:rPr>
                    <w:t>居民点</w:t>
                  </w:r>
                </w:p>
              </w:tc>
              <w:tc>
                <w:tcPr>
                  <w:tcW w:w="1093" w:type="dxa"/>
                  <w:vAlign w:val="center"/>
                </w:tcPr>
                <w:p w14:paraId="1ADBA58C">
                  <w:pPr>
                    <w:jc w:val="center"/>
                    <w:rPr>
                      <w:strike w:val="0"/>
                      <w:dstrike w:val="0"/>
                      <w:color w:val="auto"/>
                      <w:kern w:val="0"/>
                      <w:szCs w:val="21"/>
                      <w:highlight w:val="none"/>
                    </w:rPr>
                  </w:pPr>
                  <w:r>
                    <w:rPr>
                      <w:strike w:val="0"/>
                      <w:dstrike w:val="0"/>
                      <w:color w:val="auto"/>
                      <w:kern w:val="0"/>
                      <w:szCs w:val="21"/>
                      <w:highlight w:val="none"/>
                    </w:rPr>
                    <w:t>1户，约3人</w:t>
                  </w:r>
                </w:p>
              </w:tc>
              <w:tc>
                <w:tcPr>
                  <w:tcW w:w="944" w:type="dxa"/>
                  <w:vMerge w:val="continue"/>
                  <w:vAlign w:val="center"/>
                </w:tcPr>
                <w:p w14:paraId="0193E401">
                  <w:pPr>
                    <w:jc w:val="center"/>
                    <w:rPr>
                      <w:strike w:val="0"/>
                      <w:dstrike w:val="0"/>
                      <w:color w:val="auto"/>
                      <w:kern w:val="0"/>
                      <w:szCs w:val="21"/>
                      <w:highlight w:val="none"/>
                    </w:rPr>
                  </w:pPr>
                </w:p>
              </w:tc>
              <w:tc>
                <w:tcPr>
                  <w:tcW w:w="679" w:type="dxa"/>
                  <w:vAlign w:val="center"/>
                </w:tcPr>
                <w:p w14:paraId="12B0DB73">
                  <w:pPr>
                    <w:jc w:val="center"/>
                    <w:rPr>
                      <w:strike w:val="0"/>
                      <w:dstrike w:val="0"/>
                      <w:color w:val="auto"/>
                      <w:kern w:val="0"/>
                      <w:szCs w:val="21"/>
                      <w:highlight w:val="none"/>
                    </w:rPr>
                  </w:pPr>
                  <w:r>
                    <w:rPr>
                      <w:strike w:val="0"/>
                      <w:dstrike w:val="0"/>
                      <w:color w:val="auto"/>
                      <w:kern w:val="0"/>
                      <w:szCs w:val="21"/>
                      <w:highlight w:val="none"/>
                    </w:rPr>
                    <w:t>NW</w:t>
                  </w:r>
                </w:p>
              </w:tc>
              <w:tc>
                <w:tcPr>
                  <w:tcW w:w="1011" w:type="dxa"/>
                  <w:vAlign w:val="center"/>
                </w:tcPr>
                <w:p w14:paraId="38A5AB64">
                  <w:pPr>
                    <w:jc w:val="center"/>
                    <w:rPr>
                      <w:strike w:val="0"/>
                      <w:dstrike w:val="0"/>
                      <w:color w:val="auto"/>
                      <w:kern w:val="0"/>
                      <w:szCs w:val="21"/>
                      <w:highlight w:val="none"/>
                    </w:rPr>
                  </w:pPr>
                  <w:r>
                    <w:rPr>
                      <w:strike w:val="0"/>
                      <w:dstrike w:val="0"/>
                      <w:color w:val="auto"/>
                      <w:kern w:val="0"/>
                      <w:szCs w:val="21"/>
                      <w:highlight w:val="none"/>
                    </w:rPr>
                    <w:t>159</w:t>
                  </w:r>
                </w:p>
              </w:tc>
            </w:tr>
            <w:tr w14:paraId="44C9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18" w:type="dxa"/>
                  <w:vMerge w:val="continue"/>
                  <w:vAlign w:val="center"/>
                </w:tcPr>
                <w:p w14:paraId="6C6834F6">
                  <w:pPr>
                    <w:jc w:val="center"/>
                    <w:rPr>
                      <w:strike w:val="0"/>
                      <w:dstrike w:val="0"/>
                      <w:color w:val="auto"/>
                      <w:kern w:val="0"/>
                      <w:szCs w:val="21"/>
                      <w:highlight w:val="none"/>
                    </w:rPr>
                  </w:pPr>
                </w:p>
              </w:tc>
              <w:tc>
                <w:tcPr>
                  <w:tcW w:w="876" w:type="dxa"/>
                  <w:vAlign w:val="center"/>
                </w:tcPr>
                <w:p w14:paraId="3AE9242B">
                  <w:pPr>
                    <w:jc w:val="center"/>
                    <w:rPr>
                      <w:strike w:val="0"/>
                      <w:dstrike w:val="0"/>
                      <w:color w:val="auto"/>
                      <w:kern w:val="0"/>
                      <w:szCs w:val="21"/>
                      <w:highlight w:val="none"/>
                    </w:rPr>
                  </w:pPr>
                  <w:r>
                    <w:rPr>
                      <w:strike w:val="0"/>
                      <w:dstrike w:val="0"/>
                      <w:color w:val="auto"/>
                      <w:kern w:val="0"/>
                      <w:szCs w:val="21"/>
                      <w:highlight w:val="none"/>
                    </w:rPr>
                    <w:t>3#居民点</w:t>
                  </w:r>
                </w:p>
              </w:tc>
              <w:tc>
                <w:tcPr>
                  <w:tcW w:w="953" w:type="dxa"/>
                  <w:vAlign w:val="center"/>
                </w:tcPr>
                <w:p w14:paraId="16E34EA9">
                  <w:pPr>
                    <w:jc w:val="center"/>
                    <w:rPr>
                      <w:strike w:val="0"/>
                      <w:dstrike w:val="0"/>
                      <w:color w:val="auto"/>
                      <w:kern w:val="0"/>
                      <w:szCs w:val="21"/>
                      <w:highlight w:val="none"/>
                    </w:rPr>
                  </w:pPr>
                  <w:r>
                    <w:rPr>
                      <w:strike w:val="0"/>
                      <w:dstrike w:val="0"/>
                      <w:color w:val="auto"/>
                      <w:kern w:val="0"/>
                      <w:szCs w:val="21"/>
                      <w:highlight w:val="none"/>
                    </w:rPr>
                    <w:t>-90</w:t>
                  </w:r>
                </w:p>
              </w:tc>
              <w:tc>
                <w:tcPr>
                  <w:tcW w:w="1040" w:type="dxa"/>
                  <w:vAlign w:val="center"/>
                </w:tcPr>
                <w:p w14:paraId="5D619CA8">
                  <w:pPr>
                    <w:jc w:val="center"/>
                    <w:rPr>
                      <w:strike w:val="0"/>
                      <w:dstrike w:val="0"/>
                      <w:color w:val="auto"/>
                      <w:kern w:val="0"/>
                      <w:szCs w:val="21"/>
                      <w:highlight w:val="none"/>
                    </w:rPr>
                  </w:pPr>
                  <w:r>
                    <w:rPr>
                      <w:strike w:val="0"/>
                      <w:dstrike w:val="0"/>
                      <w:color w:val="auto"/>
                      <w:kern w:val="0"/>
                      <w:szCs w:val="21"/>
                      <w:highlight w:val="none"/>
                    </w:rPr>
                    <w:t>+275</w:t>
                  </w:r>
                </w:p>
              </w:tc>
              <w:tc>
                <w:tcPr>
                  <w:tcW w:w="766" w:type="dxa"/>
                  <w:vAlign w:val="center"/>
                </w:tcPr>
                <w:p w14:paraId="2F5FD078">
                  <w:pPr>
                    <w:jc w:val="center"/>
                    <w:rPr>
                      <w:strike w:val="0"/>
                      <w:dstrike w:val="0"/>
                      <w:color w:val="auto"/>
                      <w:kern w:val="0"/>
                      <w:szCs w:val="21"/>
                      <w:highlight w:val="none"/>
                    </w:rPr>
                  </w:pPr>
                  <w:r>
                    <w:rPr>
                      <w:strike w:val="0"/>
                      <w:dstrike w:val="0"/>
                      <w:color w:val="auto"/>
                      <w:kern w:val="0"/>
                      <w:szCs w:val="21"/>
                      <w:highlight w:val="none"/>
                    </w:rPr>
                    <w:t>居民点</w:t>
                  </w:r>
                </w:p>
              </w:tc>
              <w:tc>
                <w:tcPr>
                  <w:tcW w:w="1093" w:type="dxa"/>
                  <w:vAlign w:val="center"/>
                </w:tcPr>
                <w:p w14:paraId="7C5AB0DA">
                  <w:pPr>
                    <w:jc w:val="center"/>
                    <w:rPr>
                      <w:strike w:val="0"/>
                      <w:dstrike w:val="0"/>
                      <w:color w:val="auto"/>
                      <w:kern w:val="0"/>
                      <w:szCs w:val="21"/>
                      <w:highlight w:val="none"/>
                    </w:rPr>
                  </w:pPr>
                  <w:r>
                    <w:rPr>
                      <w:strike w:val="0"/>
                      <w:dstrike w:val="0"/>
                      <w:color w:val="auto"/>
                      <w:kern w:val="0"/>
                      <w:szCs w:val="21"/>
                      <w:highlight w:val="none"/>
                    </w:rPr>
                    <w:t>3户，约9人</w:t>
                  </w:r>
                </w:p>
              </w:tc>
              <w:tc>
                <w:tcPr>
                  <w:tcW w:w="944" w:type="dxa"/>
                  <w:vMerge w:val="continue"/>
                  <w:vAlign w:val="center"/>
                </w:tcPr>
                <w:p w14:paraId="0F5B9D34">
                  <w:pPr>
                    <w:jc w:val="center"/>
                    <w:rPr>
                      <w:strike w:val="0"/>
                      <w:dstrike w:val="0"/>
                      <w:color w:val="auto"/>
                      <w:kern w:val="0"/>
                      <w:szCs w:val="21"/>
                      <w:highlight w:val="none"/>
                    </w:rPr>
                  </w:pPr>
                </w:p>
              </w:tc>
              <w:tc>
                <w:tcPr>
                  <w:tcW w:w="679" w:type="dxa"/>
                  <w:vAlign w:val="center"/>
                </w:tcPr>
                <w:p w14:paraId="3F5A9B1E">
                  <w:pPr>
                    <w:jc w:val="center"/>
                    <w:rPr>
                      <w:strike w:val="0"/>
                      <w:dstrike w:val="0"/>
                      <w:color w:val="auto"/>
                      <w:kern w:val="0"/>
                      <w:szCs w:val="21"/>
                      <w:highlight w:val="none"/>
                    </w:rPr>
                  </w:pPr>
                  <w:r>
                    <w:rPr>
                      <w:strike w:val="0"/>
                      <w:dstrike w:val="0"/>
                      <w:color w:val="auto"/>
                      <w:kern w:val="0"/>
                      <w:szCs w:val="21"/>
                      <w:highlight w:val="none"/>
                    </w:rPr>
                    <w:t>NW</w:t>
                  </w:r>
                </w:p>
              </w:tc>
              <w:tc>
                <w:tcPr>
                  <w:tcW w:w="1011" w:type="dxa"/>
                  <w:vAlign w:val="center"/>
                </w:tcPr>
                <w:p w14:paraId="444E451D">
                  <w:pPr>
                    <w:jc w:val="center"/>
                    <w:rPr>
                      <w:strike w:val="0"/>
                      <w:dstrike w:val="0"/>
                      <w:color w:val="auto"/>
                      <w:kern w:val="0"/>
                      <w:szCs w:val="21"/>
                      <w:highlight w:val="none"/>
                    </w:rPr>
                  </w:pPr>
                  <w:r>
                    <w:rPr>
                      <w:strike w:val="0"/>
                      <w:dstrike w:val="0"/>
                      <w:color w:val="auto"/>
                      <w:kern w:val="0"/>
                      <w:szCs w:val="21"/>
                      <w:highlight w:val="none"/>
                    </w:rPr>
                    <w:t>234</w:t>
                  </w:r>
                </w:p>
              </w:tc>
            </w:tr>
            <w:tr w14:paraId="0F8D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18" w:type="dxa"/>
                  <w:vMerge w:val="continue"/>
                  <w:vAlign w:val="center"/>
                </w:tcPr>
                <w:p w14:paraId="712186B5">
                  <w:pPr>
                    <w:jc w:val="center"/>
                    <w:rPr>
                      <w:strike w:val="0"/>
                      <w:dstrike w:val="0"/>
                      <w:color w:val="auto"/>
                      <w:kern w:val="0"/>
                      <w:szCs w:val="21"/>
                      <w:highlight w:val="none"/>
                    </w:rPr>
                  </w:pPr>
                </w:p>
              </w:tc>
              <w:tc>
                <w:tcPr>
                  <w:tcW w:w="876" w:type="dxa"/>
                  <w:shd w:val="clear" w:color="auto" w:fill="auto"/>
                  <w:vAlign w:val="center"/>
                </w:tcPr>
                <w:p w14:paraId="09E6596D">
                  <w:pPr>
                    <w:jc w:val="center"/>
                    <w:rPr>
                      <w:strike w:val="0"/>
                      <w:dstrike w:val="0"/>
                      <w:color w:val="auto"/>
                      <w:kern w:val="0"/>
                      <w:szCs w:val="21"/>
                      <w:highlight w:val="none"/>
                    </w:rPr>
                  </w:pPr>
                  <w:r>
                    <w:rPr>
                      <w:strike w:val="0"/>
                      <w:dstrike w:val="0"/>
                      <w:color w:val="auto"/>
                      <w:kern w:val="0"/>
                      <w:szCs w:val="21"/>
                      <w:highlight w:val="none"/>
                    </w:rPr>
                    <w:t>4#居民点</w:t>
                  </w:r>
                </w:p>
              </w:tc>
              <w:tc>
                <w:tcPr>
                  <w:tcW w:w="953" w:type="dxa"/>
                  <w:vAlign w:val="center"/>
                </w:tcPr>
                <w:p w14:paraId="06187D44">
                  <w:pPr>
                    <w:jc w:val="center"/>
                    <w:rPr>
                      <w:strike w:val="0"/>
                      <w:dstrike w:val="0"/>
                      <w:color w:val="auto"/>
                      <w:kern w:val="0"/>
                      <w:szCs w:val="21"/>
                      <w:highlight w:val="none"/>
                    </w:rPr>
                  </w:pPr>
                  <w:r>
                    <w:rPr>
                      <w:strike w:val="0"/>
                      <w:dstrike w:val="0"/>
                      <w:color w:val="auto"/>
                      <w:kern w:val="0"/>
                      <w:szCs w:val="21"/>
                      <w:highlight w:val="none"/>
                    </w:rPr>
                    <w:t>-134</w:t>
                  </w:r>
                </w:p>
              </w:tc>
              <w:tc>
                <w:tcPr>
                  <w:tcW w:w="1040" w:type="dxa"/>
                  <w:vAlign w:val="center"/>
                </w:tcPr>
                <w:p w14:paraId="400EA7C5">
                  <w:pPr>
                    <w:jc w:val="center"/>
                    <w:rPr>
                      <w:strike w:val="0"/>
                      <w:dstrike w:val="0"/>
                      <w:color w:val="auto"/>
                      <w:kern w:val="0"/>
                      <w:szCs w:val="21"/>
                      <w:highlight w:val="none"/>
                    </w:rPr>
                  </w:pPr>
                  <w:r>
                    <w:rPr>
                      <w:strike w:val="0"/>
                      <w:dstrike w:val="0"/>
                      <w:color w:val="auto"/>
                      <w:kern w:val="0"/>
                      <w:szCs w:val="21"/>
                      <w:highlight w:val="none"/>
                    </w:rPr>
                    <w:t>+470</w:t>
                  </w:r>
                </w:p>
              </w:tc>
              <w:tc>
                <w:tcPr>
                  <w:tcW w:w="766" w:type="dxa"/>
                  <w:vAlign w:val="center"/>
                </w:tcPr>
                <w:p w14:paraId="01F62D6C">
                  <w:pPr>
                    <w:jc w:val="center"/>
                    <w:rPr>
                      <w:strike w:val="0"/>
                      <w:dstrike w:val="0"/>
                      <w:color w:val="auto"/>
                      <w:kern w:val="0"/>
                      <w:szCs w:val="21"/>
                      <w:highlight w:val="none"/>
                    </w:rPr>
                  </w:pPr>
                  <w:r>
                    <w:rPr>
                      <w:strike w:val="0"/>
                      <w:dstrike w:val="0"/>
                      <w:color w:val="auto"/>
                      <w:kern w:val="0"/>
                      <w:szCs w:val="21"/>
                      <w:highlight w:val="none"/>
                    </w:rPr>
                    <w:t>居民点</w:t>
                  </w:r>
                </w:p>
              </w:tc>
              <w:tc>
                <w:tcPr>
                  <w:tcW w:w="1093" w:type="dxa"/>
                  <w:shd w:val="clear" w:color="auto" w:fill="auto"/>
                  <w:vAlign w:val="center"/>
                </w:tcPr>
                <w:p w14:paraId="1639E3CC">
                  <w:pPr>
                    <w:jc w:val="center"/>
                    <w:rPr>
                      <w:strike w:val="0"/>
                      <w:dstrike w:val="0"/>
                      <w:color w:val="auto"/>
                      <w:kern w:val="0"/>
                      <w:szCs w:val="21"/>
                      <w:highlight w:val="none"/>
                    </w:rPr>
                  </w:pPr>
                  <w:r>
                    <w:rPr>
                      <w:strike w:val="0"/>
                      <w:dstrike w:val="0"/>
                      <w:color w:val="auto"/>
                      <w:kern w:val="0"/>
                      <w:szCs w:val="21"/>
                      <w:highlight w:val="none"/>
                    </w:rPr>
                    <w:t>1户，约3人</w:t>
                  </w:r>
                </w:p>
              </w:tc>
              <w:tc>
                <w:tcPr>
                  <w:tcW w:w="944" w:type="dxa"/>
                  <w:vMerge w:val="continue"/>
                  <w:vAlign w:val="center"/>
                </w:tcPr>
                <w:p w14:paraId="6DFDB817">
                  <w:pPr>
                    <w:jc w:val="center"/>
                    <w:rPr>
                      <w:strike w:val="0"/>
                      <w:dstrike w:val="0"/>
                      <w:color w:val="auto"/>
                      <w:kern w:val="0"/>
                      <w:szCs w:val="21"/>
                      <w:highlight w:val="none"/>
                    </w:rPr>
                  </w:pPr>
                </w:p>
              </w:tc>
              <w:tc>
                <w:tcPr>
                  <w:tcW w:w="679" w:type="dxa"/>
                  <w:shd w:val="clear" w:color="auto" w:fill="auto"/>
                  <w:vAlign w:val="center"/>
                </w:tcPr>
                <w:p w14:paraId="37BF99F8">
                  <w:pPr>
                    <w:jc w:val="center"/>
                    <w:rPr>
                      <w:strike w:val="0"/>
                      <w:dstrike w:val="0"/>
                      <w:color w:val="auto"/>
                      <w:kern w:val="0"/>
                      <w:szCs w:val="21"/>
                      <w:highlight w:val="none"/>
                    </w:rPr>
                  </w:pPr>
                  <w:r>
                    <w:rPr>
                      <w:strike w:val="0"/>
                      <w:dstrike w:val="0"/>
                      <w:color w:val="auto"/>
                      <w:kern w:val="0"/>
                      <w:szCs w:val="21"/>
                      <w:highlight w:val="none"/>
                    </w:rPr>
                    <w:t>NW</w:t>
                  </w:r>
                </w:p>
              </w:tc>
              <w:tc>
                <w:tcPr>
                  <w:tcW w:w="1011" w:type="dxa"/>
                  <w:vAlign w:val="center"/>
                </w:tcPr>
                <w:p w14:paraId="6AE36F14">
                  <w:pPr>
                    <w:jc w:val="center"/>
                    <w:rPr>
                      <w:strike w:val="0"/>
                      <w:dstrike w:val="0"/>
                      <w:color w:val="auto"/>
                      <w:kern w:val="0"/>
                      <w:szCs w:val="21"/>
                      <w:highlight w:val="none"/>
                    </w:rPr>
                  </w:pPr>
                  <w:r>
                    <w:rPr>
                      <w:strike w:val="0"/>
                      <w:dstrike w:val="0"/>
                      <w:color w:val="auto"/>
                      <w:kern w:val="0"/>
                      <w:szCs w:val="21"/>
                      <w:highlight w:val="none"/>
                    </w:rPr>
                    <w:t>410</w:t>
                  </w:r>
                </w:p>
              </w:tc>
            </w:tr>
            <w:tr w14:paraId="5B31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18" w:type="dxa"/>
                  <w:vMerge w:val="continue"/>
                  <w:vAlign w:val="center"/>
                </w:tcPr>
                <w:p w14:paraId="61548464">
                  <w:pPr>
                    <w:jc w:val="center"/>
                    <w:rPr>
                      <w:strike w:val="0"/>
                      <w:dstrike w:val="0"/>
                      <w:color w:val="auto"/>
                      <w:kern w:val="0"/>
                      <w:szCs w:val="21"/>
                      <w:highlight w:val="none"/>
                    </w:rPr>
                  </w:pPr>
                </w:p>
              </w:tc>
              <w:tc>
                <w:tcPr>
                  <w:tcW w:w="876" w:type="dxa"/>
                  <w:vAlign w:val="center"/>
                </w:tcPr>
                <w:p w14:paraId="1F4FCFC3">
                  <w:pPr>
                    <w:jc w:val="center"/>
                    <w:rPr>
                      <w:strike w:val="0"/>
                      <w:dstrike w:val="0"/>
                      <w:color w:val="auto"/>
                      <w:kern w:val="0"/>
                      <w:szCs w:val="21"/>
                      <w:highlight w:val="none"/>
                    </w:rPr>
                  </w:pPr>
                  <w:r>
                    <w:rPr>
                      <w:strike w:val="0"/>
                      <w:dstrike w:val="0"/>
                      <w:color w:val="auto"/>
                      <w:kern w:val="0"/>
                      <w:szCs w:val="21"/>
                      <w:highlight w:val="none"/>
                    </w:rPr>
                    <w:t>5#居民点</w:t>
                  </w:r>
                </w:p>
              </w:tc>
              <w:tc>
                <w:tcPr>
                  <w:tcW w:w="953" w:type="dxa"/>
                  <w:vAlign w:val="center"/>
                </w:tcPr>
                <w:p w14:paraId="7B9D76AA">
                  <w:pPr>
                    <w:jc w:val="center"/>
                    <w:rPr>
                      <w:strike w:val="0"/>
                      <w:dstrike w:val="0"/>
                      <w:color w:val="auto"/>
                      <w:kern w:val="0"/>
                      <w:szCs w:val="21"/>
                      <w:highlight w:val="none"/>
                    </w:rPr>
                  </w:pPr>
                  <w:r>
                    <w:rPr>
                      <w:strike w:val="0"/>
                      <w:dstrike w:val="0"/>
                      <w:color w:val="auto"/>
                      <w:kern w:val="0"/>
                      <w:szCs w:val="21"/>
                      <w:highlight w:val="none"/>
                    </w:rPr>
                    <w:t>-488</w:t>
                  </w:r>
                </w:p>
              </w:tc>
              <w:tc>
                <w:tcPr>
                  <w:tcW w:w="1040" w:type="dxa"/>
                  <w:vAlign w:val="center"/>
                </w:tcPr>
                <w:p w14:paraId="052158B0">
                  <w:pPr>
                    <w:jc w:val="center"/>
                    <w:rPr>
                      <w:strike w:val="0"/>
                      <w:dstrike w:val="0"/>
                      <w:color w:val="auto"/>
                      <w:kern w:val="0"/>
                      <w:szCs w:val="21"/>
                      <w:highlight w:val="none"/>
                    </w:rPr>
                  </w:pPr>
                  <w:r>
                    <w:rPr>
                      <w:strike w:val="0"/>
                      <w:dstrike w:val="0"/>
                      <w:color w:val="auto"/>
                      <w:kern w:val="0"/>
                      <w:szCs w:val="21"/>
                      <w:highlight w:val="none"/>
                    </w:rPr>
                    <w:t>0</w:t>
                  </w:r>
                </w:p>
              </w:tc>
              <w:tc>
                <w:tcPr>
                  <w:tcW w:w="766" w:type="dxa"/>
                  <w:vAlign w:val="center"/>
                </w:tcPr>
                <w:p w14:paraId="5D814728">
                  <w:pPr>
                    <w:jc w:val="center"/>
                    <w:rPr>
                      <w:strike w:val="0"/>
                      <w:dstrike w:val="0"/>
                      <w:color w:val="auto"/>
                      <w:kern w:val="0"/>
                      <w:szCs w:val="21"/>
                      <w:highlight w:val="none"/>
                    </w:rPr>
                  </w:pPr>
                  <w:r>
                    <w:rPr>
                      <w:strike w:val="0"/>
                      <w:dstrike w:val="0"/>
                      <w:color w:val="auto"/>
                      <w:kern w:val="0"/>
                      <w:szCs w:val="21"/>
                      <w:highlight w:val="none"/>
                    </w:rPr>
                    <w:t>居民点</w:t>
                  </w:r>
                </w:p>
              </w:tc>
              <w:tc>
                <w:tcPr>
                  <w:tcW w:w="1093" w:type="dxa"/>
                  <w:shd w:val="clear" w:color="auto" w:fill="auto"/>
                  <w:vAlign w:val="center"/>
                </w:tcPr>
                <w:p w14:paraId="5A1B9129">
                  <w:pPr>
                    <w:jc w:val="center"/>
                    <w:rPr>
                      <w:strike w:val="0"/>
                      <w:dstrike w:val="0"/>
                      <w:color w:val="auto"/>
                      <w:kern w:val="0"/>
                      <w:szCs w:val="21"/>
                      <w:highlight w:val="none"/>
                    </w:rPr>
                  </w:pPr>
                  <w:r>
                    <w:rPr>
                      <w:strike w:val="0"/>
                      <w:dstrike w:val="0"/>
                      <w:color w:val="auto"/>
                      <w:kern w:val="0"/>
                      <w:szCs w:val="21"/>
                      <w:highlight w:val="none"/>
                    </w:rPr>
                    <w:t>1户，约3人</w:t>
                  </w:r>
                </w:p>
              </w:tc>
              <w:tc>
                <w:tcPr>
                  <w:tcW w:w="944" w:type="dxa"/>
                  <w:vMerge w:val="continue"/>
                  <w:vAlign w:val="center"/>
                </w:tcPr>
                <w:p w14:paraId="0AAAAD3B">
                  <w:pPr>
                    <w:jc w:val="center"/>
                    <w:rPr>
                      <w:strike w:val="0"/>
                      <w:dstrike w:val="0"/>
                      <w:color w:val="auto"/>
                      <w:kern w:val="0"/>
                      <w:szCs w:val="21"/>
                      <w:highlight w:val="none"/>
                    </w:rPr>
                  </w:pPr>
                </w:p>
              </w:tc>
              <w:tc>
                <w:tcPr>
                  <w:tcW w:w="679" w:type="dxa"/>
                  <w:vAlign w:val="center"/>
                </w:tcPr>
                <w:p w14:paraId="5F0A642E">
                  <w:pPr>
                    <w:jc w:val="center"/>
                    <w:rPr>
                      <w:strike w:val="0"/>
                      <w:dstrike w:val="0"/>
                      <w:color w:val="auto"/>
                      <w:kern w:val="0"/>
                      <w:szCs w:val="21"/>
                      <w:highlight w:val="none"/>
                    </w:rPr>
                  </w:pPr>
                  <w:r>
                    <w:rPr>
                      <w:strike w:val="0"/>
                      <w:dstrike w:val="0"/>
                      <w:color w:val="auto"/>
                      <w:kern w:val="0"/>
                      <w:szCs w:val="21"/>
                      <w:highlight w:val="none"/>
                    </w:rPr>
                    <w:t>W</w:t>
                  </w:r>
                </w:p>
              </w:tc>
              <w:tc>
                <w:tcPr>
                  <w:tcW w:w="1011" w:type="dxa"/>
                  <w:vAlign w:val="center"/>
                </w:tcPr>
                <w:p w14:paraId="2320A796">
                  <w:pPr>
                    <w:jc w:val="center"/>
                    <w:rPr>
                      <w:strike w:val="0"/>
                      <w:dstrike w:val="0"/>
                      <w:color w:val="auto"/>
                      <w:kern w:val="0"/>
                      <w:szCs w:val="21"/>
                      <w:highlight w:val="none"/>
                    </w:rPr>
                  </w:pPr>
                  <w:r>
                    <w:rPr>
                      <w:strike w:val="0"/>
                      <w:dstrike w:val="0"/>
                      <w:color w:val="auto"/>
                      <w:kern w:val="0"/>
                      <w:szCs w:val="21"/>
                      <w:highlight w:val="none"/>
                    </w:rPr>
                    <w:t>460</w:t>
                  </w:r>
                </w:p>
              </w:tc>
            </w:tr>
            <w:tr w14:paraId="026C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18" w:type="dxa"/>
                  <w:vMerge w:val="continue"/>
                  <w:vAlign w:val="center"/>
                </w:tcPr>
                <w:p w14:paraId="2D3EBEA0">
                  <w:pPr>
                    <w:jc w:val="center"/>
                    <w:rPr>
                      <w:strike w:val="0"/>
                      <w:dstrike w:val="0"/>
                      <w:color w:val="auto"/>
                      <w:kern w:val="0"/>
                      <w:szCs w:val="21"/>
                      <w:highlight w:val="none"/>
                    </w:rPr>
                  </w:pPr>
                </w:p>
              </w:tc>
              <w:tc>
                <w:tcPr>
                  <w:tcW w:w="876" w:type="dxa"/>
                  <w:vAlign w:val="center"/>
                </w:tcPr>
                <w:p w14:paraId="2DF7D1A6">
                  <w:pPr>
                    <w:jc w:val="center"/>
                    <w:rPr>
                      <w:strike w:val="0"/>
                      <w:dstrike w:val="0"/>
                      <w:color w:val="auto"/>
                      <w:kern w:val="0"/>
                      <w:szCs w:val="21"/>
                      <w:highlight w:val="none"/>
                    </w:rPr>
                  </w:pPr>
                  <w:r>
                    <w:rPr>
                      <w:strike w:val="0"/>
                      <w:dstrike w:val="0"/>
                      <w:color w:val="auto"/>
                      <w:kern w:val="0"/>
                      <w:szCs w:val="21"/>
                      <w:highlight w:val="none"/>
                    </w:rPr>
                    <w:t>6#居民点</w:t>
                  </w:r>
                </w:p>
              </w:tc>
              <w:tc>
                <w:tcPr>
                  <w:tcW w:w="953" w:type="dxa"/>
                  <w:vAlign w:val="center"/>
                </w:tcPr>
                <w:p w14:paraId="5B925FE0">
                  <w:pPr>
                    <w:jc w:val="center"/>
                    <w:rPr>
                      <w:strike w:val="0"/>
                      <w:dstrike w:val="0"/>
                      <w:color w:val="auto"/>
                      <w:kern w:val="0"/>
                      <w:szCs w:val="21"/>
                      <w:highlight w:val="none"/>
                    </w:rPr>
                  </w:pPr>
                  <w:r>
                    <w:rPr>
                      <w:strike w:val="0"/>
                      <w:dstrike w:val="0"/>
                      <w:color w:val="auto"/>
                      <w:kern w:val="0"/>
                      <w:szCs w:val="21"/>
                      <w:highlight w:val="none"/>
                    </w:rPr>
                    <w:t>0</w:t>
                  </w:r>
                </w:p>
              </w:tc>
              <w:tc>
                <w:tcPr>
                  <w:tcW w:w="1040" w:type="dxa"/>
                  <w:vAlign w:val="center"/>
                </w:tcPr>
                <w:p w14:paraId="583ACF8D">
                  <w:pPr>
                    <w:jc w:val="center"/>
                    <w:rPr>
                      <w:strike w:val="0"/>
                      <w:dstrike w:val="0"/>
                      <w:color w:val="auto"/>
                      <w:kern w:val="0"/>
                      <w:szCs w:val="21"/>
                      <w:highlight w:val="none"/>
                    </w:rPr>
                  </w:pPr>
                  <w:r>
                    <w:rPr>
                      <w:strike w:val="0"/>
                      <w:dstrike w:val="0"/>
                      <w:color w:val="auto"/>
                      <w:kern w:val="0"/>
                      <w:szCs w:val="21"/>
                      <w:highlight w:val="none"/>
                    </w:rPr>
                    <w:t>-530</w:t>
                  </w:r>
                </w:p>
              </w:tc>
              <w:tc>
                <w:tcPr>
                  <w:tcW w:w="766" w:type="dxa"/>
                  <w:vAlign w:val="center"/>
                </w:tcPr>
                <w:p w14:paraId="73D9AF79">
                  <w:pPr>
                    <w:jc w:val="center"/>
                    <w:rPr>
                      <w:strike w:val="0"/>
                      <w:dstrike w:val="0"/>
                      <w:color w:val="auto"/>
                      <w:kern w:val="0"/>
                      <w:szCs w:val="21"/>
                      <w:highlight w:val="none"/>
                    </w:rPr>
                  </w:pPr>
                  <w:r>
                    <w:rPr>
                      <w:strike w:val="0"/>
                      <w:dstrike w:val="0"/>
                      <w:color w:val="auto"/>
                      <w:kern w:val="0"/>
                      <w:szCs w:val="21"/>
                      <w:highlight w:val="none"/>
                    </w:rPr>
                    <w:t>居民点</w:t>
                  </w:r>
                </w:p>
              </w:tc>
              <w:tc>
                <w:tcPr>
                  <w:tcW w:w="1093" w:type="dxa"/>
                  <w:shd w:val="clear" w:color="auto" w:fill="auto"/>
                  <w:vAlign w:val="center"/>
                </w:tcPr>
                <w:p w14:paraId="29F5038C">
                  <w:pPr>
                    <w:jc w:val="center"/>
                    <w:rPr>
                      <w:strike w:val="0"/>
                      <w:dstrike w:val="0"/>
                      <w:color w:val="auto"/>
                      <w:kern w:val="0"/>
                      <w:szCs w:val="21"/>
                      <w:highlight w:val="none"/>
                    </w:rPr>
                  </w:pPr>
                  <w:r>
                    <w:rPr>
                      <w:strike w:val="0"/>
                      <w:dstrike w:val="0"/>
                      <w:color w:val="auto"/>
                      <w:kern w:val="0"/>
                      <w:szCs w:val="21"/>
                      <w:highlight w:val="none"/>
                    </w:rPr>
                    <w:t>1户，约3人</w:t>
                  </w:r>
                </w:p>
              </w:tc>
              <w:tc>
                <w:tcPr>
                  <w:tcW w:w="944" w:type="dxa"/>
                  <w:vMerge w:val="continue"/>
                  <w:vAlign w:val="center"/>
                </w:tcPr>
                <w:p w14:paraId="58DA6D9B">
                  <w:pPr>
                    <w:jc w:val="center"/>
                    <w:rPr>
                      <w:strike w:val="0"/>
                      <w:dstrike w:val="0"/>
                      <w:color w:val="auto"/>
                      <w:kern w:val="0"/>
                      <w:szCs w:val="21"/>
                      <w:highlight w:val="none"/>
                    </w:rPr>
                  </w:pPr>
                </w:p>
              </w:tc>
              <w:tc>
                <w:tcPr>
                  <w:tcW w:w="679" w:type="dxa"/>
                  <w:vAlign w:val="center"/>
                </w:tcPr>
                <w:p w14:paraId="768EC747">
                  <w:pPr>
                    <w:jc w:val="center"/>
                    <w:rPr>
                      <w:strike w:val="0"/>
                      <w:dstrike w:val="0"/>
                      <w:color w:val="auto"/>
                      <w:kern w:val="0"/>
                      <w:szCs w:val="21"/>
                      <w:highlight w:val="none"/>
                    </w:rPr>
                  </w:pPr>
                  <w:r>
                    <w:rPr>
                      <w:strike w:val="0"/>
                      <w:dstrike w:val="0"/>
                      <w:color w:val="auto"/>
                      <w:kern w:val="0"/>
                      <w:szCs w:val="21"/>
                      <w:highlight w:val="none"/>
                    </w:rPr>
                    <w:t>S</w:t>
                  </w:r>
                </w:p>
              </w:tc>
              <w:tc>
                <w:tcPr>
                  <w:tcW w:w="1011" w:type="dxa"/>
                  <w:vAlign w:val="center"/>
                </w:tcPr>
                <w:p w14:paraId="29D5BB7C">
                  <w:pPr>
                    <w:jc w:val="center"/>
                    <w:rPr>
                      <w:strike w:val="0"/>
                      <w:dstrike w:val="0"/>
                      <w:color w:val="auto"/>
                      <w:kern w:val="0"/>
                      <w:szCs w:val="21"/>
                      <w:highlight w:val="none"/>
                    </w:rPr>
                  </w:pPr>
                  <w:r>
                    <w:rPr>
                      <w:strike w:val="0"/>
                      <w:dstrike w:val="0"/>
                      <w:color w:val="auto"/>
                      <w:kern w:val="0"/>
                      <w:szCs w:val="21"/>
                      <w:highlight w:val="none"/>
                    </w:rPr>
                    <w:t>490</w:t>
                  </w:r>
                </w:p>
              </w:tc>
            </w:tr>
            <w:tr w14:paraId="06E7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18" w:type="dxa"/>
                  <w:vMerge w:val="continue"/>
                  <w:vAlign w:val="center"/>
                </w:tcPr>
                <w:p w14:paraId="0B320289">
                  <w:pPr>
                    <w:jc w:val="center"/>
                    <w:rPr>
                      <w:strike w:val="0"/>
                      <w:dstrike w:val="0"/>
                      <w:color w:val="auto"/>
                      <w:kern w:val="0"/>
                      <w:szCs w:val="21"/>
                      <w:highlight w:val="none"/>
                    </w:rPr>
                  </w:pPr>
                </w:p>
              </w:tc>
              <w:tc>
                <w:tcPr>
                  <w:tcW w:w="876" w:type="dxa"/>
                  <w:vAlign w:val="center"/>
                </w:tcPr>
                <w:p w14:paraId="5EEC46A8">
                  <w:pPr>
                    <w:jc w:val="center"/>
                    <w:rPr>
                      <w:rFonts w:hint="default" w:eastAsia="宋体"/>
                      <w:strike w:val="0"/>
                      <w:dstrike w:val="0"/>
                      <w:color w:val="auto"/>
                      <w:kern w:val="0"/>
                      <w:szCs w:val="21"/>
                      <w:highlight w:val="none"/>
                      <w:lang w:val="en-US" w:eastAsia="zh-CN"/>
                    </w:rPr>
                  </w:pPr>
                  <w:r>
                    <w:rPr>
                      <w:rFonts w:hint="eastAsia"/>
                      <w:strike w:val="0"/>
                      <w:dstrike w:val="0"/>
                      <w:color w:val="auto"/>
                      <w:kern w:val="0"/>
                      <w:szCs w:val="21"/>
                      <w:highlight w:val="none"/>
                      <w:lang w:val="en-US" w:eastAsia="zh-CN"/>
                    </w:rPr>
                    <w:t>7#居民点</w:t>
                  </w:r>
                </w:p>
              </w:tc>
              <w:tc>
                <w:tcPr>
                  <w:tcW w:w="953" w:type="dxa"/>
                  <w:shd w:val="clear" w:color="auto" w:fill="auto"/>
                  <w:vAlign w:val="center"/>
                </w:tcPr>
                <w:p w14:paraId="2A2B943A">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+345</w:t>
                  </w:r>
                </w:p>
              </w:tc>
              <w:tc>
                <w:tcPr>
                  <w:tcW w:w="1040" w:type="dxa"/>
                  <w:shd w:val="clear" w:color="auto" w:fill="auto"/>
                  <w:vAlign w:val="center"/>
                </w:tcPr>
                <w:p w14:paraId="61C032CC">
                  <w:pPr>
                    <w:jc w:val="center"/>
                    <w:rPr>
                      <w:rFonts w:hint="default" w:ascii="Times New Roman" w:hAnsi="Times New Roman" w:eastAsia="宋体" w:cs="Times New Roman"/>
                      <w:strike w:val="0"/>
                      <w:dstrike w:val="0"/>
                      <w:color w:val="auto"/>
                      <w:kern w:val="0"/>
                      <w:sz w:val="21"/>
                      <w:szCs w:val="21"/>
                      <w:highlight w:val="none"/>
                      <w:lang w:val="en-US" w:eastAsia="zh-CN" w:bidi="ar-SA"/>
                    </w:rPr>
                  </w:pPr>
                  <w:r>
                    <w:rPr>
                      <w:rFonts w:hint="eastAsia" w:cs="Times New Roman"/>
                      <w:strike w:val="0"/>
                      <w:dstrike w:val="0"/>
                      <w:color w:val="auto"/>
                      <w:kern w:val="0"/>
                      <w:sz w:val="21"/>
                      <w:szCs w:val="21"/>
                      <w:highlight w:val="none"/>
                      <w:lang w:val="en-US" w:eastAsia="zh-CN" w:bidi="ar-SA"/>
                    </w:rPr>
                    <w:t>-480</w:t>
                  </w:r>
                </w:p>
              </w:tc>
              <w:tc>
                <w:tcPr>
                  <w:tcW w:w="766" w:type="dxa"/>
                  <w:shd w:val="clear" w:color="auto" w:fill="auto"/>
                  <w:vAlign w:val="center"/>
                </w:tcPr>
                <w:p w14:paraId="1A830C64">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93" w:type="dxa"/>
                  <w:shd w:val="clear" w:color="auto" w:fill="auto"/>
                  <w:vAlign w:val="center"/>
                </w:tcPr>
                <w:p w14:paraId="1E91C8D6">
                  <w:pPr>
                    <w:jc w:val="center"/>
                    <w:rPr>
                      <w:rFonts w:hint="eastAsia"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lang w:val="en-US" w:eastAsia="zh-CN"/>
                    </w:rPr>
                    <w:t>8</w:t>
                  </w:r>
                  <w:r>
                    <w:rPr>
                      <w:rFonts w:hint="eastAsia"/>
                      <w:strike w:val="0"/>
                      <w:dstrike w:val="0"/>
                      <w:color w:val="auto"/>
                      <w:kern w:val="0"/>
                      <w:szCs w:val="21"/>
                      <w:highlight w:val="none"/>
                    </w:rPr>
                    <w:t>户，约</w:t>
                  </w:r>
                  <w:r>
                    <w:rPr>
                      <w:rFonts w:hint="eastAsia"/>
                      <w:strike w:val="0"/>
                      <w:dstrike w:val="0"/>
                      <w:color w:val="auto"/>
                      <w:kern w:val="0"/>
                      <w:szCs w:val="21"/>
                      <w:highlight w:val="none"/>
                      <w:lang w:val="en-US" w:eastAsia="zh-CN"/>
                    </w:rPr>
                    <w:t>24</w:t>
                  </w:r>
                  <w:r>
                    <w:rPr>
                      <w:rFonts w:hint="eastAsia"/>
                      <w:strike w:val="0"/>
                      <w:dstrike w:val="0"/>
                      <w:color w:val="auto"/>
                      <w:kern w:val="0"/>
                      <w:szCs w:val="21"/>
                      <w:highlight w:val="none"/>
                    </w:rPr>
                    <w:t>人</w:t>
                  </w:r>
                </w:p>
              </w:tc>
              <w:tc>
                <w:tcPr>
                  <w:tcW w:w="944" w:type="dxa"/>
                  <w:vMerge w:val="continue"/>
                  <w:vAlign w:val="center"/>
                </w:tcPr>
                <w:p w14:paraId="2897211F">
                  <w:pPr>
                    <w:jc w:val="center"/>
                    <w:rPr>
                      <w:strike w:val="0"/>
                      <w:dstrike w:val="0"/>
                      <w:color w:val="auto"/>
                      <w:kern w:val="0"/>
                      <w:szCs w:val="21"/>
                      <w:highlight w:val="none"/>
                    </w:rPr>
                  </w:pPr>
                </w:p>
              </w:tc>
              <w:tc>
                <w:tcPr>
                  <w:tcW w:w="679" w:type="dxa"/>
                  <w:shd w:val="clear" w:color="auto" w:fill="auto"/>
                  <w:vAlign w:val="center"/>
                </w:tcPr>
                <w:p w14:paraId="1D9C03C7">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SE</w:t>
                  </w:r>
                </w:p>
              </w:tc>
              <w:tc>
                <w:tcPr>
                  <w:tcW w:w="1011" w:type="dxa"/>
                  <w:shd w:val="clear" w:color="auto" w:fill="auto"/>
                  <w:vAlign w:val="center"/>
                </w:tcPr>
                <w:p w14:paraId="03A63C64">
                  <w:pPr>
                    <w:jc w:val="center"/>
                    <w:rPr>
                      <w:rFonts w:hint="default"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lang w:val="en-US" w:eastAsia="zh-CN"/>
                    </w:rPr>
                    <w:t>542</w:t>
                  </w:r>
                </w:p>
              </w:tc>
            </w:tr>
            <w:tr w14:paraId="7E3E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419D163E">
                  <w:pPr>
                    <w:jc w:val="center"/>
                    <w:rPr>
                      <w:strike w:val="0"/>
                      <w:dstrike w:val="0"/>
                      <w:color w:val="auto"/>
                      <w:kern w:val="0"/>
                      <w:szCs w:val="21"/>
                      <w:highlight w:val="none"/>
                    </w:rPr>
                  </w:pPr>
                  <w:r>
                    <w:rPr>
                      <w:strike w:val="0"/>
                      <w:dstrike w:val="0"/>
                      <w:color w:val="auto"/>
                      <w:kern w:val="0"/>
                      <w:szCs w:val="21"/>
                      <w:highlight w:val="none"/>
                    </w:rPr>
                    <w:t>声环境</w:t>
                  </w:r>
                </w:p>
              </w:tc>
              <w:tc>
                <w:tcPr>
                  <w:tcW w:w="4728" w:type="dxa"/>
                  <w:gridSpan w:val="5"/>
                  <w:vAlign w:val="center"/>
                </w:tcPr>
                <w:p w14:paraId="78956CE2">
                  <w:pPr>
                    <w:jc w:val="center"/>
                    <w:rPr>
                      <w:strike w:val="0"/>
                      <w:dstrike w:val="0"/>
                      <w:color w:val="auto"/>
                      <w:kern w:val="0"/>
                      <w:szCs w:val="21"/>
                      <w:highlight w:val="none"/>
                    </w:rPr>
                  </w:pPr>
                  <w:r>
                    <w:rPr>
                      <w:strike w:val="0"/>
                      <w:dstrike w:val="0"/>
                      <w:color w:val="auto"/>
                      <w:kern w:val="0"/>
                      <w:szCs w:val="21"/>
                      <w:highlight w:val="none"/>
                    </w:rPr>
                    <w:t>项目厂界50m范围内无居民点</w:t>
                  </w:r>
                </w:p>
              </w:tc>
              <w:tc>
                <w:tcPr>
                  <w:tcW w:w="944" w:type="dxa"/>
                  <w:vAlign w:val="center"/>
                </w:tcPr>
                <w:p w14:paraId="7C309204">
                  <w:pPr>
                    <w:jc w:val="center"/>
                    <w:rPr>
                      <w:strike w:val="0"/>
                      <w:dstrike w:val="0"/>
                      <w:color w:val="auto"/>
                      <w:kern w:val="0"/>
                      <w:szCs w:val="21"/>
                      <w:highlight w:val="none"/>
                    </w:rPr>
                  </w:pPr>
                  <w:r>
                    <w:rPr>
                      <w:strike w:val="0"/>
                      <w:dstrike w:val="0"/>
                      <w:color w:val="auto"/>
                      <w:kern w:val="0"/>
                      <w:szCs w:val="21"/>
                      <w:highlight w:val="none"/>
                    </w:rPr>
                    <w:t>3类声功能区</w:t>
                  </w:r>
                </w:p>
              </w:tc>
              <w:tc>
                <w:tcPr>
                  <w:tcW w:w="679" w:type="dxa"/>
                  <w:vAlign w:val="center"/>
                </w:tcPr>
                <w:p w14:paraId="6E316B81">
                  <w:pPr>
                    <w:jc w:val="center"/>
                    <w:rPr>
                      <w:strike w:val="0"/>
                      <w:dstrike w:val="0"/>
                      <w:color w:val="auto"/>
                      <w:kern w:val="0"/>
                      <w:szCs w:val="21"/>
                      <w:highlight w:val="none"/>
                    </w:rPr>
                  </w:pPr>
                  <w:r>
                    <w:rPr>
                      <w:strike w:val="0"/>
                      <w:dstrike w:val="0"/>
                      <w:color w:val="auto"/>
                      <w:kern w:val="0"/>
                      <w:szCs w:val="21"/>
                      <w:highlight w:val="none"/>
                    </w:rPr>
                    <w:t>/</w:t>
                  </w:r>
                </w:p>
              </w:tc>
              <w:tc>
                <w:tcPr>
                  <w:tcW w:w="1011" w:type="dxa"/>
                  <w:vAlign w:val="center"/>
                </w:tcPr>
                <w:p w14:paraId="3A35DC4F">
                  <w:pPr>
                    <w:jc w:val="center"/>
                    <w:rPr>
                      <w:strike w:val="0"/>
                      <w:dstrike w:val="0"/>
                      <w:color w:val="auto"/>
                      <w:kern w:val="0"/>
                      <w:szCs w:val="21"/>
                      <w:highlight w:val="none"/>
                    </w:rPr>
                  </w:pPr>
                  <w:r>
                    <w:rPr>
                      <w:strike w:val="0"/>
                      <w:dstrike w:val="0"/>
                      <w:color w:val="auto"/>
                      <w:kern w:val="0"/>
                      <w:szCs w:val="21"/>
                      <w:highlight w:val="none"/>
                    </w:rPr>
                    <w:t>/</w:t>
                  </w:r>
                </w:p>
              </w:tc>
            </w:tr>
            <w:tr w14:paraId="7884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641C1A15">
                  <w:pPr>
                    <w:jc w:val="center"/>
                    <w:rPr>
                      <w:strike w:val="0"/>
                      <w:dstrike w:val="0"/>
                      <w:color w:val="auto"/>
                      <w:kern w:val="0"/>
                      <w:szCs w:val="21"/>
                      <w:highlight w:val="none"/>
                    </w:rPr>
                  </w:pPr>
                  <w:r>
                    <w:rPr>
                      <w:strike w:val="0"/>
                      <w:dstrike w:val="0"/>
                      <w:color w:val="auto"/>
                      <w:kern w:val="0"/>
                      <w:szCs w:val="21"/>
                      <w:highlight w:val="none"/>
                    </w:rPr>
                    <w:t>地表水环境</w:t>
                  </w:r>
                </w:p>
              </w:tc>
              <w:tc>
                <w:tcPr>
                  <w:tcW w:w="4728" w:type="dxa"/>
                  <w:gridSpan w:val="5"/>
                  <w:vAlign w:val="center"/>
                </w:tcPr>
                <w:p w14:paraId="0708D124">
                  <w:pPr>
                    <w:jc w:val="center"/>
                    <w:rPr>
                      <w:strike w:val="0"/>
                      <w:dstrike w:val="0"/>
                      <w:color w:val="auto"/>
                      <w:kern w:val="0"/>
                      <w:szCs w:val="21"/>
                      <w:highlight w:val="none"/>
                    </w:rPr>
                  </w:pPr>
                  <w:r>
                    <w:rPr>
                      <w:rFonts w:hint="eastAsia"/>
                      <w:strike w:val="0"/>
                      <w:dstrike w:val="0"/>
                      <w:color w:val="auto"/>
                      <w:kern w:val="0"/>
                      <w:szCs w:val="21"/>
                      <w:highlight w:val="none"/>
                    </w:rPr>
                    <w:t>柏水溪</w:t>
                  </w:r>
                </w:p>
              </w:tc>
              <w:tc>
                <w:tcPr>
                  <w:tcW w:w="944" w:type="dxa"/>
                  <w:vAlign w:val="center"/>
                </w:tcPr>
                <w:p w14:paraId="44DF6120">
                  <w:pPr>
                    <w:jc w:val="left"/>
                    <w:rPr>
                      <w:strike w:val="0"/>
                      <w:dstrike w:val="0"/>
                      <w:color w:val="auto"/>
                      <w:kern w:val="0"/>
                      <w:szCs w:val="21"/>
                      <w:highlight w:val="none"/>
                    </w:rPr>
                  </w:pPr>
                  <w:r>
                    <w:rPr>
                      <w:strike w:val="0"/>
                      <w:dstrike w:val="0"/>
                      <w:color w:val="auto"/>
                      <w:kern w:val="0"/>
                      <w:szCs w:val="21"/>
                      <w:highlight w:val="none"/>
                    </w:rPr>
                    <w:t>Ⅲ类水域功能</w:t>
                  </w:r>
                </w:p>
              </w:tc>
              <w:tc>
                <w:tcPr>
                  <w:tcW w:w="679" w:type="dxa"/>
                  <w:vAlign w:val="center"/>
                </w:tcPr>
                <w:p w14:paraId="68EC81B3">
                  <w:pPr>
                    <w:jc w:val="center"/>
                    <w:rPr>
                      <w:strike w:val="0"/>
                      <w:dstrike w:val="0"/>
                      <w:color w:val="auto"/>
                      <w:kern w:val="0"/>
                      <w:szCs w:val="21"/>
                      <w:highlight w:val="none"/>
                    </w:rPr>
                  </w:pPr>
                  <w:r>
                    <w:rPr>
                      <w:rFonts w:hint="eastAsia"/>
                      <w:strike w:val="0"/>
                      <w:dstrike w:val="0"/>
                      <w:color w:val="auto"/>
                      <w:szCs w:val="21"/>
                      <w:highlight w:val="none"/>
                    </w:rPr>
                    <w:t>SE</w:t>
                  </w:r>
                </w:p>
              </w:tc>
              <w:tc>
                <w:tcPr>
                  <w:tcW w:w="1011" w:type="dxa"/>
                  <w:vAlign w:val="center"/>
                </w:tcPr>
                <w:p w14:paraId="6E85F7BB">
                  <w:pPr>
                    <w:jc w:val="center"/>
                    <w:rPr>
                      <w:strike w:val="0"/>
                      <w:dstrike w:val="0"/>
                      <w:color w:val="auto"/>
                      <w:kern w:val="0"/>
                      <w:szCs w:val="21"/>
                      <w:highlight w:val="none"/>
                    </w:rPr>
                  </w:pPr>
                  <w:r>
                    <w:rPr>
                      <w:rFonts w:hint="eastAsia"/>
                      <w:strike w:val="0"/>
                      <w:dstrike w:val="0"/>
                      <w:color w:val="auto"/>
                      <w:kern w:val="0"/>
                      <w:szCs w:val="21"/>
                      <w:highlight w:val="none"/>
                    </w:rPr>
                    <w:t>350</w:t>
                  </w:r>
                </w:p>
              </w:tc>
            </w:tr>
            <w:tr w14:paraId="2B5A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1535E697">
                  <w:pPr>
                    <w:jc w:val="center"/>
                    <w:rPr>
                      <w:strike w:val="0"/>
                      <w:dstrike w:val="0"/>
                      <w:color w:val="auto"/>
                      <w:kern w:val="0"/>
                      <w:szCs w:val="21"/>
                      <w:highlight w:val="none"/>
                    </w:rPr>
                  </w:pPr>
                  <w:r>
                    <w:rPr>
                      <w:strike w:val="0"/>
                      <w:dstrike w:val="0"/>
                      <w:color w:val="auto"/>
                      <w:kern w:val="0"/>
                      <w:szCs w:val="21"/>
                      <w:highlight w:val="none"/>
                    </w:rPr>
                    <w:t>地下水环境</w:t>
                  </w:r>
                </w:p>
              </w:tc>
              <w:tc>
                <w:tcPr>
                  <w:tcW w:w="7362" w:type="dxa"/>
                  <w:gridSpan w:val="8"/>
                  <w:vAlign w:val="center"/>
                </w:tcPr>
                <w:p w14:paraId="291D5CC9">
                  <w:pPr>
                    <w:jc w:val="left"/>
                    <w:rPr>
                      <w:strike w:val="0"/>
                      <w:dstrike w:val="0"/>
                      <w:color w:val="auto"/>
                      <w:kern w:val="0"/>
                      <w:szCs w:val="21"/>
                      <w:highlight w:val="none"/>
                    </w:rPr>
                  </w:pPr>
                  <w:r>
                    <w:rPr>
                      <w:strike w:val="0"/>
                      <w:dstrike w:val="0"/>
                      <w:color w:val="auto"/>
                      <w:kern w:val="0"/>
                      <w:szCs w:val="21"/>
                      <w:highlight w:val="none"/>
                    </w:rPr>
                    <w:t>项目厂界500m范围内无地下水集中式饮用水水源和热水、矿泉水、温泉等特殊地下水资源。</w:t>
                  </w:r>
                </w:p>
              </w:tc>
            </w:tr>
            <w:tr w14:paraId="2AFC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2FA33FFE">
                  <w:pPr>
                    <w:jc w:val="center"/>
                    <w:rPr>
                      <w:strike w:val="0"/>
                      <w:dstrike w:val="0"/>
                      <w:color w:val="auto"/>
                      <w:kern w:val="0"/>
                      <w:szCs w:val="21"/>
                      <w:highlight w:val="none"/>
                    </w:rPr>
                  </w:pPr>
                  <w:r>
                    <w:rPr>
                      <w:strike w:val="0"/>
                      <w:dstrike w:val="0"/>
                      <w:color w:val="auto"/>
                      <w:kern w:val="0"/>
                      <w:szCs w:val="21"/>
                      <w:highlight w:val="none"/>
                    </w:rPr>
                    <w:t>生态环境</w:t>
                  </w:r>
                </w:p>
              </w:tc>
              <w:tc>
                <w:tcPr>
                  <w:tcW w:w="7362" w:type="dxa"/>
                  <w:gridSpan w:val="8"/>
                  <w:vAlign w:val="center"/>
                </w:tcPr>
                <w:p w14:paraId="48D32F20">
                  <w:pPr>
                    <w:rPr>
                      <w:strike w:val="0"/>
                      <w:dstrike w:val="0"/>
                      <w:color w:val="auto"/>
                      <w:kern w:val="0"/>
                      <w:szCs w:val="21"/>
                      <w:highlight w:val="none"/>
                    </w:rPr>
                  </w:pPr>
                  <w:r>
                    <w:rPr>
                      <w:strike w:val="0"/>
                      <w:dstrike w:val="0"/>
                      <w:color w:val="auto"/>
                      <w:kern w:val="0"/>
                      <w:szCs w:val="21"/>
                      <w:highlight w:val="none"/>
                    </w:rPr>
                    <w:t>项目位于</w:t>
                  </w:r>
                  <w:r>
                    <w:rPr>
                      <w:strike w:val="0"/>
                      <w:dstrike w:val="0"/>
                      <w:color w:val="auto"/>
                      <w:szCs w:val="21"/>
                      <w:highlight w:val="none"/>
                    </w:rPr>
                    <w:t>重庆市合川区土场镇杨柳村三社</w:t>
                  </w:r>
                  <w:r>
                    <w:rPr>
                      <w:strike w:val="0"/>
                      <w:dstrike w:val="0"/>
                      <w:color w:val="auto"/>
                      <w:kern w:val="0"/>
                      <w:szCs w:val="21"/>
                      <w:highlight w:val="none"/>
                    </w:rPr>
                    <w:t>，</w:t>
                  </w:r>
                  <w:r>
                    <w:rPr>
                      <w:strike w:val="0"/>
                      <w:dstrike w:val="0"/>
                      <w:color w:val="auto"/>
                      <w:szCs w:val="21"/>
                      <w:highlight w:val="none"/>
                    </w:rPr>
                    <w:t>用地范围不涉及自然保护区、风景名胜区、森林公园等生态环境保护目标，故不进行生态现状调查。</w:t>
                  </w:r>
                </w:p>
              </w:tc>
            </w:tr>
            <w:tr w14:paraId="7660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0" w:type="dxa"/>
                  <w:gridSpan w:val="9"/>
                  <w:vAlign w:val="center"/>
                </w:tcPr>
                <w:p w14:paraId="5A60BC2B">
                  <w:pPr>
                    <w:jc w:val="left"/>
                    <w:rPr>
                      <w:strike w:val="0"/>
                      <w:dstrike w:val="0"/>
                      <w:color w:val="auto"/>
                      <w:kern w:val="0"/>
                      <w:szCs w:val="21"/>
                      <w:highlight w:val="none"/>
                    </w:rPr>
                  </w:pPr>
                  <w:r>
                    <w:rPr>
                      <w:strike w:val="0"/>
                      <w:dstrike w:val="0"/>
                      <w:color w:val="auto"/>
                      <w:kern w:val="0"/>
                      <w:szCs w:val="21"/>
                      <w:highlight w:val="none"/>
                    </w:rPr>
                    <w:t>注：以项目厂址中央为坐标原点（0，0）。</w:t>
                  </w:r>
                </w:p>
              </w:tc>
            </w:tr>
          </w:tbl>
          <w:p w14:paraId="604A9A25">
            <w:pPr>
              <w:adjustRightInd w:val="0"/>
              <w:snapToGrid w:val="0"/>
              <w:jc w:val="center"/>
              <w:rPr>
                <w:strike w:val="0"/>
                <w:dstrike w:val="0"/>
                <w:color w:val="auto"/>
                <w:kern w:val="0"/>
                <w:szCs w:val="21"/>
                <w:highlight w:val="none"/>
              </w:rPr>
            </w:pPr>
          </w:p>
        </w:tc>
      </w:tr>
      <w:tr w14:paraId="69A8B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tcMar>
              <w:left w:w="28" w:type="dxa"/>
              <w:right w:w="28" w:type="dxa"/>
            </w:tcMar>
            <w:vAlign w:val="center"/>
          </w:tcPr>
          <w:p w14:paraId="7154CBED">
            <w:pPr>
              <w:adjustRightInd w:val="0"/>
              <w:snapToGrid w:val="0"/>
              <w:jc w:val="center"/>
              <w:rPr>
                <w:strike w:val="0"/>
                <w:dstrike w:val="0"/>
                <w:color w:val="auto"/>
                <w:kern w:val="0"/>
                <w:sz w:val="24"/>
                <w:highlight w:val="none"/>
              </w:rPr>
            </w:pPr>
            <w:r>
              <w:rPr>
                <w:strike w:val="0"/>
                <w:dstrike w:val="0"/>
                <w:color w:val="auto"/>
                <w:kern w:val="0"/>
                <w:sz w:val="24"/>
                <w:highlight w:val="none"/>
              </w:rPr>
              <w:t>污染</w:t>
            </w:r>
          </w:p>
          <w:p w14:paraId="231D840E">
            <w:pPr>
              <w:adjustRightInd w:val="0"/>
              <w:snapToGrid w:val="0"/>
              <w:jc w:val="center"/>
              <w:rPr>
                <w:strike w:val="0"/>
                <w:dstrike w:val="0"/>
                <w:color w:val="auto"/>
                <w:kern w:val="0"/>
                <w:sz w:val="24"/>
                <w:highlight w:val="none"/>
              </w:rPr>
            </w:pPr>
            <w:r>
              <w:rPr>
                <w:strike w:val="0"/>
                <w:dstrike w:val="0"/>
                <w:color w:val="auto"/>
                <w:kern w:val="0"/>
                <w:sz w:val="24"/>
                <w:highlight w:val="none"/>
              </w:rPr>
              <w:t>物排</w:t>
            </w:r>
          </w:p>
          <w:p w14:paraId="213F9C3F">
            <w:pPr>
              <w:adjustRightInd w:val="0"/>
              <w:snapToGrid w:val="0"/>
              <w:jc w:val="center"/>
              <w:rPr>
                <w:strike w:val="0"/>
                <w:dstrike w:val="0"/>
                <w:color w:val="auto"/>
                <w:kern w:val="0"/>
                <w:sz w:val="24"/>
                <w:highlight w:val="none"/>
              </w:rPr>
            </w:pPr>
            <w:r>
              <w:rPr>
                <w:strike w:val="0"/>
                <w:dstrike w:val="0"/>
                <w:color w:val="auto"/>
                <w:kern w:val="0"/>
                <w:sz w:val="24"/>
                <w:highlight w:val="none"/>
              </w:rPr>
              <w:t>放控</w:t>
            </w:r>
          </w:p>
          <w:p w14:paraId="2BFDAB39">
            <w:pPr>
              <w:adjustRightInd w:val="0"/>
              <w:snapToGrid w:val="0"/>
              <w:jc w:val="center"/>
              <w:rPr>
                <w:strike w:val="0"/>
                <w:dstrike w:val="0"/>
                <w:color w:val="auto"/>
                <w:kern w:val="0"/>
                <w:sz w:val="24"/>
                <w:highlight w:val="none"/>
              </w:rPr>
            </w:pPr>
            <w:r>
              <w:rPr>
                <w:strike w:val="0"/>
                <w:dstrike w:val="0"/>
                <w:color w:val="auto"/>
                <w:kern w:val="0"/>
                <w:sz w:val="24"/>
                <w:highlight w:val="none"/>
              </w:rPr>
              <w:t>制标</w:t>
            </w:r>
          </w:p>
          <w:p w14:paraId="59CDAB76">
            <w:pPr>
              <w:adjustRightInd w:val="0"/>
              <w:snapToGrid w:val="0"/>
              <w:jc w:val="center"/>
              <w:rPr>
                <w:strike w:val="0"/>
                <w:dstrike w:val="0"/>
                <w:color w:val="auto"/>
                <w:kern w:val="0"/>
                <w:szCs w:val="21"/>
                <w:highlight w:val="none"/>
              </w:rPr>
            </w:pPr>
            <w:r>
              <w:rPr>
                <w:strike w:val="0"/>
                <w:dstrike w:val="0"/>
                <w:color w:val="auto"/>
                <w:kern w:val="0"/>
                <w:sz w:val="24"/>
                <w:highlight w:val="none"/>
              </w:rPr>
              <w:t>准</w:t>
            </w:r>
          </w:p>
        </w:tc>
        <w:tc>
          <w:tcPr>
            <w:tcW w:w="8491" w:type="dxa"/>
            <w:vAlign w:val="center"/>
          </w:tcPr>
          <w:p w14:paraId="38016E4C">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3.3污染物排放控制标准</w:t>
            </w:r>
          </w:p>
          <w:p w14:paraId="366AD2F0">
            <w:pPr>
              <w:adjustRightInd w:val="0"/>
              <w:snapToGrid w:val="0"/>
              <w:spacing w:line="360" w:lineRule="auto"/>
              <w:rPr>
                <w:b/>
                <w:strike w:val="0"/>
                <w:dstrike w:val="0"/>
                <w:color w:val="auto"/>
                <w:kern w:val="0"/>
                <w:sz w:val="24"/>
                <w:highlight w:val="none"/>
              </w:rPr>
            </w:pPr>
            <w:r>
              <w:rPr>
                <w:b/>
                <w:strike w:val="0"/>
                <w:dstrike w:val="0"/>
                <w:color w:val="auto"/>
                <w:kern w:val="0"/>
                <w:sz w:val="24"/>
                <w:highlight w:val="none"/>
              </w:rPr>
              <w:t>3.3.1废气污染物排放标准</w:t>
            </w:r>
          </w:p>
          <w:p w14:paraId="0876ACB0">
            <w:pPr>
              <w:numPr>
                <w:ilvl w:val="0"/>
                <w:numId w:val="10"/>
              </w:numPr>
              <w:spacing w:line="360" w:lineRule="auto"/>
              <w:ind w:firstLine="480"/>
              <w:jc w:val="left"/>
              <w:rPr>
                <w:strike w:val="0"/>
                <w:dstrike w:val="0"/>
                <w:color w:val="auto"/>
                <w:sz w:val="24"/>
                <w:highlight w:val="none"/>
              </w:rPr>
            </w:pPr>
            <w:r>
              <w:rPr>
                <w:strike w:val="0"/>
                <w:dstrike w:val="0"/>
                <w:color w:val="auto"/>
                <w:sz w:val="24"/>
                <w:highlight w:val="none"/>
              </w:rPr>
              <w:t>施工期</w:t>
            </w:r>
          </w:p>
          <w:p w14:paraId="46D54B0B">
            <w:pPr>
              <w:spacing w:line="360" w:lineRule="auto"/>
              <w:ind w:firstLine="480" w:firstLineChars="200"/>
              <w:rPr>
                <w:strike w:val="0"/>
                <w:dstrike w:val="0"/>
                <w:color w:val="auto"/>
                <w:sz w:val="24"/>
                <w:highlight w:val="none"/>
              </w:rPr>
            </w:pPr>
            <w:r>
              <w:rPr>
                <w:strike w:val="0"/>
                <w:dstrike w:val="0"/>
                <w:color w:val="auto"/>
                <w:sz w:val="24"/>
                <w:highlight w:val="none"/>
              </w:rPr>
              <w:t>项目施工期无组织排放粉尘执行《大气污染物综合排放标准》（</w:t>
            </w:r>
            <w:r>
              <w:rPr>
                <w:rFonts w:eastAsia="TimesNewRomanPSMT"/>
                <w:strike w:val="0"/>
                <w:dstrike w:val="0"/>
                <w:color w:val="auto"/>
                <w:sz w:val="24"/>
                <w:highlight w:val="none"/>
              </w:rPr>
              <w:t>DB 50/418-2016</w:t>
            </w:r>
            <w:r>
              <w:rPr>
                <w:strike w:val="0"/>
                <w:dstrike w:val="0"/>
                <w:color w:val="auto"/>
                <w:sz w:val="24"/>
                <w:highlight w:val="none"/>
              </w:rPr>
              <w:t>）中的无组织排放浓度监控标准，见表3.3-1。</w:t>
            </w:r>
          </w:p>
          <w:p w14:paraId="040C9169">
            <w:pPr>
              <w:ind w:firstLine="422"/>
              <w:jc w:val="center"/>
              <w:rPr>
                <w:b/>
                <w:strike w:val="0"/>
                <w:dstrike w:val="0"/>
                <w:color w:val="auto"/>
                <w:sz w:val="24"/>
                <w:highlight w:val="none"/>
              </w:rPr>
            </w:pPr>
            <w:r>
              <w:rPr>
                <w:b/>
                <w:strike w:val="0"/>
                <w:dstrike w:val="0"/>
                <w:color w:val="auto"/>
                <w:sz w:val="24"/>
                <w:highlight w:val="none"/>
              </w:rPr>
              <w:t>表3.3-1  大气污染物综合排放标准</w:t>
            </w:r>
          </w:p>
          <w:tbl>
            <w:tblPr>
              <w:tblStyle w:val="23"/>
              <w:tblW w:w="8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3625"/>
              <w:gridCol w:w="2725"/>
            </w:tblGrid>
            <w:tr w14:paraId="609D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29" w:type="dxa"/>
                  <w:vAlign w:val="center"/>
                </w:tcPr>
                <w:p w14:paraId="2BD9875E">
                  <w:pPr>
                    <w:jc w:val="center"/>
                    <w:rPr>
                      <w:b/>
                      <w:bCs/>
                      <w:strike w:val="0"/>
                      <w:dstrike w:val="0"/>
                      <w:color w:val="auto"/>
                      <w:szCs w:val="21"/>
                      <w:highlight w:val="none"/>
                    </w:rPr>
                  </w:pPr>
                  <w:r>
                    <w:rPr>
                      <w:b/>
                      <w:bCs/>
                      <w:strike w:val="0"/>
                      <w:dstrike w:val="0"/>
                      <w:color w:val="auto"/>
                      <w:szCs w:val="21"/>
                      <w:highlight w:val="none"/>
                    </w:rPr>
                    <w:t>污染物</w:t>
                  </w:r>
                </w:p>
              </w:tc>
              <w:tc>
                <w:tcPr>
                  <w:tcW w:w="3625" w:type="dxa"/>
                  <w:vAlign w:val="center"/>
                </w:tcPr>
                <w:p w14:paraId="5CAF00FB">
                  <w:pPr>
                    <w:jc w:val="center"/>
                    <w:rPr>
                      <w:b/>
                      <w:bCs/>
                      <w:strike w:val="0"/>
                      <w:dstrike w:val="0"/>
                      <w:color w:val="auto"/>
                      <w:szCs w:val="21"/>
                      <w:highlight w:val="none"/>
                    </w:rPr>
                  </w:pPr>
                  <w:r>
                    <w:rPr>
                      <w:b/>
                      <w:bCs/>
                      <w:strike w:val="0"/>
                      <w:dstrike w:val="0"/>
                      <w:color w:val="auto"/>
                      <w:szCs w:val="21"/>
                      <w:highlight w:val="none"/>
                    </w:rPr>
                    <w:t>排放限值</w:t>
                  </w:r>
                </w:p>
              </w:tc>
              <w:tc>
                <w:tcPr>
                  <w:tcW w:w="2725" w:type="dxa"/>
                  <w:vAlign w:val="center"/>
                </w:tcPr>
                <w:p w14:paraId="2EB841DA">
                  <w:pPr>
                    <w:jc w:val="center"/>
                    <w:rPr>
                      <w:b/>
                      <w:bCs/>
                      <w:strike w:val="0"/>
                      <w:dstrike w:val="0"/>
                      <w:color w:val="auto"/>
                      <w:szCs w:val="21"/>
                      <w:highlight w:val="none"/>
                    </w:rPr>
                  </w:pPr>
                  <w:r>
                    <w:rPr>
                      <w:b/>
                      <w:bCs/>
                      <w:strike w:val="0"/>
                      <w:dstrike w:val="0"/>
                      <w:color w:val="auto"/>
                      <w:szCs w:val="21"/>
                      <w:highlight w:val="none"/>
                    </w:rPr>
                    <w:t>无组织排放监控位置</w:t>
                  </w:r>
                </w:p>
              </w:tc>
            </w:tr>
            <w:tr w14:paraId="5E42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829" w:type="dxa"/>
                  <w:vAlign w:val="center"/>
                </w:tcPr>
                <w:p w14:paraId="4E53030A">
                  <w:pPr>
                    <w:jc w:val="center"/>
                    <w:rPr>
                      <w:strike w:val="0"/>
                      <w:dstrike w:val="0"/>
                      <w:color w:val="auto"/>
                      <w:szCs w:val="21"/>
                      <w:highlight w:val="none"/>
                    </w:rPr>
                  </w:pPr>
                  <w:r>
                    <w:rPr>
                      <w:strike w:val="0"/>
                      <w:dstrike w:val="0"/>
                      <w:color w:val="auto"/>
                      <w:szCs w:val="21"/>
                      <w:highlight w:val="none"/>
                    </w:rPr>
                    <w:t>颗粒物</w:t>
                  </w:r>
                </w:p>
              </w:tc>
              <w:tc>
                <w:tcPr>
                  <w:tcW w:w="3625" w:type="dxa"/>
                  <w:vAlign w:val="center"/>
                </w:tcPr>
                <w:p w14:paraId="3DC51E06">
                  <w:pPr>
                    <w:jc w:val="center"/>
                    <w:rPr>
                      <w:strike w:val="0"/>
                      <w:dstrike w:val="0"/>
                      <w:color w:val="auto"/>
                      <w:szCs w:val="21"/>
                      <w:highlight w:val="none"/>
                    </w:rPr>
                  </w:pPr>
                  <w:r>
                    <w:rPr>
                      <w:strike w:val="0"/>
                      <w:dstrike w:val="0"/>
                      <w:color w:val="auto"/>
                      <w:szCs w:val="21"/>
                      <w:highlight w:val="none"/>
                    </w:rPr>
                    <w:t>1.0</w:t>
                  </w:r>
                </w:p>
              </w:tc>
              <w:tc>
                <w:tcPr>
                  <w:tcW w:w="2725" w:type="dxa"/>
                  <w:vAlign w:val="center"/>
                </w:tcPr>
                <w:p w14:paraId="58E98059">
                  <w:pPr>
                    <w:jc w:val="center"/>
                    <w:rPr>
                      <w:strike w:val="0"/>
                      <w:dstrike w:val="0"/>
                      <w:color w:val="auto"/>
                      <w:szCs w:val="21"/>
                      <w:highlight w:val="none"/>
                    </w:rPr>
                  </w:pPr>
                  <w:r>
                    <w:rPr>
                      <w:strike w:val="0"/>
                      <w:dstrike w:val="0"/>
                      <w:color w:val="auto"/>
                      <w:szCs w:val="21"/>
                      <w:highlight w:val="none"/>
                    </w:rPr>
                    <w:t>周界外浓度最高点</w:t>
                  </w:r>
                </w:p>
              </w:tc>
            </w:tr>
          </w:tbl>
          <w:p w14:paraId="79440096">
            <w:pPr>
              <w:spacing w:line="360" w:lineRule="auto"/>
              <w:ind w:left="85" w:right="85" w:firstLine="480"/>
              <w:rPr>
                <w:strike w:val="0"/>
                <w:dstrike w:val="0"/>
                <w:color w:val="auto"/>
                <w:sz w:val="24"/>
                <w:highlight w:val="none"/>
              </w:rPr>
            </w:pPr>
            <w:r>
              <w:rPr>
                <w:strike w:val="0"/>
                <w:dstrike w:val="0"/>
                <w:color w:val="auto"/>
                <w:sz w:val="24"/>
                <w:highlight w:val="none"/>
              </w:rPr>
              <w:t>（2）运营期</w:t>
            </w:r>
          </w:p>
          <w:p w14:paraId="04E1AC3E">
            <w:pPr>
              <w:spacing w:line="360" w:lineRule="auto"/>
              <w:ind w:firstLine="480" w:firstLineChars="200"/>
              <w:rPr>
                <w:strike w:val="0"/>
                <w:dstrike w:val="0"/>
                <w:color w:val="auto"/>
                <w:sz w:val="24"/>
                <w:highlight w:val="none"/>
              </w:rPr>
            </w:pPr>
            <w:r>
              <w:rPr>
                <w:bCs/>
                <w:strike w:val="0"/>
                <w:dstrike w:val="0"/>
                <w:snapToGrid w:val="0"/>
                <w:color w:val="auto"/>
                <w:sz w:val="24"/>
                <w:highlight w:val="none"/>
              </w:rPr>
              <w:t>运营期</w:t>
            </w:r>
            <w:r>
              <w:rPr>
                <w:rFonts w:hint="eastAsia"/>
                <w:strike w:val="0"/>
                <w:dstrike w:val="0"/>
                <w:color w:val="auto"/>
                <w:sz w:val="24"/>
                <w:highlight w:val="none"/>
              </w:rPr>
              <w:t>废气排放</w:t>
            </w:r>
            <w:r>
              <w:rPr>
                <w:strike w:val="0"/>
                <w:dstrike w:val="0"/>
                <w:color w:val="auto"/>
                <w:sz w:val="24"/>
                <w:highlight w:val="none"/>
              </w:rPr>
              <w:t>执行《加油站大气污染物排放标准》（</w:t>
            </w:r>
            <w:r>
              <w:rPr>
                <w:rFonts w:eastAsia="TimesNewRomanPSMT"/>
                <w:strike w:val="0"/>
                <w:dstrike w:val="0"/>
                <w:color w:val="auto"/>
                <w:sz w:val="24"/>
                <w:highlight w:val="none"/>
              </w:rPr>
              <w:t>GB20952-2020</w:t>
            </w:r>
            <w:r>
              <w:rPr>
                <w:strike w:val="0"/>
                <w:dstrike w:val="0"/>
                <w:color w:val="auto"/>
                <w:sz w:val="24"/>
                <w:highlight w:val="none"/>
              </w:rPr>
              <w:t>）中标准限值</w:t>
            </w:r>
            <w:r>
              <w:rPr>
                <w:bCs/>
                <w:strike w:val="0"/>
                <w:dstrike w:val="0"/>
                <w:color w:val="auto"/>
                <w:sz w:val="24"/>
                <w:highlight w:val="none"/>
              </w:rPr>
              <w:t>。</w:t>
            </w:r>
          </w:p>
          <w:p w14:paraId="083E62E8">
            <w:pPr>
              <w:spacing w:line="360" w:lineRule="auto"/>
              <w:ind w:firstLine="480" w:firstLineChars="200"/>
              <w:rPr>
                <w:bCs/>
                <w:strike w:val="0"/>
                <w:dstrike w:val="0"/>
                <w:color w:val="auto"/>
                <w:sz w:val="24"/>
                <w:highlight w:val="none"/>
              </w:rPr>
            </w:pPr>
            <w:r>
              <w:rPr>
                <w:bCs/>
                <w:strike w:val="0"/>
                <w:dstrike w:val="0"/>
                <w:color w:val="auto"/>
                <w:sz w:val="24"/>
                <w:highlight w:val="none"/>
              </w:rPr>
              <w:t>具体标准见表3.3-2~表3.3-</w:t>
            </w:r>
            <w:r>
              <w:rPr>
                <w:rFonts w:hint="eastAsia"/>
                <w:bCs/>
                <w:strike w:val="0"/>
                <w:dstrike w:val="0"/>
                <w:color w:val="auto"/>
                <w:sz w:val="24"/>
                <w:highlight w:val="none"/>
              </w:rPr>
              <w:t>3</w:t>
            </w:r>
            <w:r>
              <w:rPr>
                <w:bCs/>
                <w:strike w:val="0"/>
                <w:dstrike w:val="0"/>
                <w:color w:val="auto"/>
                <w:sz w:val="24"/>
                <w:highlight w:val="none"/>
              </w:rPr>
              <w:t>。</w:t>
            </w:r>
          </w:p>
          <w:p w14:paraId="41FDED5D">
            <w:pPr>
              <w:snapToGrid w:val="0"/>
              <w:jc w:val="center"/>
              <w:rPr>
                <w:b/>
                <w:bCs/>
                <w:strike w:val="0"/>
                <w:dstrike w:val="0"/>
                <w:color w:val="auto"/>
                <w:sz w:val="24"/>
                <w:highlight w:val="none"/>
                <w:vertAlign w:val="superscript"/>
              </w:rPr>
            </w:pPr>
            <w:r>
              <w:rPr>
                <w:b/>
                <w:bCs/>
                <w:strike w:val="0"/>
                <w:dstrike w:val="0"/>
                <w:color w:val="auto"/>
                <w:sz w:val="24"/>
                <w:highlight w:val="none"/>
              </w:rPr>
              <w:t>表3.3-2  《加油站大气污染物排放标准》（</w:t>
            </w:r>
            <w:r>
              <w:rPr>
                <w:rFonts w:eastAsia="TimesNewRomanPSMT"/>
                <w:b/>
                <w:bCs/>
                <w:strike w:val="0"/>
                <w:dstrike w:val="0"/>
                <w:color w:val="auto"/>
                <w:sz w:val="24"/>
                <w:highlight w:val="none"/>
              </w:rPr>
              <w:t>GB20952-2020</w:t>
            </w:r>
            <w:r>
              <w:rPr>
                <w:b/>
                <w:bCs/>
                <w:strike w:val="0"/>
                <w:dstrike w:val="0"/>
                <w:color w:val="auto"/>
                <w:sz w:val="24"/>
                <w:highlight w:val="none"/>
              </w:rPr>
              <w:t>）  单位：mg/m</w:t>
            </w:r>
            <w:r>
              <w:rPr>
                <w:b/>
                <w:bCs/>
                <w:strike w:val="0"/>
                <w:dstrike w:val="0"/>
                <w:color w:val="auto"/>
                <w:sz w:val="24"/>
                <w:highlight w:val="none"/>
                <w:vertAlign w:val="superscript"/>
              </w:rPr>
              <w:t>3</w:t>
            </w:r>
          </w:p>
          <w:tbl>
            <w:tblPr>
              <w:tblStyle w:val="23"/>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69"/>
              <w:gridCol w:w="2824"/>
              <w:gridCol w:w="2667"/>
            </w:tblGrid>
            <w:tr w14:paraId="7E47D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260" w:type="dxa"/>
                  <w:gridSpan w:val="3"/>
                  <w:tcBorders>
                    <w:tl2br w:val="nil"/>
                    <w:tr2bl w:val="nil"/>
                  </w:tcBorders>
                  <w:vAlign w:val="center"/>
                </w:tcPr>
                <w:p w14:paraId="4B5C25F8">
                  <w:pPr>
                    <w:pStyle w:val="43"/>
                    <w:kinsoku w:val="0"/>
                    <w:overflowPunct w:val="0"/>
                    <w:autoSpaceDE/>
                    <w:autoSpaceDN/>
                    <w:adjustRightInd/>
                    <w:jc w:val="center"/>
                    <w:rPr>
                      <w:b/>
                      <w:strike w:val="0"/>
                      <w:dstrike w:val="0"/>
                      <w:color w:val="auto"/>
                      <w:sz w:val="21"/>
                      <w:szCs w:val="21"/>
                      <w:highlight w:val="none"/>
                    </w:rPr>
                  </w:pPr>
                  <w:r>
                    <w:rPr>
                      <w:b/>
                      <w:strike w:val="0"/>
                      <w:dstrike w:val="0"/>
                      <w:color w:val="auto"/>
                      <w:sz w:val="21"/>
                      <w:szCs w:val="21"/>
                      <w:highlight w:val="none"/>
                    </w:rPr>
                    <w:t>油气回收系统要求</w:t>
                  </w:r>
                </w:p>
              </w:tc>
            </w:tr>
            <w:tr w14:paraId="5E89B4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769" w:type="dxa"/>
                  <w:tcBorders>
                    <w:tl2br w:val="nil"/>
                    <w:tr2bl w:val="nil"/>
                  </w:tcBorders>
                  <w:vAlign w:val="center"/>
                </w:tcPr>
                <w:p w14:paraId="7FF6927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类型</w:t>
                  </w:r>
                </w:p>
              </w:tc>
              <w:tc>
                <w:tcPr>
                  <w:tcW w:w="2824" w:type="dxa"/>
                  <w:tcBorders>
                    <w:tl2br w:val="nil"/>
                    <w:tr2bl w:val="nil"/>
                  </w:tcBorders>
                  <w:vAlign w:val="center"/>
                </w:tcPr>
                <w:p w14:paraId="709F73D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通入氮气流量</w:t>
                  </w:r>
                </w:p>
              </w:tc>
              <w:tc>
                <w:tcPr>
                  <w:tcW w:w="2667" w:type="dxa"/>
                  <w:tcBorders>
                    <w:tl2br w:val="nil"/>
                    <w:tr2bl w:val="nil"/>
                  </w:tcBorders>
                  <w:vAlign w:val="center"/>
                </w:tcPr>
                <w:p w14:paraId="75BBF6DD">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最大压力限值</w:t>
                  </w:r>
                </w:p>
              </w:tc>
            </w:tr>
            <w:tr w14:paraId="2FF7C7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769" w:type="dxa"/>
                  <w:vMerge w:val="restart"/>
                  <w:tcBorders>
                    <w:tl2br w:val="nil"/>
                    <w:tr2bl w:val="nil"/>
                  </w:tcBorders>
                  <w:vAlign w:val="center"/>
                </w:tcPr>
                <w:p w14:paraId="3BD6062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加油站油气回收管线液阻最大压力限值</w:t>
                  </w:r>
                </w:p>
              </w:tc>
              <w:tc>
                <w:tcPr>
                  <w:tcW w:w="2824" w:type="dxa"/>
                  <w:tcBorders>
                    <w:tl2br w:val="nil"/>
                    <w:tr2bl w:val="nil"/>
                  </w:tcBorders>
                  <w:vAlign w:val="center"/>
                </w:tcPr>
                <w:p w14:paraId="7ADBE83C">
                  <w:pPr>
                    <w:pStyle w:val="43"/>
                    <w:kinsoku w:val="0"/>
                    <w:overflowPunct w:val="0"/>
                    <w:autoSpaceDE/>
                    <w:autoSpaceDN/>
                    <w:adjustRightInd/>
                    <w:jc w:val="center"/>
                    <w:rPr>
                      <w:rFonts w:eastAsia="Times New Roman"/>
                      <w:strike w:val="0"/>
                      <w:dstrike w:val="0"/>
                      <w:color w:val="auto"/>
                      <w:sz w:val="21"/>
                      <w:szCs w:val="21"/>
                      <w:highlight w:val="none"/>
                    </w:rPr>
                  </w:pPr>
                  <w:r>
                    <w:rPr>
                      <w:rFonts w:eastAsia="Times New Roman"/>
                      <w:strike w:val="0"/>
                      <w:dstrike w:val="0"/>
                      <w:color w:val="auto"/>
                      <w:sz w:val="21"/>
                      <w:szCs w:val="21"/>
                      <w:highlight w:val="none"/>
                    </w:rPr>
                    <w:t>18L/min</w:t>
                  </w:r>
                </w:p>
              </w:tc>
              <w:tc>
                <w:tcPr>
                  <w:tcW w:w="2667" w:type="dxa"/>
                  <w:tcBorders>
                    <w:tl2br w:val="nil"/>
                    <w:tr2bl w:val="nil"/>
                  </w:tcBorders>
                  <w:vAlign w:val="center"/>
                </w:tcPr>
                <w:p w14:paraId="3C062CA0">
                  <w:pPr>
                    <w:pStyle w:val="43"/>
                    <w:kinsoku w:val="0"/>
                    <w:overflowPunct w:val="0"/>
                    <w:autoSpaceDE/>
                    <w:autoSpaceDN/>
                    <w:adjustRightInd/>
                    <w:jc w:val="center"/>
                    <w:rPr>
                      <w:rFonts w:eastAsia="Times New Roman"/>
                      <w:strike w:val="0"/>
                      <w:dstrike w:val="0"/>
                      <w:color w:val="auto"/>
                      <w:sz w:val="21"/>
                      <w:szCs w:val="21"/>
                      <w:highlight w:val="none"/>
                    </w:rPr>
                  </w:pPr>
                  <w:r>
                    <w:rPr>
                      <w:rFonts w:eastAsia="Times New Roman"/>
                      <w:strike w:val="0"/>
                      <w:dstrike w:val="0"/>
                      <w:color w:val="auto"/>
                      <w:sz w:val="21"/>
                      <w:szCs w:val="21"/>
                      <w:highlight w:val="none"/>
                    </w:rPr>
                    <w:t>40Pa</w:t>
                  </w:r>
                </w:p>
              </w:tc>
            </w:tr>
            <w:tr w14:paraId="5A4F87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769" w:type="dxa"/>
                  <w:vMerge w:val="continue"/>
                  <w:tcBorders>
                    <w:tl2br w:val="nil"/>
                    <w:tr2bl w:val="nil"/>
                  </w:tcBorders>
                  <w:vAlign w:val="center"/>
                </w:tcPr>
                <w:p w14:paraId="198CDF13">
                  <w:pPr>
                    <w:pStyle w:val="43"/>
                    <w:kinsoku w:val="0"/>
                    <w:overflowPunct w:val="0"/>
                    <w:autoSpaceDE/>
                    <w:autoSpaceDN/>
                    <w:adjustRightInd/>
                    <w:jc w:val="center"/>
                    <w:rPr>
                      <w:strike w:val="0"/>
                      <w:dstrike w:val="0"/>
                      <w:color w:val="auto"/>
                      <w:sz w:val="21"/>
                      <w:szCs w:val="21"/>
                      <w:highlight w:val="none"/>
                    </w:rPr>
                  </w:pPr>
                </w:p>
              </w:tc>
              <w:tc>
                <w:tcPr>
                  <w:tcW w:w="2824" w:type="dxa"/>
                  <w:tcBorders>
                    <w:tl2br w:val="nil"/>
                    <w:tr2bl w:val="nil"/>
                  </w:tcBorders>
                  <w:vAlign w:val="center"/>
                </w:tcPr>
                <w:p w14:paraId="4137BF9B">
                  <w:pPr>
                    <w:pStyle w:val="43"/>
                    <w:kinsoku w:val="0"/>
                    <w:overflowPunct w:val="0"/>
                    <w:autoSpaceDE/>
                    <w:autoSpaceDN/>
                    <w:adjustRightInd/>
                    <w:jc w:val="center"/>
                    <w:rPr>
                      <w:rFonts w:eastAsia="Times New Roman"/>
                      <w:strike w:val="0"/>
                      <w:dstrike w:val="0"/>
                      <w:color w:val="auto"/>
                      <w:sz w:val="21"/>
                      <w:szCs w:val="21"/>
                      <w:highlight w:val="none"/>
                    </w:rPr>
                  </w:pPr>
                  <w:r>
                    <w:rPr>
                      <w:rFonts w:eastAsia="Times New Roman"/>
                      <w:strike w:val="0"/>
                      <w:dstrike w:val="0"/>
                      <w:color w:val="auto"/>
                      <w:sz w:val="21"/>
                      <w:szCs w:val="21"/>
                      <w:highlight w:val="none"/>
                    </w:rPr>
                    <w:t>28L/min</w:t>
                  </w:r>
                </w:p>
              </w:tc>
              <w:tc>
                <w:tcPr>
                  <w:tcW w:w="2667" w:type="dxa"/>
                  <w:tcBorders>
                    <w:tl2br w:val="nil"/>
                    <w:tr2bl w:val="nil"/>
                  </w:tcBorders>
                  <w:vAlign w:val="center"/>
                </w:tcPr>
                <w:p w14:paraId="06EE4B26">
                  <w:pPr>
                    <w:pStyle w:val="43"/>
                    <w:kinsoku w:val="0"/>
                    <w:overflowPunct w:val="0"/>
                    <w:autoSpaceDE/>
                    <w:autoSpaceDN/>
                    <w:adjustRightInd/>
                    <w:jc w:val="center"/>
                    <w:rPr>
                      <w:rFonts w:eastAsia="Times New Roman"/>
                      <w:strike w:val="0"/>
                      <w:dstrike w:val="0"/>
                      <w:color w:val="auto"/>
                      <w:sz w:val="21"/>
                      <w:szCs w:val="21"/>
                      <w:highlight w:val="none"/>
                    </w:rPr>
                  </w:pPr>
                  <w:r>
                    <w:rPr>
                      <w:rFonts w:eastAsia="Times New Roman"/>
                      <w:strike w:val="0"/>
                      <w:dstrike w:val="0"/>
                      <w:color w:val="auto"/>
                      <w:sz w:val="21"/>
                      <w:szCs w:val="21"/>
                      <w:highlight w:val="none"/>
                    </w:rPr>
                    <w:t>90Pa</w:t>
                  </w:r>
                </w:p>
              </w:tc>
            </w:tr>
            <w:tr w14:paraId="39779F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769" w:type="dxa"/>
                  <w:vMerge w:val="continue"/>
                  <w:tcBorders>
                    <w:tl2br w:val="nil"/>
                    <w:tr2bl w:val="nil"/>
                  </w:tcBorders>
                  <w:vAlign w:val="center"/>
                </w:tcPr>
                <w:p w14:paraId="607F0926">
                  <w:pPr>
                    <w:pStyle w:val="43"/>
                    <w:kinsoku w:val="0"/>
                    <w:overflowPunct w:val="0"/>
                    <w:autoSpaceDE/>
                    <w:autoSpaceDN/>
                    <w:adjustRightInd/>
                    <w:jc w:val="center"/>
                    <w:rPr>
                      <w:strike w:val="0"/>
                      <w:dstrike w:val="0"/>
                      <w:color w:val="auto"/>
                      <w:sz w:val="21"/>
                      <w:szCs w:val="21"/>
                      <w:highlight w:val="none"/>
                    </w:rPr>
                  </w:pPr>
                </w:p>
              </w:tc>
              <w:tc>
                <w:tcPr>
                  <w:tcW w:w="2824" w:type="dxa"/>
                  <w:tcBorders>
                    <w:tl2br w:val="nil"/>
                    <w:tr2bl w:val="nil"/>
                  </w:tcBorders>
                  <w:vAlign w:val="center"/>
                </w:tcPr>
                <w:p w14:paraId="684F9B35">
                  <w:pPr>
                    <w:pStyle w:val="43"/>
                    <w:kinsoku w:val="0"/>
                    <w:overflowPunct w:val="0"/>
                    <w:autoSpaceDE/>
                    <w:autoSpaceDN/>
                    <w:adjustRightInd/>
                    <w:jc w:val="center"/>
                    <w:rPr>
                      <w:rFonts w:eastAsia="Times New Roman"/>
                      <w:strike w:val="0"/>
                      <w:dstrike w:val="0"/>
                      <w:color w:val="auto"/>
                      <w:sz w:val="21"/>
                      <w:szCs w:val="21"/>
                      <w:highlight w:val="none"/>
                    </w:rPr>
                  </w:pPr>
                  <w:r>
                    <w:rPr>
                      <w:rFonts w:eastAsia="Times New Roman"/>
                      <w:strike w:val="0"/>
                      <w:dstrike w:val="0"/>
                      <w:color w:val="auto"/>
                      <w:sz w:val="21"/>
                      <w:szCs w:val="21"/>
                      <w:highlight w:val="none"/>
                    </w:rPr>
                    <w:t>38L/min</w:t>
                  </w:r>
                </w:p>
              </w:tc>
              <w:tc>
                <w:tcPr>
                  <w:tcW w:w="2667" w:type="dxa"/>
                  <w:tcBorders>
                    <w:tl2br w:val="nil"/>
                    <w:tr2bl w:val="nil"/>
                  </w:tcBorders>
                  <w:vAlign w:val="center"/>
                </w:tcPr>
                <w:p w14:paraId="523DB355">
                  <w:pPr>
                    <w:pStyle w:val="43"/>
                    <w:kinsoku w:val="0"/>
                    <w:overflowPunct w:val="0"/>
                    <w:autoSpaceDE/>
                    <w:autoSpaceDN/>
                    <w:adjustRightInd/>
                    <w:jc w:val="center"/>
                    <w:rPr>
                      <w:rFonts w:eastAsia="Times New Roman"/>
                      <w:strike w:val="0"/>
                      <w:dstrike w:val="0"/>
                      <w:color w:val="auto"/>
                      <w:sz w:val="21"/>
                      <w:szCs w:val="21"/>
                      <w:highlight w:val="none"/>
                    </w:rPr>
                  </w:pPr>
                  <w:r>
                    <w:rPr>
                      <w:rFonts w:eastAsia="Times New Roman"/>
                      <w:strike w:val="0"/>
                      <w:dstrike w:val="0"/>
                      <w:color w:val="auto"/>
                      <w:sz w:val="21"/>
                      <w:szCs w:val="21"/>
                      <w:highlight w:val="none"/>
                    </w:rPr>
                    <w:t>155Pa</w:t>
                  </w:r>
                </w:p>
              </w:tc>
            </w:tr>
            <w:tr w14:paraId="4A8C7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769" w:type="dxa"/>
                  <w:tcBorders>
                    <w:tl2br w:val="nil"/>
                    <w:tr2bl w:val="nil"/>
                  </w:tcBorders>
                  <w:vAlign w:val="center"/>
                </w:tcPr>
                <w:p w14:paraId="43C3DD97">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加油油气回收系统的气液比</w:t>
                  </w:r>
                </w:p>
              </w:tc>
              <w:tc>
                <w:tcPr>
                  <w:tcW w:w="2824" w:type="dxa"/>
                  <w:tcBorders>
                    <w:tl2br w:val="nil"/>
                    <w:tr2bl w:val="nil"/>
                  </w:tcBorders>
                  <w:vAlign w:val="center"/>
                </w:tcPr>
                <w:p w14:paraId="06EA0A03">
                  <w:pPr>
                    <w:pStyle w:val="43"/>
                    <w:kinsoku w:val="0"/>
                    <w:overflowPunct w:val="0"/>
                    <w:autoSpaceDE/>
                    <w:autoSpaceDN/>
                    <w:adjustRightInd/>
                    <w:jc w:val="center"/>
                    <w:rPr>
                      <w:rFonts w:eastAsia="Times New Roman"/>
                      <w:strike w:val="0"/>
                      <w:dstrike w:val="0"/>
                      <w:color w:val="auto"/>
                      <w:sz w:val="21"/>
                      <w:szCs w:val="21"/>
                      <w:highlight w:val="none"/>
                    </w:rPr>
                  </w:pPr>
                  <w:r>
                    <w:rPr>
                      <w:rFonts w:eastAsia="Times New Roman"/>
                      <w:strike w:val="0"/>
                      <w:dstrike w:val="0"/>
                      <w:color w:val="auto"/>
                      <w:sz w:val="21"/>
                      <w:szCs w:val="21"/>
                      <w:highlight w:val="none"/>
                    </w:rPr>
                    <w:t>1.0≤</w:t>
                  </w:r>
                  <w:r>
                    <w:rPr>
                      <w:strike w:val="0"/>
                      <w:dstrike w:val="0"/>
                      <w:color w:val="auto"/>
                      <w:sz w:val="21"/>
                      <w:szCs w:val="21"/>
                      <w:highlight w:val="none"/>
                    </w:rPr>
                    <w:t>～</w:t>
                  </w:r>
                  <w:r>
                    <w:rPr>
                      <w:rFonts w:eastAsia="Times New Roman"/>
                      <w:strike w:val="0"/>
                      <w:dstrike w:val="0"/>
                      <w:color w:val="auto"/>
                      <w:sz w:val="21"/>
                      <w:szCs w:val="21"/>
                      <w:highlight w:val="none"/>
                    </w:rPr>
                    <w:t>≤1.2</w:t>
                  </w:r>
                </w:p>
              </w:tc>
              <w:tc>
                <w:tcPr>
                  <w:tcW w:w="2667" w:type="dxa"/>
                  <w:tcBorders>
                    <w:tl2br w:val="nil"/>
                    <w:tr2bl w:val="nil"/>
                  </w:tcBorders>
                  <w:vAlign w:val="center"/>
                </w:tcPr>
                <w:p w14:paraId="17DBB4CD">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符合技术评估报告给出的范围</w:t>
                  </w:r>
                </w:p>
              </w:tc>
            </w:tr>
            <w:tr w14:paraId="7A060B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769" w:type="dxa"/>
                  <w:tcBorders>
                    <w:tl2br w:val="nil"/>
                    <w:tr2bl w:val="nil"/>
                  </w:tcBorders>
                  <w:vAlign w:val="center"/>
                </w:tcPr>
                <w:p w14:paraId="7D5A5B7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油气处置装置的油气排放浓度（</w:t>
                  </w:r>
                  <w:r>
                    <w:rPr>
                      <w:rFonts w:eastAsia="Times New Roman"/>
                      <w:strike w:val="0"/>
                      <w:dstrike w:val="0"/>
                      <w:color w:val="auto"/>
                      <w:sz w:val="21"/>
                      <w:szCs w:val="21"/>
                      <w:highlight w:val="none"/>
                    </w:rPr>
                    <w:t xml:space="preserve">1 </w:t>
                  </w:r>
                  <w:r>
                    <w:rPr>
                      <w:strike w:val="0"/>
                      <w:dstrike w:val="0"/>
                      <w:color w:val="auto"/>
                      <w:sz w:val="21"/>
                      <w:szCs w:val="21"/>
                      <w:highlight w:val="none"/>
                    </w:rPr>
                    <w:t>小时平均浓度值）（预留三级回收系统）</w:t>
                  </w:r>
                </w:p>
              </w:tc>
              <w:tc>
                <w:tcPr>
                  <w:tcW w:w="2824" w:type="dxa"/>
                  <w:tcBorders>
                    <w:tl2br w:val="nil"/>
                    <w:tr2bl w:val="nil"/>
                  </w:tcBorders>
                  <w:vAlign w:val="center"/>
                </w:tcPr>
                <w:p w14:paraId="1903952D">
                  <w:pPr>
                    <w:pStyle w:val="43"/>
                    <w:kinsoku w:val="0"/>
                    <w:overflowPunct w:val="0"/>
                    <w:autoSpaceDE/>
                    <w:autoSpaceDN/>
                    <w:adjustRightInd/>
                    <w:jc w:val="center"/>
                    <w:rPr>
                      <w:strike w:val="0"/>
                      <w:dstrike w:val="0"/>
                      <w:color w:val="auto"/>
                      <w:sz w:val="21"/>
                      <w:szCs w:val="21"/>
                      <w:highlight w:val="none"/>
                    </w:rPr>
                  </w:pPr>
                  <w:r>
                    <w:rPr>
                      <w:rFonts w:eastAsia="Times New Roman"/>
                      <w:strike w:val="0"/>
                      <w:dstrike w:val="0"/>
                      <w:color w:val="auto"/>
                      <w:sz w:val="21"/>
                      <w:szCs w:val="21"/>
                      <w:highlight w:val="none"/>
                    </w:rPr>
                    <w:t>≤25g/m</w:t>
                  </w:r>
                  <w:r>
                    <w:rPr>
                      <w:strike w:val="0"/>
                      <w:dstrike w:val="0"/>
                      <w:color w:val="auto"/>
                      <w:sz w:val="21"/>
                      <w:szCs w:val="21"/>
                      <w:highlight w:val="none"/>
                      <w:vertAlign w:val="superscript"/>
                    </w:rPr>
                    <w:t>3</w:t>
                  </w:r>
                  <w:r>
                    <w:rPr>
                      <w:strike w:val="0"/>
                      <w:dstrike w:val="0"/>
                      <w:color w:val="auto"/>
                      <w:sz w:val="21"/>
                      <w:szCs w:val="21"/>
                      <w:highlight w:val="none"/>
                    </w:rPr>
                    <w:t>（标准状态）</w:t>
                  </w:r>
                </w:p>
              </w:tc>
              <w:tc>
                <w:tcPr>
                  <w:tcW w:w="2667" w:type="dxa"/>
                  <w:tcBorders>
                    <w:tl2br w:val="nil"/>
                    <w:tr2bl w:val="nil"/>
                  </w:tcBorders>
                  <w:vAlign w:val="center"/>
                </w:tcPr>
                <w:p w14:paraId="317470D3">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排放口距地平面高度（m）≧4</w:t>
                  </w:r>
                </w:p>
              </w:tc>
            </w:tr>
            <w:tr w14:paraId="078162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260" w:type="dxa"/>
                  <w:gridSpan w:val="3"/>
                  <w:tcBorders>
                    <w:tl2br w:val="nil"/>
                    <w:tr2bl w:val="nil"/>
                  </w:tcBorders>
                  <w:vAlign w:val="center"/>
                </w:tcPr>
                <w:p w14:paraId="64B188AE">
                  <w:pPr>
                    <w:pStyle w:val="43"/>
                    <w:kinsoku w:val="0"/>
                    <w:overflowPunct w:val="0"/>
                    <w:autoSpaceDE/>
                    <w:autoSpaceDN/>
                    <w:adjustRightInd/>
                    <w:jc w:val="center"/>
                    <w:rPr>
                      <w:strike w:val="0"/>
                      <w:dstrike w:val="0"/>
                      <w:color w:val="auto"/>
                      <w:sz w:val="21"/>
                      <w:szCs w:val="21"/>
                      <w:highlight w:val="none"/>
                    </w:rPr>
                  </w:pPr>
                  <w:r>
                    <w:rPr>
                      <w:b/>
                      <w:strike w:val="0"/>
                      <w:dstrike w:val="0"/>
                      <w:color w:val="auto"/>
                      <w:sz w:val="21"/>
                      <w:szCs w:val="21"/>
                      <w:highlight w:val="none"/>
                    </w:rPr>
                    <w:t>厂界油气浓度无组织排放要求</w:t>
                  </w:r>
                </w:p>
              </w:tc>
            </w:tr>
            <w:tr w14:paraId="382B4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769" w:type="dxa"/>
                  <w:vMerge w:val="restart"/>
                  <w:tcBorders>
                    <w:tl2br w:val="nil"/>
                    <w:tr2bl w:val="nil"/>
                  </w:tcBorders>
                  <w:vAlign w:val="center"/>
                </w:tcPr>
                <w:p w14:paraId="7F4E15C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污染物</w:t>
                  </w:r>
                </w:p>
              </w:tc>
              <w:tc>
                <w:tcPr>
                  <w:tcW w:w="5491" w:type="dxa"/>
                  <w:gridSpan w:val="2"/>
                  <w:tcBorders>
                    <w:tl2br w:val="nil"/>
                    <w:tr2bl w:val="nil"/>
                  </w:tcBorders>
                  <w:vAlign w:val="center"/>
                </w:tcPr>
                <w:p w14:paraId="6B81386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无组织排放监控浓度限值</w:t>
                  </w:r>
                </w:p>
              </w:tc>
            </w:tr>
            <w:tr w14:paraId="4A35E1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769" w:type="dxa"/>
                  <w:vMerge w:val="continue"/>
                  <w:tcBorders>
                    <w:tl2br w:val="nil"/>
                    <w:tr2bl w:val="nil"/>
                  </w:tcBorders>
                  <w:vAlign w:val="center"/>
                </w:tcPr>
                <w:p w14:paraId="4EC5BE73">
                  <w:pPr>
                    <w:pStyle w:val="43"/>
                    <w:kinsoku w:val="0"/>
                    <w:overflowPunct w:val="0"/>
                    <w:autoSpaceDE/>
                    <w:autoSpaceDN/>
                    <w:adjustRightInd/>
                    <w:jc w:val="center"/>
                    <w:rPr>
                      <w:strike w:val="0"/>
                      <w:dstrike w:val="0"/>
                      <w:color w:val="auto"/>
                      <w:sz w:val="21"/>
                      <w:szCs w:val="21"/>
                      <w:highlight w:val="none"/>
                    </w:rPr>
                  </w:pPr>
                </w:p>
              </w:tc>
              <w:tc>
                <w:tcPr>
                  <w:tcW w:w="2824" w:type="dxa"/>
                  <w:tcBorders>
                    <w:tl2br w:val="nil"/>
                    <w:tr2bl w:val="nil"/>
                  </w:tcBorders>
                  <w:vAlign w:val="center"/>
                </w:tcPr>
                <w:p w14:paraId="187D4014">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限值含义</w:t>
                  </w:r>
                </w:p>
              </w:tc>
              <w:tc>
                <w:tcPr>
                  <w:tcW w:w="2667" w:type="dxa"/>
                  <w:tcBorders>
                    <w:tl2br w:val="nil"/>
                    <w:tr2bl w:val="nil"/>
                  </w:tcBorders>
                  <w:vAlign w:val="center"/>
                </w:tcPr>
                <w:p w14:paraId="56C459BD">
                  <w:pPr>
                    <w:pStyle w:val="43"/>
                    <w:kinsoku w:val="0"/>
                    <w:overflowPunct w:val="0"/>
                    <w:autoSpaceDE/>
                    <w:autoSpaceDN/>
                    <w:adjustRightInd/>
                    <w:jc w:val="center"/>
                    <w:rPr>
                      <w:rFonts w:eastAsia="Times New Roman"/>
                      <w:strike w:val="0"/>
                      <w:dstrike w:val="0"/>
                      <w:color w:val="auto"/>
                      <w:sz w:val="21"/>
                      <w:szCs w:val="21"/>
                      <w:highlight w:val="none"/>
                    </w:rPr>
                  </w:pPr>
                  <w:r>
                    <w:rPr>
                      <w:strike w:val="0"/>
                      <w:dstrike w:val="0"/>
                      <w:color w:val="auto"/>
                      <w:sz w:val="21"/>
                      <w:szCs w:val="21"/>
                      <w:highlight w:val="none"/>
                    </w:rPr>
                    <w:t>排放限值</w:t>
                  </w:r>
                  <w:r>
                    <w:rPr>
                      <w:rFonts w:eastAsia="Times New Roman"/>
                      <w:strike w:val="0"/>
                      <w:dstrike w:val="0"/>
                      <w:color w:val="auto"/>
                      <w:sz w:val="21"/>
                      <w:szCs w:val="21"/>
                      <w:highlight w:val="none"/>
                    </w:rPr>
                    <w:t>(mg/m</w:t>
                  </w:r>
                  <w:r>
                    <w:rPr>
                      <w:strike w:val="0"/>
                      <w:dstrike w:val="0"/>
                      <w:color w:val="auto"/>
                      <w:sz w:val="21"/>
                      <w:szCs w:val="21"/>
                      <w:highlight w:val="none"/>
                      <w:vertAlign w:val="superscript"/>
                    </w:rPr>
                    <w:t>3</w:t>
                  </w:r>
                  <w:r>
                    <w:rPr>
                      <w:rFonts w:eastAsia="Times New Roman"/>
                      <w:strike w:val="0"/>
                      <w:dstrike w:val="0"/>
                      <w:color w:val="auto"/>
                      <w:sz w:val="21"/>
                      <w:szCs w:val="21"/>
                      <w:highlight w:val="none"/>
                    </w:rPr>
                    <w:t>)</w:t>
                  </w:r>
                </w:p>
              </w:tc>
            </w:tr>
            <w:tr w14:paraId="4579D2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769" w:type="dxa"/>
                  <w:tcBorders>
                    <w:tl2br w:val="nil"/>
                    <w:tr2bl w:val="nil"/>
                  </w:tcBorders>
                  <w:vAlign w:val="center"/>
                </w:tcPr>
                <w:p w14:paraId="532B6E0D">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非甲烷总烃</w:t>
                  </w:r>
                </w:p>
              </w:tc>
              <w:tc>
                <w:tcPr>
                  <w:tcW w:w="2824" w:type="dxa"/>
                  <w:tcBorders>
                    <w:tl2br w:val="nil"/>
                    <w:tr2bl w:val="nil"/>
                  </w:tcBorders>
                  <w:vAlign w:val="center"/>
                </w:tcPr>
                <w:p w14:paraId="6279C25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监控点处</w:t>
                  </w:r>
                  <w:r>
                    <w:rPr>
                      <w:rFonts w:eastAsia="Times New Roman"/>
                      <w:strike w:val="0"/>
                      <w:dstrike w:val="0"/>
                      <w:color w:val="auto"/>
                      <w:sz w:val="21"/>
                      <w:szCs w:val="21"/>
                      <w:highlight w:val="none"/>
                    </w:rPr>
                    <w:t>1</w:t>
                  </w:r>
                  <w:r>
                    <w:rPr>
                      <w:strike w:val="0"/>
                      <w:dstrike w:val="0"/>
                      <w:color w:val="auto"/>
                      <w:sz w:val="21"/>
                      <w:szCs w:val="21"/>
                      <w:highlight w:val="none"/>
                    </w:rPr>
                    <w:t>小时平均浓度值</w:t>
                  </w:r>
                </w:p>
              </w:tc>
              <w:tc>
                <w:tcPr>
                  <w:tcW w:w="2667" w:type="dxa"/>
                  <w:tcBorders>
                    <w:tl2br w:val="nil"/>
                    <w:tr2bl w:val="nil"/>
                  </w:tcBorders>
                  <w:vAlign w:val="center"/>
                </w:tcPr>
                <w:p w14:paraId="14911CE4">
                  <w:pPr>
                    <w:pStyle w:val="43"/>
                    <w:kinsoku w:val="0"/>
                    <w:overflowPunct w:val="0"/>
                    <w:autoSpaceDE/>
                    <w:autoSpaceDN/>
                    <w:adjustRightInd/>
                    <w:jc w:val="center"/>
                    <w:rPr>
                      <w:rFonts w:eastAsia="Times New Roman"/>
                      <w:strike w:val="0"/>
                      <w:dstrike w:val="0"/>
                      <w:color w:val="auto"/>
                      <w:sz w:val="21"/>
                      <w:szCs w:val="21"/>
                      <w:highlight w:val="none"/>
                    </w:rPr>
                  </w:pPr>
                  <w:r>
                    <w:rPr>
                      <w:rFonts w:eastAsia="Times New Roman"/>
                      <w:strike w:val="0"/>
                      <w:dstrike w:val="0"/>
                      <w:color w:val="auto"/>
                      <w:sz w:val="21"/>
                      <w:szCs w:val="21"/>
                      <w:highlight w:val="none"/>
                    </w:rPr>
                    <w:t>4.0</w:t>
                  </w:r>
                </w:p>
              </w:tc>
            </w:tr>
          </w:tbl>
          <w:p w14:paraId="4C163B94">
            <w:pPr>
              <w:snapToGrid w:val="0"/>
              <w:jc w:val="center"/>
              <w:rPr>
                <w:b/>
                <w:bCs/>
                <w:strike w:val="0"/>
                <w:dstrike w:val="0"/>
                <w:color w:val="auto"/>
                <w:sz w:val="24"/>
                <w:highlight w:val="none"/>
              </w:rPr>
            </w:pPr>
            <w:r>
              <w:rPr>
                <w:b/>
                <w:bCs/>
                <w:strike w:val="0"/>
                <w:dstrike w:val="0"/>
                <w:color w:val="auto"/>
                <w:sz w:val="24"/>
                <w:highlight w:val="none"/>
              </w:rPr>
              <w:t>表3.3-3  加油站油气回收系统密闭性检测最小剩余压力限值（部分）</w:t>
            </w:r>
          </w:p>
          <w:tbl>
            <w:tblPr>
              <w:tblStyle w:val="23"/>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2069"/>
              <w:gridCol w:w="2069"/>
              <w:gridCol w:w="2069"/>
            </w:tblGrid>
            <w:tr w14:paraId="468B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Merge w:val="restart"/>
                  <w:vAlign w:val="center"/>
                </w:tcPr>
                <w:p w14:paraId="3A03E9D6">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储罐油气空间/L</w:t>
                  </w:r>
                </w:p>
              </w:tc>
              <w:tc>
                <w:tcPr>
                  <w:tcW w:w="6207" w:type="dxa"/>
                  <w:gridSpan w:val="3"/>
                  <w:vAlign w:val="center"/>
                </w:tcPr>
                <w:p w14:paraId="59536B8D">
                  <w:pPr>
                    <w:snapToGrid w:val="0"/>
                    <w:jc w:val="center"/>
                    <w:rPr>
                      <w:b/>
                      <w:bCs/>
                      <w:strike w:val="0"/>
                      <w:dstrike w:val="0"/>
                      <w:color w:val="auto"/>
                      <w:sz w:val="24"/>
                      <w:highlight w:val="none"/>
                    </w:rPr>
                  </w:pPr>
                  <w:r>
                    <w:rPr>
                      <w:b/>
                      <w:bCs/>
                      <w:strike w:val="0"/>
                      <w:dstrike w:val="0"/>
                      <w:color w:val="auto"/>
                      <w:szCs w:val="21"/>
                      <w:highlight w:val="none"/>
                    </w:rPr>
                    <w:t>受影响的加油枪数</w:t>
                  </w:r>
                </w:p>
              </w:tc>
            </w:tr>
            <w:tr w14:paraId="3398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Merge w:val="continue"/>
                </w:tcPr>
                <w:p w14:paraId="668D638C">
                  <w:pPr>
                    <w:snapToGrid w:val="0"/>
                    <w:jc w:val="center"/>
                    <w:rPr>
                      <w:b/>
                      <w:bCs/>
                      <w:strike w:val="0"/>
                      <w:dstrike w:val="0"/>
                      <w:color w:val="auto"/>
                      <w:sz w:val="24"/>
                      <w:highlight w:val="none"/>
                    </w:rPr>
                  </w:pPr>
                </w:p>
              </w:tc>
              <w:tc>
                <w:tcPr>
                  <w:tcW w:w="2069" w:type="dxa"/>
                  <w:vAlign w:val="center"/>
                </w:tcPr>
                <w:p w14:paraId="0AE2B672">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1~6</w:t>
                  </w:r>
                </w:p>
              </w:tc>
              <w:tc>
                <w:tcPr>
                  <w:tcW w:w="2069" w:type="dxa"/>
                  <w:vAlign w:val="center"/>
                </w:tcPr>
                <w:p w14:paraId="1BF1BED6">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7~12</w:t>
                  </w:r>
                </w:p>
              </w:tc>
              <w:tc>
                <w:tcPr>
                  <w:tcW w:w="2069" w:type="dxa"/>
                  <w:vAlign w:val="center"/>
                </w:tcPr>
                <w:p w14:paraId="61EE79B1">
                  <w:pPr>
                    <w:pStyle w:val="43"/>
                    <w:kinsoku w:val="0"/>
                    <w:overflowPunct w:val="0"/>
                    <w:autoSpaceDE/>
                    <w:autoSpaceDN/>
                    <w:adjustRightInd/>
                    <w:jc w:val="center"/>
                    <w:rPr>
                      <w:b/>
                      <w:bCs/>
                      <w:strike w:val="0"/>
                      <w:dstrike w:val="0"/>
                      <w:color w:val="auto"/>
                      <w:sz w:val="21"/>
                      <w:szCs w:val="21"/>
                      <w:highlight w:val="none"/>
                    </w:rPr>
                  </w:pPr>
                  <w:r>
                    <w:rPr>
                      <w:b/>
                      <w:bCs/>
                      <w:strike w:val="0"/>
                      <w:dstrike w:val="0"/>
                      <w:color w:val="auto"/>
                      <w:sz w:val="21"/>
                      <w:szCs w:val="21"/>
                      <w:highlight w:val="none"/>
                    </w:rPr>
                    <w:t>13~18</w:t>
                  </w:r>
                </w:p>
              </w:tc>
            </w:tr>
            <w:tr w14:paraId="1E78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4D04CEA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2271</w:t>
                  </w:r>
                </w:p>
              </w:tc>
              <w:tc>
                <w:tcPr>
                  <w:tcW w:w="2069" w:type="dxa"/>
                  <w:vAlign w:val="center"/>
                </w:tcPr>
                <w:p w14:paraId="01B7D689">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217</w:t>
                  </w:r>
                </w:p>
              </w:tc>
              <w:tc>
                <w:tcPr>
                  <w:tcW w:w="2069" w:type="dxa"/>
                  <w:vAlign w:val="center"/>
                </w:tcPr>
                <w:p w14:paraId="0E174C7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204</w:t>
                  </w:r>
                </w:p>
              </w:tc>
              <w:tc>
                <w:tcPr>
                  <w:tcW w:w="2069" w:type="dxa"/>
                  <w:vAlign w:val="center"/>
                </w:tcPr>
                <w:p w14:paraId="478676F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194</w:t>
                  </w:r>
                </w:p>
              </w:tc>
            </w:tr>
            <w:tr w14:paraId="6F18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68" w:type="dxa"/>
                  <w:vAlign w:val="center"/>
                </w:tcPr>
                <w:p w14:paraId="27FEE290">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2460</w:t>
                  </w:r>
                </w:p>
              </w:tc>
              <w:tc>
                <w:tcPr>
                  <w:tcW w:w="2069" w:type="dxa"/>
                  <w:vAlign w:val="center"/>
                </w:tcPr>
                <w:p w14:paraId="180F9A1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232</w:t>
                  </w:r>
                </w:p>
              </w:tc>
              <w:tc>
                <w:tcPr>
                  <w:tcW w:w="2069" w:type="dxa"/>
                  <w:vAlign w:val="center"/>
                </w:tcPr>
                <w:p w14:paraId="7EA4559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219</w:t>
                  </w:r>
                </w:p>
              </w:tc>
              <w:tc>
                <w:tcPr>
                  <w:tcW w:w="2069" w:type="dxa"/>
                  <w:vAlign w:val="center"/>
                </w:tcPr>
                <w:p w14:paraId="17B0747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209</w:t>
                  </w:r>
                </w:p>
              </w:tc>
            </w:tr>
            <w:tr w14:paraId="3998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52442A1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2650</w:t>
                  </w:r>
                </w:p>
              </w:tc>
              <w:tc>
                <w:tcPr>
                  <w:tcW w:w="2069" w:type="dxa"/>
                  <w:vAlign w:val="center"/>
                </w:tcPr>
                <w:p w14:paraId="1C13C5F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244</w:t>
                  </w:r>
                </w:p>
              </w:tc>
              <w:tc>
                <w:tcPr>
                  <w:tcW w:w="2069" w:type="dxa"/>
                  <w:vAlign w:val="center"/>
                </w:tcPr>
                <w:p w14:paraId="60719AC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234</w:t>
                  </w:r>
                </w:p>
              </w:tc>
              <w:tc>
                <w:tcPr>
                  <w:tcW w:w="2069" w:type="dxa"/>
                  <w:vAlign w:val="center"/>
                </w:tcPr>
                <w:p w14:paraId="6B60A94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224</w:t>
                  </w:r>
                </w:p>
              </w:tc>
            </w:tr>
            <w:tr w14:paraId="7066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3B20CCE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2839</w:t>
                  </w:r>
                </w:p>
              </w:tc>
              <w:tc>
                <w:tcPr>
                  <w:tcW w:w="2069" w:type="dxa"/>
                  <w:vAlign w:val="center"/>
                </w:tcPr>
                <w:p w14:paraId="0255302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257</w:t>
                  </w:r>
                </w:p>
              </w:tc>
              <w:tc>
                <w:tcPr>
                  <w:tcW w:w="2069" w:type="dxa"/>
                  <w:vAlign w:val="center"/>
                </w:tcPr>
                <w:p w14:paraId="66FE642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244</w:t>
                  </w:r>
                </w:p>
              </w:tc>
              <w:tc>
                <w:tcPr>
                  <w:tcW w:w="2069" w:type="dxa"/>
                  <w:vAlign w:val="center"/>
                </w:tcPr>
                <w:p w14:paraId="2C6DE21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234</w:t>
                  </w:r>
                </w:p>
              </w:tc>
            </w:tr>
            <w:tr w14:paraId="3AF7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6AB3F917">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3028</w:t>
                  </w:r>
                </w:p>
              </w:tc>
              <w:tc>
                <w:tcPr>
                  <w:tcW w:w="2069" w:type="dxa"/>
                  <w:vAlign w:val="center"/>
                </w:tcPr>
                <w:p w14:paraId="729852F9">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267</w:t>
                  </w:r>
                </w:p>
              </w:tc>
              <w:tc>
                <w:tcPr>
                  <w:tcW w:w="2069" w:type="dxa"/>
                  <w:vAlign w:val="center"/>
                </w:tcPr>
                <w:p w14:paraId="2608FD70">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257</w:t>
                  </w:r>
                </w:p>
              </w:tc>
              <w:tc>
                <w:tcPr>
                  <w:tcW w:w="2069" w:type="dxa"/>
                  <w:vAlign w:val="center"/>
                </w:tcPr>
                <w:p w14:paraId="72161717">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247</w:t>
                  </w:r>
                </w:p>
              </w:tc>
            </w:tr>
            <w:tr w14:paraId="067F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68" w:type="dxa"/>
                  <w:vAlign w:val="center"/>
                </w:tcPr>
                <w:p w14:paraId="5961334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3217</w:t>
                  </w:r>
                </w:p>
              </w:tc>
              <w:tc>
                <w:tcPr>
                  <w:tcW w:w="2069" w:type="dxa"/>
                  <w:vAlign w:val="center"/>
                </w:tcPr>
                <w:p w14:paraId="295088B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277</w:t>
                  </w:r>
                </w:p>
              </w:tc>
              <w:tc>
                <w:tcPr>
                  <w:tcW w:w="2069" w:type="dxa"/>
                  <w:vAlign w:val="center"/>
                </w:tcPr>
                <w:p w14:paraId="4C1E35B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267</w:t>
                  </w:r>
                </w:p>
              </w:tc>
              <w:tc>
                <w:tcPr>
                  <w:tcW w:w="2069" w:type="dxa"/>
                  <w:vAlign w:val="center"/>
                </w:tcPr>
                <w:p w14:paraId="1EF9FC1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257</w:t>
                  </w:r>
                </w:p>
              </w:tc>
            </w:tr>
            <w:tr w14:paraId="3E12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59E1263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3407</w:t>
                  </w:r>
                </w:p>
              </w:tc>
              <w:tc>
                <w:tcPr>
                  <w:tcW w:w="2069" w:type="dxa"/>
                  <w:vAlign w:val="center"/>
                </w:tcPr>
                <w:p w14:paraId="5AA4720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286</w:t>
                  </w:r>
                </w:p>
              </w:tc>
              <w:tc>
                <w:tcPr>
                  <w:tcW w:w="2069" w:type="dxa"/>
                  <w:vAlign w:val="center"/>
                </w:tcPr>
                <w:p w14:paraId="3D9CD2CC">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277</w:t>
                  </w:r>
                </w:p>
              </w:tc>
              <w:tc>
                <w:tcPr>
                  <w:tcW w:w="2069" w:type="dxa"/>
                  <w:vAlign w:val="center"/>
                </w:tcPr>
                <w:p w14:paraId="7CF7770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267</w:t>
                  </w:r>
                </w:p>
              </w:tc>
            </w:tr>
            <w:tr w14:paraId="0A1D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2F8C2F3C">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3596</w:t>
                  </w:r>
                </w:p>
              </w:tc>
              <w:tc>
                <w:tcPr>
                  <w:tcW w:w="2069" w:type="dxa"/>
                  <w:vAlign w:val="center"/>
                </w:tcPr>
                <w:p w14:paraId="6BFE7F2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294</w:t>
                  </w:r>
                </w:p>
              </w:tc>
              <w:tc>
                <w:tcPr>
                  <w:tcW w:w="2069" w:type="dxa"/>
                  <w:vAlign w:val="center"/>
                </w:tcPr>
                <w:p w14:paraId="637022E3">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284</w:t>
                  </w:r>
                </w:p>
              </w:tc>
              <w:tc>
                <w:tcPr>
                  <w:tcW w:w="2069" w:type="dxa"/>
                  <w:vAlign w:val="center"/>
                </w:tcPr>
                <w:p w14:paraId="44C33AF9">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277</w:t>
                  </w:r>
                </w:p>
              </w:tc>
            </w:tr>
            <w:tr w14:paraId="6CEA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5E3F022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3785</w:t>
                  </w:r>
                </w:p>
              </w:tc>
              <w:tc>
                <w:tcPr>
                  <w:tcW w:w="2069" w:type="dxa"/>
                  <w:vAlign w:val="center"/>
                </w:tcPr>
                <w:p w14:paraId="5A59F99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301</w:t>
                  </w:r>
                </w:p>
              </w:tc>
              <w:tc>
                <w:tcPr>
                  <w:tcW w:w="2069" w:type="dxa"/>
                  <w:vAlign w:val="center"/>
                </w:tcPr>
                <w:p w14:paraId="1B46E44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294</w:t>
                  </w:r>
                </w:p>
              </w:tc>
              <w:tc>
                <w:tcPr>
                  <w:tcW w:w="2069" w:type="dxa"/>
                  <w:vAlign w:val="center"/>
                </w:tcPr>
                <w:p w14:paraId="6D2FA5C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284</w:t>
                  </w:r>
                </w:p>
              </w:tc>
            </w:tr>
            <w:tr w14:paraId="741A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0BEBE560">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4542</w:t>
                  </w:r>
                </w:p>
              </w:tc>
              <w:tc>
                <w:tcPr>
                  <w:tcW w:w="2069" w:type="dxa"/>
                  <w:vAlign w:val="center"/>
                </w:tcPr>
                <w:p w14:paraId="2334332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329</w:t>
                  </w:r>
                </w:p>
              </w:tc>
              <w:tc>
                <w:tcPr>
                  <w:tcW w:w="2069" w:type="dxa"/>
                  <w:vAlign w:val="center"/>
                </w:tcPr>
                <w:p w14:paraId="6179AC2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319</w:t>
                  </w:r>
                </w:p>
              </w:tc>
              <w:tc>
                <w:tcPr>
                  <w:tcW w:w="2069" w:type="dxa"/>
                  <w:vAlign w:val="center"/>
                </w:tcPr>
                <w:p w14:paraId="08E15755">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311</w:t>
                  </w:r>
                </w:p>
              </w:tc>
            </w:tr>
            <w:tr w14:paraId="5E9A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00E15110">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5299</w:t>
                  </w:r>
                </w:p>
              </w:tc>
              <w:tc>
                <w:tcPr>
                  <w:tcW w:w="2069" w:type="dxa"/>
                  <w:vAlign w:val="center"/>
                </w:tcPr>
                <w:p w14:paraId="55AADA7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349</w:t>
                  </w:r>
                </w:p>
              </w:tc>
              <w:tc>
                <w:tcPr>
                  <w:tcW w:w="2069" w:type="dxa"/>
                  <w:vAlign w:val="center"/>
                </w:tcPr>
                <w:p w14:paraId="3EB20620">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341</w:t>
                  </w:r>
                </w:p>
              </w:tc>
              <w:tc>
                <w:tcPr>
                  <w:tcW w:w="2069" w:type="dxa"/>
                  <w:vAlign w:val="center"/>
                </w:tcPr>
                <w:p w14:paraId="07B97CD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334</w:t>
                  </w:r>
                </w:p>
              </w:tc>
            </w:tr>
            <w:tr w14:paraId="57AA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68" w:type="dxa"/>
                  <w:vAlign w:val="center"/>
                </w:tcPr>
                <w:p w14:paraId="6AF5BE1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6056</w:t>
                  </w:r>
                </w:p>
              </w:tc>
              <w:tc>
                <w:tcPr>
                  <w:tcW w:w="2069" w:type="dxa"/>
                  <w:vAlign w:val="center"/>
                </w:tcPr>
                <w:p w14:paraId="1F6E85D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364</w:t>
                  </w:r>
                </w:p>
              </w:tc>
              <w:tc>
                <w:tcPr>
                  <w:tcW w:w="2069" w:type="dxa"/>
                  <w:vAlign w:val="center"/>
                </w:tcPr>
                <w:p w14:paraId="316BF4E3">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356</w:t>
                  </w:r>
                </w:p>
              </w:tc>
              <w:tc>
                <w:tcPr>
                  <w:tcW w:w="2069" w:type="dxa"/>
                  <w:vAlign w:val="center"/>
                </w:tcPr>
                <w:p w14:paraId="18A3D37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351</w:t>
                  </w:r>
                </w:p>
              </w:tc>
            </w:tr>
            <w:tr w14:paraId="01BE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4FE2BFD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6813</w:t>
                  </w:r>
                </w:p>
              </w:tc>
              <w:tc>
                <w:tcPr>
                  <w:tcW w:w="2069" w:type="dxa"/>
                  <w:vAlign w:val="center"/>
                </w:tcPr>
                <w:p w14:paraId="5D4BBC23">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376</w:t>
                  </w:r>
                </w:p>
              </w:tc>
              <w:tc>
                <w:tcPr>
                  <w:tcW w:w="2069" w:type="dxa"/>
                  <w:vAlign w:val="center"/>
                </w:tcPr>
                <w:p w14:paraId="1574BB4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371</w:t>
                  </w:r>
                </w:p>
              </w:tc>
              <w:tc>
                <w:tcPr>
                  <w:tcW w:w="2069" w:type="dxa"/>
                  <w:vAlign w:val="center"/>
                </w:tcPr>
                <w:p w14:paraId="44B2D56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364</w:t>
                  </w:r>
                </w:p>
              </w:tc>
            </w:tr>
            <w:tr w14:paraId="3BAD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0DA005CD">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7570</w:t>
                  </w:r>
                </w:p>
              </w:tc>
              <w:tc>
                <w:tcPr>
                  <w:tcW w:w="2069" w:type="dxa"/>
                  <w:vAlign w:val="center"/>
                </w:tcPr>
                <w:p w14:paraId="15D54E5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389</w:t>
                  </w:r>
                </w:p>
              </w:tc>
              <w:tc>
                <w:tcPr>
                  <w:tcW w:w="2069" w:type="dxa"/>
                  <w:vAlign w:val="center"/>
                </w:tcPr>
                <w:p w14:paraId="67086FB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381</w:t>
                  </w:r>
                </w:p>
              </w:tc>
              <w:tc>
                <w:tcPr>
                  <w:tcW w:w="2069" w:type="dxa"/>
                  <w:vAlign w:val="center"/>
                </w:tcPr>
                <w:p w14:paraId="143EEBE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376</w:t>
                  </w:r>
                </w:p>
              </w:tc>
            </w:tr>
            <w:tr w14:paraId="1D2C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50AF3A1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8327</w:t>
                  </w:r>
                </w:p>
              </w:tc>
              <w:tc>
                <w:tcPr>
                  <w:tcW w:w="2069" w:type="dxa"/>
                  <w:vAlign w:val="center"/>
                </w:tcPr>
                <w:p w14:paraId="51C272B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396</w:t>
                  </w:r>
                </w:p>
              </w:tc>
              <w:tc>
                <w:tcPr>
                  <w:tcW w:w="2069" w:type="dxa"/>
                  <w:vAlign w:val="center"/>
                </w:tcPr>
                <w:p w14:paraId="48B1AF4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391</w:t>
                  </w:r>
                </w:p>
              </w:tc>
              <w:tc>
                <w:tcPr>
                  <w:tcW w:w="2069" w:type="dxa"/>
                  <w:vAlign w:val="center"/>
                </w:tcPr>
                <w:p w14:paraId="30574760">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386</w:t>
                  </w:r>
                </w:p>
              </w:tc>
            </w:tr>
            <w:tr w14:paraId="3038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00BFEAA4">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9084</w:t>
                  </w:r>
                </w:p>
              </w:tc>
              <w:tc>
                <w:tcPr>
                  <w:tcW w:w="2069" w:type="dxa"/>
                  <w:vAlign w:val="center"/>
                </w:tcPr>
                <w:p w14:paraId="477997F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404</w:t>
                  </w:r>
                </w:p>
              </w:tc>
              <w:tc>
                <w:tcPr>
                  <w:tcW w:w="2069" w:type="dxa"/>
                  <w:vAlign w:val="center"/>
                </w:tcPr>
                <w:p w14:paraId="1697452C">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399</w:t>
                  </w:r>
                </w:p>
              </w:tc>
              <w:tc>
                <w:tcPr>
                  <w:tcW w:w="2069" w:type="dxa"/>
                  <w:vAlign w:val="center"/>
                </w:tcPr>
                <w:p w14:paraId="766484FD">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394</w:t>
                  </w:r>
                </w:p>
              </w:tc>
            </w:tr>
            <w:tr w14:paraId="63C3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215A1E5C">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9841</w:t>
                  </w:r>
                </w:p>
              </w:tc>
              <w:tc>
                <w:tcPr>
                  <w:tcW w:w="2069" w:type="dxa"/>
                  <w:vAlign w:val="center"/>
                </w:tcPr>
                <w:p w14:paraId="45EE50A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411</w:t>
                  </w:r>
                </w:p>
              </w:tc>
              <w:tc>
                <w:tcPr>
                  <w:tcW w:w="2069" w:type="dxa"/>
                  <w:vAlign w:val="center"/>
                </w:tcPr>
                <w:p w14:paraId="376CAE24">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406</w:t>
                  </w:r>
                </w:p>
              </w:tc>
              <w:tc>
                <w:tcPr>
                  <w:tcW w:w="2069" w:type="dxa"/>
                  <w:vAlign w:val="center"/>
                </w:tcPr>
                <w:p w14:paraId="430B90E4">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401</w:t>
                  </w:r>
                </w:p>
              </w:tc>
            </w:tr>
            <w:tr w14:paraId="0B2B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68" w:type="dxa"/>
                  <w:vAlign w:val="center"/>
                </w:tcPr>
                <w:p w14:paraId="760A731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10598</w:t>
                  </w:r>
                </w:p>
              </w:tc>
              <w:tc>
                <w:tcPr>
                  <w:tcW w:w="2069" w:type="dxa"/>
                  <w:vAlign w:val="center"/>
                </w:tcPr>
                <w:p w14:paraId="7B98571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416</w:t>
                  </w:r>
                </w:p>
              </w:tc>
              <w:tc>
                <w:tcPr>
                  <w:tcW w:w="2069" w:type="dxa"/>
                  <w:vAlign w:val="center"/>
                </w:tcPr>
                <w:p w14:paraId="375D6B4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411</w:t>
                  </w:r>
                </w:p>
              </w:tc>
              <w:tc>
                <w:tcPr>
                  <w:tcW w:w="2069" w:type="dxa"/>
                  <w:vAlign w:val="center"/>
                </w:tcPr>
                <w:p w14:paraId="3D975BE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409</w:t>
                  </w:r>
                </w:p>
              </w:tc>
            </w:tr>
            <w:tr w14:paraId="2C79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426F9A3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11355</w:t>
                  </w:r>
                </w:p>
              </w:tc>
              <w:tc>
                <w:tcPr>
                  <w:tcW w:w="2069" w:type="dxa"/>
                  <w:vAlign w:val="center"/>
                </w:tcPr>
                <w:p w14:paraId="37B92B94">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421</w:t>
                  </w:r>
                </w:p>
              </w:tc>
              <w:tc>
                <w:tcPr>
                  <w:tcW w:w="2069" w:type="dxa"/>
                  <w:vAlign w:val="center"/>
                </w:tcPr>
                <w:p w14:paraId="78C97E33">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418</w:t>
                  </w:r>
                </w:p>
              </w:tc>
              <w:tc>
                <w:tcPr>
                  <w:tcW w:w="2069" w:type="dxa"/>
                  <w:vAlign w:val="center"/>
                </w:tcPr>
                <w:p w14:paraId="0663B6E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414</w:t>
                  </w:r>
                </w:p>
              </w:tc>
            </w:tr>
            <w:tr w14:paraId="71A3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792DE08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13248</w:t>
                  </w:r>
                </w:p>
              </w:tc>
              <w:tc>
                <w:tcPr>
                  <w:tcW w:w="2069" w:type="dxa"/>
                  <w:vAlign w:val="center"/>
                </w:tcPr>
                <w:p w14:paraId="459EFC4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431</w:t>
                  </w:r>
                </w:p>
              </w:tc>
              <w:tc>
                <w:tcPr>
                  <w:tcW w:w="2069" w:type="dxa"/>
                  <w:vAlign w:val="center"/>
                </w:tcPr>
                <w:p w14:paraId="10B6117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428</w:t>
                  </w:r>
                </w:p>
              </w:tc>
              <w:tc>
                <w:tcPr>
                  <w:tcW w:w="2069" w:type="dxa"/>
                  <w:vAlign w:val="center"/>
                </w:tcPr>
                <w:p w14:paraId="0F3B9BC0">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423</w:t>
                  </w:r>
                </w:p>
              </w:tc>
            </w:tr>
            <w:tr w14:paraId="62AA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5" w:type="dxa"/>
                  <w:gridSpan w:val="4"/>
                  <w:vAlign w:val="center"/>
                </w:tcPr>
                <w:p w14:paraId="416696F0">
                  <w:pPr>
                    <w:widowControl/>
                    <w:jc w:val="left"/>
                    <w:rPr>
                      <w:strike w:val="0"/>
                      <w:dstrike w:val="0"/>
                      <w:color w:val="auto"/>
                      <w:szCs w:val="21"/>
                      <w:highlight w:val="none"/>
                    </w:rPr>
                  </w:pPr>
                  <w:r>
                    <w:rPr>
                      <w:strike w:val="0"/>
                      <w:dstrike w:val="0"/>
                      <w:color w:val="auto"/>
                      <w:kern w:val="0"/>
                      <w:szCs w:val="21"/>
                      <w:highlight w:val="none"/>
                      <w:lang w:bidi="ar"/>
                    </w:rPr>
                    <w:t>注：如果各储罐油气管线连通，则受影响的加油枪数等于汽油加油枪总数。否则，仅统计通过油气管线与被检测储罐相联的加油枪数。</w:t>
                  </w:r>
                </w:p>
              </w:tc>
            </w:tr>
          </w:tbl>
          <w:p w14:paraId="654AB502">
            <w:pPr>
              <w:adjustRightInd w:val="0"/>
              <w:snapToGrid w:val="0"/>
              <w:spacing w:before="156" w:beforeLines="50" w:line="360" w:lineRule="auto"/>
              <w:rPr>
                <w:b/>
                <w:strike w:val="0"/>
                <w:dstrike w:val="0"/>
                <w:color w:val="auto"/>
                <w:kern w:val="0"/>
                <w:sz w:val="24"/>
                <w:highlight w:val="none"/>
              </w:rPr>
            </w:pPr>
            <w:r>
              <w:rPr>
                <w:b/>
                <w:strike w:val="0"/>
                <w:dstrike w:val="0"/>
                <w:color w:val="auto"/>
                <w:kern w:val="0"/>
                <w:sz w:val="24"/>
                <w:highlight w:val="none"/>
              </w:rPr>
              <w:t>3.3.2废水污染物排放标准</w:t>
            </w:r>
          </w:p>
          <w:p w14:paraId="0C1FA61E">
            <w:pPr>
              <w:spacing w:line="360" w:lineRule="auto"/>
              <w:ind w:firstLine="480" w:firstLineChars="200"/>
              <w:rPr>
                <w:strike w:val="0"/>
                <w:dstrike w:val="0"/>
                <w:color w:val="auto"/>
                <w:sz w:val="24"/>
                <w:highlight w:val="none"/>
              </w:rPr>
            </w:pPr>
            <w:r>
              <w:rPr>
                <w:strike w:val="0"/>
                <w:dstrike w:val="0"/>
                <w:color w:val="auto"/>
                <w:sz w:val="24"/>
                <w:highlight w:val="none"/>
              </w:rPr>
              <w:t>本项目</w:t>
            </w:r>
            <w:r>
              <w:rPr>
                <w:strike w:val="0"/>
                <w:dstrike w:val="0"/>
                <w:color w:val="auto"/>
                <w:kern w:val="0"/>
                <w:sz w:val="24"/>
                <w:highlight w:val="none"/>
              </w:rPr>
              <w:t>场地冲洗废水</w:t>
            </w:r>
            <w:r>
              <w:rPr>
                <w:strike w:val="0"/>
                <w:dstrike w:val="0"/>
                <w:color w:val="auto"/>
                <w:sz w:val="24"/>
                <w:highlight w:val="none"/>
              </w:rPr>
              <w:t>经三段式隔油池处理，员工生活污水和过往驾乘人员生活污水经生化池处理；废水处理达</w:t>
            </w:r>
            <w:r>
              <w:rPr>
                <w:strike w:val="0"/>
                <w:dstrike w:val="0"/>
                <w:color w:val="auto"/>
                <w:kern w:val="0"/>
                <w:sz w:val="24"/>
                <w:highlight w:val="none"/>
              </w:rPr>
              <w:t>《污水综合排放标准》（GB8978-1996）三级标准（其中氨氮执行《污水排入城镇下水道水质标准》（GB/T31962-2015））后</w:t>
            </w:r>
            <w:r>
              <w:rPr>
                <w:strike w:val="0"/>
                <w:dstrike w:val="0"/>
                <w:color w:val="auto"/>
                <w:sz w:val="24"/>
                <w:highlight w:val="none"/>
              </w:rPr>
              <w:t>经</w:t>
            </w:r>
            <w:r>
              <w:rPr>
                <w:rFonts w:hint="eastAsia"/>
                <w:strike w:val="0"/>
                <w:dstrike w:val="0"/>
                <w:color w:val="auto"/>
                <w:sz w:val="24"/>
                <w:highlight w:val="none"/>
              </w:rPr>
              <w:t>市政污水管网</w:t>
            </w:r>
            <w:r>
              <w:rPr>
                <w:strike w:val="0"/>
                <w:dstrike w:val="0"/>
                <w:color w:val="auto"/>
                <w:sz w:val="24"/>
                <w:highlight w:val="none"/>
              </w:rPr>
              <w:t>排入</w:t>
            </w:r>
            <w:r>
              <w:rPr>
                <w:rFonts w:hint="eastAsia"/>
                <w:strike w:val="0"/>
                <w:dstrike w:val="0"/>
                <w:color w:val="auto"/>
                <w:sz w:val="24"/>
                <w:highlight w:val="none"/>
                <w:lang w:eastAsia="zh-CN"/>
              </w:rPr>
              <w:t>微车基地污水处理厂</w:t>
            </w:r>
            <w:r>
              <w:rPr>
                <w:strike w:val="0"/>
                <w:dstrike w:val="0"/>
                <w:color w:val="auto"/>
                <w:sz w:val="24"/>
                <w:highlight w:val="none"/>
              </w:rPr>
              <w:t>处理达《城镇污水处理</w:t>
            </w:r>
            <w:r>
              <w:rPr>
                <w:bCs/>
                <w:strike w:val="0"/>
                <w:dstrike w:val="0"/>
                <w:color w:val="auto"/>
                <w:sz w:val="24"/>
                <w:highlight w:val="none"/>
              </w:rPr>
              <w:t>厂污染物排放标准》(GB18918-2002)一级A标后排入柏水溪，最终汇入嘉陵江。</w:t>
            </w:r>
          </w:p>
          <w:p w14:paraId="6564AB21">
            <w:pPr>
              <w:spacing w:line="360" w:lineRule="auto"/>
              <w:ind w:firstLine="480" w:firstLineChars="200"/>
              <w:rPr>
                <w:strike w:val="0"/>
                <w:dstrike w:val="0"/>
                <w:color w:val="auto"/>
                <w:sz w:val="24"/>
                <w:highlight w:val="none"/>
              </w:rPr>
            </w:pPr>
            <w:r>
              <w:rPr>
                <w:strike w:val="0"/>
                <w:dstrike w:val="0"/>
                <w:color w:val="auto"/>
                <w:sz w:val="24"/>
                <w:highlight w:val="none"/>
              </w:rPr>
              <w:t>项目废水排放标准详见表3.3-</w:t>
            </w:r>
            <w:r>
              <w:rPr>
                <w:rFonts w:hint="eastAsia"/>
                <w:strike w:val="0"/>
                <w:dstrike w:val="0"/>
                <w:color w:val="auto"/>
                <w:sz w:val="24"/>
                <w:highlight w:val="none"/>
              </w:rPr>
              <w:t>4</w:t>
            </w:r>
            <w:r>
              <w:rPr>
                <w:strike w:val="0"/>
                <w:dstrike w:val="0"/>
                <w:color w:val="auto"/>
                <w:sz w:val="24"/>
                <w:highlight w:val="none"/>
              </w:rPr>
              <w:t>。</w:t>
            </w:r>
          </w:p>
          <w:p w14:paraId="1F3F0030">
            <w:pPr>
              <w:jc w:val="center"/>
              <w:rPr>
                <w:b/>
                <w:strike w:val="0"/>
                <w:dstrike w:val="0"/>
                <w:color w:val="auto"/>
                <w:sz w:val="24"/>
                <w:highlight w:val="none"/>
              </w:rPr>
            </w:pPr>
            <w:r>
              <w:rPr>
                <w:b/>
                <w:strike w:val="0"/>
                <w:dstrike w:val="0"/>
                <w:color w:val="auto"/>
                <w:sz w:val="24"/>
                <w:highlight w:val="none"/>
              </w:rPr>
              <w:t>表3.3-</w:t>
            </w:r>
            <w:r>
              <w:rPr>
                <w:rFonts w:hint="eastAsia"/>
                <w:b/>
                <w:strike w:val="0"/>
                <w:dstrike w:val="0"/>
                <w:color w:val="auto"/>
                <w:sz w:val="24"/>
                <w:highlight w:val="none"/>
              </w:rPr>
              <w:t>4</w:t>
            </w:r>
            <w:r>
              <w:rPr>
                <w:b/>
                <w:strike w:val="0"/>
                <w:dstrike w:val="0"/>
                <w:color w:val="auto"/>
                <w:sz w:val="24"/>
                <w:highlight w:val="none"/>
              </w:rPr>
              <w:t xml:space="preserve">  污水排放浓度限值  单位：mg/L</w:t>
            </w:r>
          </w:p>
          <w:tbl>
            <w:tblPr>
              <w:tblStyle w:val="22"/>
              <w:tblW w:w="50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891"/>
              <w:gridCol w:w="910"/>
              <w:gridCol w:w="1123"/>
              <w:gridCol w:w="871"/>
              <w:gridCol w:w="1063"/>
              <w:gridCol w:w="1309"/>
            </w:tblGrid>
            <w:tr w14:paraId="24FC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91" w:type="pct"/>
                  <w:vAlign w:val="center"/>
                </w:tcPr>
                <w:p w14:paraId="1AD8B85F">
                  <w:pPr>
                    <w:jc w:val="center"/>
                    <w:rPr>
                      <w:b/>
                      <w:strike w:val="0"/>
                      <w:dstrike w:val="0"/>
                      <w:color w:val="auto"/>
                      <w:szCs w:val="21"/>
                      <w:highlight w:val="none"/>
                    </w:rPr>
                  </w:pPr>
                  <w:r>
                    <w:rPr>
                      <w:b/>
                      <w:strike w:val="0"/>
                      <w:dstrike w:val="0"/>
                      <w:color w:val="auto"/>
                      <w:szCs w:val="21"/>
                      <w:highlight w:val="none"/>
                    </w:rPr>
                    <w:t>标准名称</w:t>
                  </w:r>
                </w:p>
              </w:tc>
              <w:tc>
                <w:tcPr>
                  <w:tcW w:w="535" w:type="pct"/>
                  <w:vAlign w:val="center"/>
                </w:tcPr>
                <w:p w14:paraId="4081C6AE">
                  <w:pPr>
                    <w:jc w:val="center"/>
                    <w:rPr>
                      <w:rFonts w:hint="default" w:eastAsia="宋体"/>
                      <w:b/>
                      <w:strike w:val="0"/>
                      <w:dstrike w:val="0"/>
                      <w:color w:val="auto"/>
                      <w:szCs w:val="21"/>
                      <w:highlight w:val="none"/>
                      <w:lang w:val="en-US" w:eastAsia="zh-CN"/>
                    </w:rPr>
                  </w:pPr>
                  <w:r>
                    <w:rPr>
                      <w:rFonts w:hint="eastAsia"/>
                      <w:b/>
                      <w:strike w:val="0"/>
                      <w:dstrike w:val="0"/>
                      <w:color w:val="auto"/>
                      <w:szCs w:val="21"/>
                      <w:highlight w:val="none"/>
                      <w:lang w:val="en-US" w:eastAsia="zh-CN"/>
                    </w:rPr>
                    <w:t>pH</w:t>
                  </w:r>
                </w:p>
              </w:tc>
              <w:tc>
                <w:tcPr>
                  <w:tcW w:w="547" w:type="pct"/>
                  <w:vAlign w:val="center"/>
                </w:tcPr>
                <w:p w14:paraId="1E118347">
                  <w:pPr>
                    <w:jc w:val="center"/>
                    <w:rPr>
                      <w:b/>
                      <w:strike w:val="0"/>
                      <w:dstrike w:val="0"/>
                      <w:color w:val="auto"/>
                      <w:szCs w:val="21"/>
                      <w:highlight w:val="none"/>
                    </w:rPr>
                  </w:pPr>
                  <w:r>
                    <w:rPr>
                      <w:b/>
                      <w:strike w:val="0"/>
                      <w:dstrike w:val="0"/>
                      <w:color w:val="auto"/>
                      <w:szCs w:val="21"/>
                      <w:highlight w:val="none"/>
                    </w:rPr>
                    <w:t>COD</w:t>
                  </w:r>
                </w:p>
              </w:tc>
              <w:tc>
                <w:tcPr>
                  <w:tcW w:w="675" w:type="pct"/>
                  <w:vAlign w:val="center"/>
                </w:tcPr>
                <w:p w14:paraId="55411051">
                  <w:pPr>
                    <w:jc w:val="center"/>
                    <w:rPr>
                      <w:b/>
                      <w:strike w:val="0"/>
                      <w:dstrike w:val="0"/>
                      <w:color w:val="auto"/>
                      <w:szCs w:val="21"/>
                      <w:highlight w:val="none"/>
                    </w:rPr>
                  </w:pPr>
                  <w:r>
                    <w:rPr>
                      <w:b/>
                      <w:strike w:val="0"/>
                      <w:dstrike w:val="0"/>
                      <w:color w:val="auto"/>
                      <w:szCs w:val="21"/>
                      <w:highlight w:val="none"/>
                    </w:rPr>
                    <w:t>BOD</w:t>
                  </w:r>
                  <w:r>
                    <w:rPr>
                      <w:b/>
                      <w:strike w:val="0"/>
                      <w:dstrike w:val="0"/>
                      <w:color w:val="auto"/>
                      <w:szCs w:val="21"/>
                      <w:highlight w:val="none"/>
                      <w:vertAlign w:val="subscript"/>
                    </w:rPr>
                    <w:t>5</w:t>
                  </w:r>
                </w:p>
              </w:tc>
              <w:tc>
                <w:tcPr>
                  <w:tcW w:w="523" w:type="pct"/>
                  <w:vAlign w:val="center"/>
                </w:tcPr>
                <w:p w14:paraId="221689AC">
                  <w:pPr>
                    <w:jc w:val="center"/>
                    <w:rPr>
                      <w:b/>
                      <w:strike w:val="0"/>
                      <w:dstrike w:val="0"/>
                      <w:color w:val="auto"/>
                      <w:szCs w:val="21"/>
                      <w:highlight w:val="none"/>
                    </w:rPr>
                  </w:pPr>
                  <w:r>
                    <w:rPr>
                      <w:b/>
                      <w:strike w:val="0"/>
                      <w:dstrike w:val="0"/>
                      <w:color w:val="auto"/>
                      <w:szCs w:val="21"/>
                      <w:highlight w:val="none"/>
                    </w:rPr>
                    <w:t>SS</w:t>
                  </w:r>
                </w:p>
              </w:tc>
              <w:tc>
                <w:tcPr>
                  <w:tcW w:w="639" w:type="pct"/>
                  <w:vAlign w:val="center"/>
                </w:tcPr>
                <w:p w14:paraId="727552EF">
                  <w:pPr>
                    <w:jc w:val="center"/>
                    <w:rPr>
                      <w:b/>
                      <w:strike w:val="0"/>
                      <w:dstrike w:val="0"/>
                      <w:color w:val="auto"/>
                      <w:szCs w:val="21"/>
                      <w:highlight w:val="none"/>
                    </w:rPr>
                  </w:pPr>
                  <w:r>
                    <w:rPr>
                      <w:b/>
                      <w:strike w:val="0"/>
                      <w:dstrike w:val="0"/>
                      <w:color w:val="auto"/>
                      <w:szCs w:val="21"/>
                      <w:highlight w:val="none"/>
                    </w:rPr>
                    <w:t>石油类</w:t>
                  </w:r>
                </w:p>
              </w:tc>
              <w:tc>
                <w:tcPr>
                  <w:tcW w:w="787" w:type="pct"/>
                  <w:vAlign w:val="center"/>
                </w:tcPr>
                <w:p w14:paraId="5F78702D">
                  <w:pPr>
                    <w:jc w:val="center"/>
                    <w:rPr>
                      <w:b/>
                      <w:strike w:val="0"/>
                      <w:dstrike w:val="0"/>
                      <w:color w:val="auto"/>
                      <w:szCs w:val="21"/>
                      <w:highlight w:val="none"/>
                    </w:rPr>
                  </w:pPr>
                  <w:r>
                    <w:rPr>
                      <w:b/>
                      <w:strike w:val="0"/>
                      <w:dstrike w:val="0"/>
                      <w:color w:val="auto"/>
                      <w:szCs w:val="21"/>
                      <w:highlight w:val="none"/>
                    </w:rPr>
                    <w:t>氨氮</w:t>
                  </w:r>
                </w:p>
              </w:tc>
            </w:tr>
            <w:tr w14:paraId="5007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291" w:type="pct"/>
                  <w:vAlign w:val="center"/>
                </w:tcPr>
                <w:p w14:paraId="3A83E1B2">
                  <w:pPr>
                    <w:jc w:val="center"/>
                    <w:rPr>
                      <w:strike w:val="0"/>
                      <w:dstrike w:val="0"/>
                      <w:color w:val="auto"/>
                      <w:szCs w:val="21"/>
                      <w:highlight w:val="none"/>
                    </w:rPr>
                  </w:pPr>
                  <w:r>
                    <w:rPr>
                      <w:strike w:val="0"/>
                      <w:dstrike w:val="0"/>
                      <w:color w:val="auto"/>
                      <w:szCs w:val="21"/>
                      <w:highlight w:val="none"/>
                    </w:rPr>
                    <w:t>《污水综合排放标准》（GB8978-1996）三级标准</w:t>
                  </w:r>
                </w:p>
              </w:tc>
              <w:tc>
                <w:tcPr>
                  <w:tcW w:w="535" w:type="pct"/>
                  <w:vAlign w:val="center"/>
                </w:tcPr>
                <w:p w14:paraId="3EBD909D">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6-9（无量纲）</w:t>
                  </w:r>
                </w:p>
              </w:tc>
              <w:tc>
                <w:tcPr>
                  <w:tcW w:w="547" w:type="pct"/>
                  <w:vAlign w:val="center"/>
                </w:tcPr>
                <w:p w14:paraId="2E377A16">
                  <w:pPr>
                    <w:jc w:val="center"/>
                    <w:rPr>
                      <w:strike w:val="0"/>
                      <w:dstrike w:val="0"/>
                      <w:color w:val="auto"/>
                      <w:szCs w:val="21"/>
                      <w:highlight w:val="none"/>
                    </w:rPr>
                  </w:pPr>
                  <w:r>
                    <w:rPr>
                      <w:strike w:val="0"/>
                      <w:dstrike w:val="0"/>
                      <w:color w:val="auto"/>
                      <w:szCs w:val="21"/>
                      <w:highlight w:val="none"/>
                    </w:rPr>
                    <w:t>500</w:t>
                  </w:r>
                </w:p>
              </w:tc>
              <w:tc>
                <w:tcPr>
                  <w:tcW w:w="675" w:type="pct"/>
                  <w:vAlign w:val="center"/>
                </w:tcPr>
                <w:p w14:paraId="2DE72839">
                  <w:pPr>
                    <w:jc w:val="center"/>
                    <w:rPr>
                      <w:strike w:val="0"/>
                      <w:dstrike w:val="0"/>
                      <w:color w:val="auto"/>
                      <w:szCs w:val="21"/>
                      <w:highlight w:val="none"/>
                    </w:rPr>
                  </w:pPr>
                  <w:r>
                    <w:rPr>
                      <w:strike w:val="0"/>
                      <w:dstrike w:val="0"/>
                      <w:color w:val="auto"/>
                      <w:szCs w:val="21"/>
                      <w:highlight w:val="none"/>
                    </w:rPr>
                    <w:t>300</w:t>
                  </w:r>
                </w:p>
              </w:tc>
              <w:tc>
                <w:tcPr>
                  <w:tcW w:w="523" w:type="pct"/>
                  <w:vAlign w:val="center"/>
                </w:tcPr>
                <w:p w14:paraId="54718BD2">
                  <w:pPr>
                    <w:jc w:val="center"/>
                    <w:rPr>
                      <w:strike w:val="0"/>
                      <w:dstrike w:val="0"/>
                      <w:color w:val="auto"/>
                      <w:szCs w:val="21"/>
                      <w:highlight w:val="none"/>
                    </w:rPr>
                  </w:pPr>
                  <w:r>
                    <w:rPr>
                      <w:strike w:val="0"/>
                      <w:dstrike w:val="0"/>
                      <w:color w:val="auto"/>
                      <w:szCs w:val="21"/>
                      <w:highlight w:val="none"/>
                    </w:rPr>
                    <w:t>400</w:t>
                  </w:r>
                </w:p>
              </w:tc>
              <w:tc>
                <w:tcPr>
                  <w:tcW w:w="639" w:type="pct"/>
                  <w:vAlign w:val="center"/>
                </w:tcPr>
                <w:p w14:paraId="1918D6AE">
                  <w:pPr>
                    <w:jc w:val="center"/>
                    <w:rPr>
                      <w:strike w:val="0"/>
                      <w:dstrike w:val="0"/>
                      <w:color w:val="auto"/>
                      <w:szCs w:val="21"/>
                      <w:highlight w:val="none"/>
                    </w:rPr>
                  </w:pPr>
                  <w:r>
                    <w:rPr>
                      <w:strike w:val="0"/>
                      <w:dstrike w:val="0"/>
                      <w:color w:val="auto"/>
                      <w:szCs w:val="21"/>
                      <w:highlight w:val="none"/>
                    </w:rPr>
                    <w:t>20</w:t>
                  </w:r>
                </w:p>
              </w:tc>
              <w:tc>
                <w:tcPr>
                  <w:tcW w:w="787" w:type="pct"/>
                  <w:vAlign w:val="center"/>
                </w:tcPr>
                <w:p w14:paraId="283F6EF9">
                  <w:pPr>
                    <w:jc w:val="center"/>
                    <w:rPr>
                      <w:strike w:val="0"/>
                      <w:dstrike w:val="0"/>
                      <w:color w:val="auto"/>
                      <w:szCs w:val="21"/>
                      <w:highlight w:val="none"/>
                    </w:rPr>
                  </w:pPr>
                  <w:r>
                    <w:rPr>
                      <w:strike w:val="0"/>
                      <w:dstrike w:val="0"/>
                      <w:color w:val="auto"/>
                      <w:szCs w:val="21"/>
                      <w:highlight w:val="none"/>
                    </w:rPr>
                    <w:t>45*</w:t>
                  </w:r>
                </w:p>
              </w:tc>
            </w:tr>
            <w:tr w14:paraId="2AB0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291" w:type="pct"/>
                  <w:vAlign w:val="center"/>
                </w:tcPr>
                <w:p w14:paraId="14791C1D">
                  <w:pPr>
                    <w:jc w:val="center"/>
                    <w:rPr>
                      <w:strike w:val="0"/>
                      <w:dstrike w:val="0"/>
                      <w:color w:val="auto"/>
                      <w:szCs w:val="21"/>
                      <w:highlight w:val="none"/>
                    </w:rPr>
                  </w:pPr>
                  <w:r>
                    <w:rPr>
                      <w:strike w:val="0"/>
                      <w:dstrike w:val="0"/>
                      <w:color w:val="auto"/>
                      <w:highlight w:val="none"/>
                    </w:rPr>
                    <w:t>《城镇污水处理厂污染物排放标准》（GB 18919-2002）一级A标准</w:t>
                  </w:r>
                </w:p>
              </w:tc>
              <w:tc>
                <w:tcPr>
                  <w:tcW w:w="535" w:type="pct"/>
                  <w:shd w:val="clear" w:color="auto" w:fill="auto"/>
                  <w:vAlign w:val="center"/>
                </w:tcPr>
                <w:p w14:paraId="06C837E3">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6-9（无量纲）</w:t>
                  </w:r>
                </w:p>
              </w:tc>
              <w:tc>
                <w:tcPr>
                  <w:tcW w:w="547" w:type="pct"/>
                  <w:vAlign w:val="center"/>
                </w:tcPr>
                <w:p w14:paraId="630DA4DB">
                  <w:pPr>
                    <w:jc w:val="center"/>
                    <w:rPr>
                      <w:strike w:val="0"/>
                      <w:dstrike w:val="0"/>
                      <w:color w:val="auto"/>
                      <w:szCs w:val="21"/>
                      <w:highlight w:val="none"/>
                    </w:rPr>
                  </w:pPr>
                  <w:r>
                    <w:rPr>
                      <w:strike w:val="0"/>
                      <w:dstrike w:val="0"/>
                      <w:color w:val="auto"/>
                      <w:szCs w:val="21"/>
                      <w:highlight w:val="none"/>
                    </w:rPr>
                    <w:t>50</w:t>
                  </w:r>
                </w:p>
              </w:tc>
              <w:tc>
                <w:tcPr>
                  <w:tcW w:w="675" w:type="pct"/>
                  <w:vAlign w:val="center"/>
                </w:tcPr>
                <w:p w14:paraId="4E7B7839">
                  <w:pPr>
                    <w:jc w:val="center"/>
                    <w:rPr>
                      <w:strike w:val="0"/>
                      <w:dstrike w:val="0"/>
                      <w:color w:val="auto"/>
                      <w:szCs w:val="21"/>
                      <w:highlight w:val="none"/>
                    </w:rPr>
                  </w:pPr>
                  <w:r>
                    <w:rPr>
                      <w:strike w:val="0"/>
                      <w:dstrike w:val="0"/>
                      <w:color w:val="auto"/>
                      <w:szCs w:val="21"/>
                      <w:highlight w:val="none"/>
                    </w:rPr>
                    <w:t>10</w:t>
                  </w:r>
                </w:p>
              </w:tc>
              <w:tc>
                <w:tcPr>
                  <w:tcW w:w="523" w:type="pct"/>
                  <w:vAlign w:val="center"/>
                </w:tcPr>
                <w:p w14:paraId="2EF9B5E3">
                  <w:pPr>
                    <w:jc w:val="center"/>
                    <w:rPr>
                      <w:strike w:val="0"/>
                      <w:dstrike w:val="0"/>
                      <w:color w:val="auto"/>
                      <w:szCs w:val="21"/>
                      <w:highlight w:val="none"/>
                    </w:rPr>
                  </w:pPr>
                  <w:r>
                    <w:rPr>
                      <w:strike w:val="0"/>
                      <w:dstrike w:val="0"/>
                      <w:color w:val="auto"/>
                      <w:szCs w:val="21"/>
                      <w:highlight w:val="none"/>
                    </w:rPr>
                    <w:t>10</w:t>
                  </w:r>
                </w:p>
              </w:tc>
              <w:tc>
                <w:tcPr>
                  <w:tcW w:w="639" w:type="pct"/>
                  <w:vAlign w:val="center"/>
                </w:tcPr>
                <w:p w14:paraId="57E984A6">
                  <w:pPr>
                    <w:jc w:val="center"/>
                    <w:rPr>
                      <w:strike w:val="0"/>
                      <w:dstrike w:val="0"/>
                      <w:color w:val="auto"/>
                      <w:spacing w:val="-20"/>
                      <w:szCs w:val="21"/>
                      <w:highlight w:val="none"/>
                    </w:rPr>
                  </w:pPr>
                  <w:r>
                    <w:rPr>
                      <w:strike w:val="0"/>
                      <w:dstrike w:val="0"/>
                      <w:color w:val="auto"/>
                      <w:spacing w:val="-20"/>
                      <w:szCs w:val="21"/>
                      <w:highlight w:val="none"/>
                    </w:rPr>
                    <w:t>1</w:t>
                  </w:r>
                </w:p>
              </w:tc>
              <w:tc>
                <w:tcPr>
                  <w:tcW w:w="787" w:type="pct"/>
                  <w:vAlign w:val="center"/>
                </w:tcPr>
                <w:p w14:paraId="655CF435">
                  <w:pPr>
                    <w:jc w:val="center"/>
                    <w:rPr>
                      <w:strike w:val="0"/>
                      <w:dstrike w:val="0"/>
                      <w:color w:val="auto"/>
                      <w:spacing w:val="-20"/>
                      <w:szCs w:val="21"/>
                      <w:highlight w:val="none"/>
                    </w:rPr>
                  </w:pPr>
                  <w:r>
                    <w:rPr>
                      <w:strike w:val="0"/>
                      <w:dstrike w:val="0"/>
                      <w:color w:val="auto"/>
                      <w:spacing w:val="-20"/>
                      <w:szCs w:val="21"/>
                      <w:highlight w:val="none"/>
                    </w:rPr>
                    <w:t>5（8）</w:t>
                  </w:r>
                </w:p>
              </w:tc>
            </w:tr>
            <w:tr w14:paraId="65E3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000" w:type="pct"/>
                  <w:gridSpan w:val="7"/>
                  <w:vAlign w:val="center"/>
                </w:tcPr>
                <w:p w14:paraId="1FA14D24">
                  <w:pPr>
                    <w:jc w:val="left"/>
                    <w:rPr>
                      <w:strike w:val="0"/>
                      <w:dstrike w:val="0"/>
                      <w:color w:val="auto"/>
                      <w:szCs w:val="21"/>
                      <w:highlight w:val="none"/>
                    </w:rPr>
                  </w:pPr>
                  <w:r>
                    <w:rPr>
                      <w:strike w:val="0"/>
                      <w:dstrike w:val="0"/>
                      <w:color w:val="auto"/>
                      <w:szCs w:val="21"/>
                      <w:highlight w:val="none"/>
                    </w:rPr>
                    <w:t>注：*参照执行《污水排入城镇下水道水质标准》（GBT 31962-2015）表1中B级标准；</w:t>
                  </w:r>
                </w:p>
                <w:p w14:paraId="0041960D">
                  <w:pPr>
                    <w:jc w:val="left"/>
                    <w:rPr>
                      <w:strike w:val="0"/>
                      <w:dstrike w:val="0"/>
                      <w:color w:val="auto"/>
                      <w:szCs w:val="21"/>
                      <w:highlight w:val="none"/>
                    </w:rPr>
                  </w:pPr>
                  <w:r>
                    <w:rPr>
                      <w:strike w:val="0"/>
                      <w:dstrike w:val="0"/>
                      <w:color w:val="auto"/>
                      <w:szCs w:val="21"/>
                      <w:highlight w:val="none"/>
                    </w:rPr>
                    <w:t>括号外数值为水温＞12℃的控制指标，括号内数值为水温≤12℃的控制指标。</w:t>
                  </w:r>
                </w:p>
              </w:tc>
            </w:tr>
          </w:tbl>
          <w:p w14:paraId="186AA8F8">
            <w:pPr>
              <w:spacing w:line="360" w:lineRule="auto"/>
              <w:rPr>
                <w:b/>
                <w:strike w:val="0"/>
                <w:dstrike w:val="0"/>
                <w:color w:val="auto"/>
                <w:kern w:val="0"/>
                <w:sz w:val="24"/>
                <w:highlight w:val="none"/>
              </w:rPr>
            </w:pPr>
            <w:r>
              <w:rPr>
                <w:b/>
                <w:strike w:val="0"/>
                <w:dstrike w:val="0"/>
                <w:color w:val="auto"/>
                <w:kern w:val="0"/>
                <w:sz w:val="24"/>
                <w:highlight w:val="none"/>
              </w:rPr>
              <w:t>3.3.3噪声排放标准</w:t>
            </w:r>
          </w:p>
          <w:p w14:paraId="66EF5EAB">
            <w:pPr>
              <w:tabs>
                <w:tab w:val="left" w:pos="1275"/>
              </w:tabs>
              <w:spacing w:line="360" w:lineRule="auto"/>
              <w:ind w:firstLine="480" w:firstLineChars="200"/>
              <w:rPr>
                <w:strike w:val="0"/>
                <w:dstrike w:val="0"/>
                <w:color w:val="auto"/>
                <w:sz w:val="24"/>
                <w:highlight w:val="none"/>
              </w:rPr>
            </w:pPr>
            <w:r>
              <w:rPr>
                <w:strike w:val="0"/>
                <w:dstrike w:val="0"/>
                <w:color w:val="auto"/>
                <w:sz w:val="24"/>
                <w:highlight w:val="none"/>
              </w:rPr>
              <w:t>施工期噪声执行《建筑施工场界环境噪声排放标准》（GB12523-2011）中表1标准，详见表3.3-</w:t>
            </w:r>
            <w:r>
              <w:rPr>
                <w:rFonts w:hint="eastAsia"/>
                <w:strike w:val="0"/>
                <w:dstrike w:val="0"/>
                <w:color w:val="auto"/>
                <w:sz w:val="24"/>
                <w:highlight w:val="none"/>
              </w:rPr>
              <w:t>5</w:t>
            </w:r>
            <w:r>
              <w:rPr>
                <w:strike w:val="0"/>
                <w:dstrike w:val="0"/>
                <w:color w:val="auto"/>
                <w:sz w:val="24"/>
                <w:highlight w:val="none"/>
              </w:rPr>
              <w:t>。</w:t>
            </w:r>
          </w:p>
          <w:p w14:paraId="59E891A8">
            <w:pPr>
              <w:jc w:val="center"/>
              <w:rPr>
                <w:b/>
                <w:bCs/>
                <w:strike w:val="0"/>
                <w:dstrike w:val="0"/>
                <w:color w:val="auto"/>
                <w:sz w:val="24"/>
                <w:highlight w:val="none"/>
              </w:rPr>
            </w:pPr>
            <w:r>
              <w:rPr>
                <w:b/>
                <w:bCs/>
                <w:strike w:val="0"/>
                <w:dstrike w:val="0"/>
                <w:color w:val="auto"/>
                <w:sz w:val="24"/>
                <w:highlight w:val="none"/>
              </w:rPr>
              <w:t>表3.3-</w:t>
            </w:r>
            <w:r>
              <w:rPr>
                <w:rFonts w:hint="eastAsia"/>
                <w:b/>
                <w:bCs/>
                <w:strike w:val="0"/>
                <w:dstrike w:val="0"/>
                <w:color w:val="auto"/>
                <w:sz w:val="24"/>
                <w:highlight w:val="none"/>
              </w:rPr>
              <w:t>5</w:t>
            </w:r>
            <w:r>
              <w:rPr>
                <w:b/>
                <w:bCs/>
                <w:strike w:val="0"/>
                <w:dstrike w:val="0"/>
                <w:color w:val="auto"/>
                <w:sz w:val="24"/>
                <w:highlight w:val="none"/>
              </w:rPr>
              <w:t xml:space="preserve">  建筑施工场界环境噪声排放标准限值  单位：dB（A）</w:t>
            </w:r>
          </w:p>
          <w:tbl>
            <w:tblPr>
              <w:tblStyle w:val="22"/>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4203"/>
              <w:gridCol w:w="1586"/>
              <w:gridCol w:w="1743"/>
            </w:tblGrid>
            <w:tr w14:paraId="02EE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686" w:type="dxa"/>
                </w:tcPr>
                <w:p w14:paraId="69FFCDA3">
                  <w:pPr>
                    <w:jc w:val="center"/>
                    <w:rPr>
                      <w:b/>
                      <w:bCs/>
                      <w:strike w:val="0"/>
                      <w:dstrike w:val="0"/>
                      <w:color w:val="auto"/>
                      <w:szCs w:val="21"/>
                      <w:highlight w:val="none"/>
                    </w:rPr>
                  </w:pPr>
                  <w:r>
                    <w:rPr>
                      <w:b/>
                      <w:bCs/>
                      <w:strike w:val="0"/>
                      <w:dstrike w:val="0"/>
                      <w:color w:val="auto"/>
                      <w:szCs w:val="21"/>
                      <w:highlight w:val="none"/>
                    </w:rPr>
                    <w:t>序号</w:t>
                  </w:r>
                </w:p>
              </w:tc>
              <w:tc>
                <w:tcPr>
                  <w:tcW w:w="4203" w:type="dxa"/>
                </w:tcPr>
                <w:p w14:paraId="487C30DE">
                  <w:pPr>
                    <w:jc w:val="center"/>
                    <w:rPr>
                      <w:b/>
                      <w:bCs/>
                      <w:strike w:val="0"/>
                      <w:dstrike w:val="0"/>
                      <w:color w:val="auto"/>
                      <w:szCs w:val="21"/>
                      <w:highlight w:val="none"/>
                    </w:rPr>
                  </w:pPr>
                  <w:r>
                    <w:rPr>
                      <w:b/>
                      <w:bCs/>
                      <w:strike w:val="0"/>
                      <w:dstrike w:val="0"/>
                      <w:color w:val="auto"/>
                      <w:szCs w:val="21"/>
                      <w:highlight w:val="none"/>
                    </w:rPr>
                    <w:t>标准</w:t>
                  </w:r>
                </w:p>
              </w:tc>
              <w:tc>
                <w:tcPr>
                  <w:tcW w:w="1586" w:type="dxa"/>
                </w:tcPr>
                <w:p w14:paraId="362CA820">
                  <w:pPr>
                    <w:jc w:val="center"/>
                    <w:rPr>
                      <w:b/>
                      <w:bCs/>
                      <w:strike w:val="0"/>
                      <w:dstrike w:val="0"/>
                      <w:color w:val="auto"/>
                      <w:szCs w:val="21"/>
                      <w:highlight w:val="none"/>
                    </w:rPr>
                  </w:pPr>
                  <w:r>
                    <w:rPr>
                      <w:b/>
                      <w:bCs/>
                      <w:strike w:val="0"/>
                      <w:dstrike w:val="0"/>
                      <w:color w:val="auto"/>
                      <w:szCs w:val="21"/>
                      <w:highlight w:val="none"/>
                    </w:rPr>
                    <w:t>昼间dB（A）</w:t>
                  </w:r>
                </w:p>
              </w:tc>
              <w:tc>
                <w:tcPr>
                  <w:tcW w:w="1743" w:type="dxa"/>
                </w:tcPr>
                <w:p w14:paraId="7BF984F1">
                  <w:pPr>
                    <w:jc w:val="center"/>
                    <w:rPr>
                      <w:b/>
                      <w:bCs/>
                      <w:strike w:val="0"/>
                      <w:dstrike w:val="0"/>
                      <w:color w:val="auto"/>
                      <w:szCs w:val="21"/>
                      <w:highlight w:val="none"/>
                    </w:rPr>
                  </w:pPr>
                  <w:r>
                    <w:rPr>
                      <w:b/>
                      <w:bCs/>
                      <w:strike w:val="0"/>
                      <w:dstrike w:val="0"/>
                      <w:color w:val="auto"/>
                      <w:szCs w:val="21"/>
                      <w:highlight w:val="none"/>
                    </w:rPr>
                    <w:t>夜间dB（A）</w:t>
                  </w:r>
                </w:p>
              </w:tc>
            </w:tr>
            <w:tr w14:paraId="5FEF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686" w:type="dxa"/>
                  <w:vAlign w:val="center"/>
                </w:tcPr>
                <w:p w14:paraId="0B9C657B">
                  <w:pPr>
                    <w:jc w:val="center"/>
                    <w:rPr>
                      <w:strike w:val="0"/>
                      <w:dstrike w:val="0"/>
                      <w:color w:val="auto"/>
                      <w:szCs w:val="21"/>
                      <w:highlight w:val="none"/>
                    </w:rPr>
                  </w:pPr>
                  <w:r>
                    <w:rPr>
                      <w:strike w:val="0"/>
                      <w:dstrike w:val="0"/>
                      <w:color w:val="auto"/>
                      <w:szCs w:val="21"/>
                      <w:highlight w:val="none"/>
                    </w:rPr>
                    <w:t>1</w:t>
                  </w:r>
                </w:p>
              </w:tc>
              <w:tc>
                <w:tcPr>
                  <w:tcW w:w="4203" w:type="dxa"/>
                  <w:vAlign w:val="center"/>
                </w:tcPr>
                <w:p w14:paraId="3FE83ACC">
                  <w:pPr>
                    <w:jc w:val="center"/>
                    <w:rPr>
                      <w:strike w:val="0"/>
                      <w:dstrike w:val="0"/>
                      <w:color w:val="auto"/>
                      <w:szCs w:val="21"/>
                      <w:highlight w:val="none"/>
                    </w:rPr>
                  </w:pPr>
                  <w:r>
                    <w:rPr>
                      <w:strike w:val="0"/>
                      <w:dstrike w:val="0"/>
                      <w:color w:val="auto"/>
                      <w:szCs w:val="21"/>
                      <w:highlight w:val="none"/>
                    </w:rPr>
                    <w:t>建筑施工场界环境噪声排放标准》（GB12523-2011）中表1标准</w:t>
                  </w:r>
                </w:p>
              </w:tc>
              <w:tc>
                <w:tcPr>
                  <w:tcW w:w="1586" w:type="dxa"/>
                  <w:vAlign w:val="center"/>
                </w:tcPr>
                <w:p w14:paraId="6759E73A">
                  <w:pPr>
                    <w:jc w:val="center"/>
                    <w:rPr>
                      <w:strike w:val="0"/>
                      <w:dstrike w:val="0"/>
                      <w:color w:val="auto"/>
                      <w:szCs w:val="21"/>
                      <w:highlight w:val="none"/>
                    </w:rPr>
                  </w:pPr>
                  <w:r>
                    <w:rPr>
                      <w:bCs/>
                      <w:strike w:val="0"/>
                      <w:dstrike w:val="0"/>
                      <w:color w:val="auto"/>
                      <w:szCs w:val="21"/>
                      <w:highlight w:val="none"/>
                      <w:lang w:val="en-GB"/>
                    </w:rPr>
                    <w:t>≤</w:t>
                  </w:r>
                  <w:r>
                    <w:rPr>
                      <w:strike w:val="0"/>
                      <w:dstrike w:val="0"/>
                      <w:color w:val="auto"/>
                      <w:szCs w:val="21"/>
                      <w:highlight w:val="none"/>
                    </w:rPr>
                    <w:t>70</w:t>
                  </w:r>
                </w:p>
              </w:tc>
              <w:tc>
                <w:tcPr>
                  <w:tcW w:w="1743" w:type="dxa"/>
                  <w:vAlign w:val="center"/>
                </w:tcPr>
                <w:p w14:paraId="084B42A6">
                  <w:pPr>
                    <w:jc w:val="center"/>
                    <w:rPr>
                      <w:strike w:val="0"/>
                      <w:dstrike w:val="0"/>
                      <w:color w:val="auto"/>
                      <w:szCs w:val="21"/>
                      <w:highlight w:val="none"/>
                    </w:rPr>
                  </w:pPr>
                  <w:r>
                    <w:rPr>
                      <w:bCs/>
                      <w:strike w:val="0"/>
                      <w:dstrike w:val="0"/>
                      <w:color w:val="auto"/>
                      <w:szCs w:val="21"/>
                      <w:highlight w:val="none"/>
                      <w:lang w:val="en-GB"/>
                    </w:rPr>
                    <w:t>≤</w:t>
                  </w:r>
                  <w:r>
                    <w:rPr>
                      <w:strike w:val="0"/>
                      <w:dstrike w:val="0"/>
                      <w:color w:val="auto"/>
                      <w:szCs w:val="21"/>
                      <w:highlight w:val="none"/>
                    </w:rPr>
                    <w:t>55</w:t>
                  </w:r>
                </w:p>
              </w:tc>
            </w:tr>
          </w:tbl>
          <w:p w14:paraId="60982CCE">
            <w:pPr>
              <w:spacing w:line="360" w:lineRule="auto"/>
              <w:ind w:firstLine="480" w:firstLineChars="200"/>
              <w:rPr>
                <w:strike w:val="0"/>
                <w:dstrike w:val="0"/>
                <w:color w:val="auto"/>
                <w:sz w:val="24"/>
                <w:highlight w:val="none"/>
              </w:rPr>
            </w:pPr>
            <w:r>
              <w:rPr>
                <w:strike w:val="0"/>
                <w:dstrike w:val="0"/>
                <w:color w:val="auto"/>
                <w:sz w:val="24"/>
                <w:highlight w:val="none"/>
              </w:rPr>
              <w:t>营运期，项目厂界</w:t>
            </w:r>
            <w:r>
              <w:rPr>
                <w:rFonts w:hint="eastAsia"/>
                <w:strike w:val="0"/>
                <w:dstrike w:val="0"/>
                <w:color w:val="auto"/>
                <w:sz w:val="24"/>
                <w:highlight w:val="none"/>
              </w:rPr>
              <w:t>南、北、西侧</w:t>
            </w:r>
            <w:r>
              <w:rPr>
                <w:strike w:val="0"/>
                <w:dstrike w:val="0"/>
                <w:color w:val="auto"/>
                <w:kern w:val="0"/>
                <w:sz w:val="24"/>
                <w:highlight w:val="none"/>
              </w:rPr>
              <w:t>执行</w:t>
            </w:r>
            <w:r>
              <w:rPr>
                <w:strike w:val="0"/>
                <w:dstrike w:val="0"/>
                <w:color w:val="auto"/>
                <w:sz w:val="24"/>
                <w:highlight w:val="none"/>
              </w:rPr>
              <w:t>《工业企业厂界环境噪声排放标准》（GB12348-2008）中3类标准</w:t>
            </w:r>
            <w:r>
              <w:rPr>
                <w:rFonts w:hint="eastAsia"/>
                <w:strike w:val="0"/>
                <w:dstrike w:val="0"/>
                <w:color w:val="auto"/>
                <w:sz w:val="24"/>
                <w:highlight w:val="none"/>
              </w:rPr>
              <w:t>，东侧</w:t>
            </w:r>
            <w:r>
              <w:rPr>
                <w:strike w:val="0"/>
                <w:dstrike w:val="0"/>
                <w:color w:val="auto"/>
                <w:kern w:val="0"/>
                <w:sz w:val="24"/>
                <w:highlight w:val="none"/>
              </w:rPr>
              <w:t>执行</w:t>
            </w:r>
            <w:r>
              <w:rPr>
                <w:strike w:val="0"/>
                <w:dstrike w:val="0"/>
                <w:color w:val="auto"/>
                <w:sz w:val="24"/>
                <w:highlight w:val="none"/>
              </w:rPr>
              <w:t>《工业企业厂界环境噪声排放标准》（GB12348-2008）中</w:t>
            </w:r>
            <w:r>
              <w:rPr>
                <w:rFonts w:hint="eastAsia"/>
                <w:strike w:val="0"/>
                <w:dstrike w:val="0"/>
                <w:color w:val="auto"/>
                <w:sz w:val="24"/>
                <w:highlight w:val="none"/>
              </w:rPr>
              <w:t>4</w:t>
            </w:r>
            <w:r>
              <w:rPr>
                <w:strike w:val="0"/>
                <w:dstrike w:val="0"/>
                <w:color w:val="auto"/>
                <w:sz w:val="24"/>
                <w:highlight w:val="none"/>
              </w:rPr>
              <w:t>类标准。标准值见表3.3-</w:t>
            </w:r>
            <w:r>
              <w:rPr>
                <w:rFonts w:hint="eastAsia"/>
                <w:strike w:val="0"/>
                <w:dstrike w:val="0"/>
                <w:color w:val="auto"/>
                <w:sz w:val="24"/>
                <w:highlight w:val="none"/>
              </w:rPr>
              <w:t>6</w:t>
            </w:r>
            <w:r>
              <w:rPr>
                <w:strike w:val="0"/>
                <w:dstrike w:val="0"/>
                <w:color w:val="auto"/>
                <w:sz w:val="24"/>
                <w:highlight w:val="none"/>
              </w:rPr>
              <w:t>。</w:t>
            </w:r>
          </w:p>
          <w:p w14:paraId="32B0FCCF">
            <w:pPr>
              <w:pStyle w:val="61"/>
              <w:spacing w:line="240" w:lineRule="auto"/>
              <w:ind w:firstLine="0" w:firstLineChars="0"/>
              <w:jc w:val="center"/>
              <w:rPr>
                <w:b/>
                <w:strike w:val="0"/>
                <w:dstrike w:val="0"/>
                <w:color w:val="auto"/>
                <w:szCs w:val="24"/>
                <w:highlight w:val="none"/>
              </w:rPr>
            </w:pPr>
            <w:r>
              <w:rPr>
                <w:b/>
                <w:strike w:val="0"/>
                <w:dstrike w:val="0"/>
                <w:color w:val="auto"/>
                <w:szCs w:val="24"/>
                <w:highlight w:val="none"/>
              </w:rPr>
              <w:t>表3.3-</w:t>
            </w:r>
            <w:r>
              <w:rPr>
                <w:rFonts w:hint="eastAsia"/>
                <w:b/>
                <w:strike w:val="0"/>
                <w:dstrike w:val="0"/>
                <w:color w:val="auto"/>
                <w:szCs w:val="24"/>
                <w:highlight w:val="none"/>
              </w:rPr>
              <w:t>6</w:t>
            </w:r>
            <w:r>
              <w:rPr>
                <w:b/>
                <w:strike w:val="0"/>
                <w:dstrike w:val="0"/>
                <w:color w:val="auto"/>
                <w:szCs w:val="24"/>
                <w:highlight w:val="none"/>
              </w:rPr>
              <w:t xml:space="preserve">  工业企业厂界环境噪声排放标准  单位：dB(A)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949"/>
              <w:gridCol w:w="2225"/>
              <w:gridCol w:w="2141"/>
            </w:tblGrid>
            <w:tr w14:paraId="0FFD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58" w:type="pct"/>
                  <w:gridSpan w:val="2"/>
                  <w:vMerge w:val="restart"/>
                  <w:vAlign w:val="center"/>
                </w:tcPr>
                <w:p w14:paraId="0FBA9599">
                  <w:pPr>
                    <w:pStyle w:val="62"/>
                    <w:spacing w:before="0" w:line="240" w:lineRule="auto"/>
                    <w:ind w:right="0" w:firstLine="0"/>
                    <w:rPr>
                      <w:b/>
                      <w:bCs/>
                      <w:strike w:val="0"/>
                      <w:dstrike w:val="0"/>
                      <w:color w:val="auto"/>
                      <w:sz w:val="21"/>
                      <w:szCs w:val="21"/>
                      <w:highlight w:val="none"/>
                    </w:rPr>
                  </w:pPr>
                  <w:r>
                    <w:rPr>
                      <w:b/>
                      <w:bCs/>
                      <w:strike w:val="0"/>
                      <w:dstrike w:val="0"/>
                      <w:color w:val="auto"/>
                      <w:sz w:val="21"/>
                      <w:szCs w:val="21"/>
                      <w:highlight w:val="none"/>
                    </w:rPr>
                    <w:t>类别</w:t>
                  </w:r>
                </w:p>
              </w:tc>
              <w:tc>
                <w:tcPr>
                  <w:tcW w:w="2641" w:type="pct"/>
                  <w:gridSpan w:val="2"/>
                  <w:vAlign w:val="center"/>
                </w:tcPr>
                <w:p w14:paraId="21690F78">
                  <w:pPr>
                    <w:pStyle w:val="62"/>
                    <w:spacing w:before="0" w:line="240" w:lineRule="auto"/>
                    <w:ind w:right="0" w:firstLine="0"/>
                    <w:rPr>
                      <w:b/>
                      <w:bCs/>
                      <w:strike w:val="0"/>
                      <w:dstrike w:val="0"/>
                      <w:color w:val="auto"/>
                      <w:sz w:val="21"/>
                      <w:szCs w:val="21"/>
                      <w:highlight w:val="none"/>
                    </w:rPr>
                  </w:pPr>
                  <w:r>
                    <w:rPr>
                      <w:b/>
                      <w:bCs/>
                      <w:strike w:val="0"/>
                      <w:dstrike w:val="0"/>
                      <w:color w:val="auto"/>
                      <w:sz w:val="21"/>
                      <w:szCs w:val="21"/>
                      <w:highlight w:val="none"/>
                    </w:rPr>
                    <w:t>评价标准</w:t>
                  </w:r>
                </w:p>
              </w:tc>
            </w:tr>
            <w:tr w14:paraId="5678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58" w:type="pct"/>
                  <w:gridSpan w:val="2"/>
                  <w:vMerge w:val="continue"/>
                  <w:vAlign w:val="center"/>
                </w:tcPr>
                <w:p w14:paraId="0AD6ABEA">
                  <w:pPr>
                    <w:pStyle w:val="62"/>
                    <w:spacing w:before="0" w:line="240" w:lineRule="auto"/>
                    <w:ind w:right="0" w:firstLine="0"/>
                    <w:rPr>
                      <w:b/>
                      <w:bCs/>
                      <w:strike w:val="0"/>
                      <w:dstrike w:val="0"/>
                      <w:color w:val="auto"/>
                      <w:sz w:val="21"/>
                      <w:szCs w:val="21"/>
                      <w:highlight w:val="none"/>
                    </w:rPr>
                  </w:pPr>
                </w:p>
              </w:tc>
              <w:tc>
                <w:tcPr>
                  <w:tcW w:w="1346" w:type="pct"/>
                  <w:vAlign w:val="center"/>
                </w:tcPr>
                <w:p w14:paraId="020B2DD1">
                  <w:pPr>
                    <w:pStyle w:val="62"/>
                    <w:spacing w:before="0" w:line="240" w:lineRule="auto"/>
                    <w:ind w:right="0" w:firstLine="0"/>
                    <w:rPr>
                      <w:b/>
                      <w:bCs/>
                      <w:strike w:val="0"/>
                      <w:dstrike w:val="0"/>
                      <w:color w:val="auto"/>
                      <w:sz w:val="21"/>
                      <w:szCs w:val="21"/>
                      <w:highlight w:val="none"/>
                    </w:rPr>
                  </w:pPr>
                  <w:r>
                    <w:rPr>
                      <w:b/>
                      <w:bCs/>
                      <w:strike w:val="0"/>
                      <w:dstrike w:val="0"/>
                      <w:color w:val="auto"/>
                      <w:sz w:val="21"/>
                      <w:szCs w:val="21"/>
                      <w:highlight w:val="none"/>
                    </w:rPr>
                    <w:t>昼间</w:t>
                  </w:r>
                </w:p>
              </w:tc>
              <w:tc>
                <w:tcPr>
                  <w:tcW w:w="1295" w:type="pct"/>
                  <w:vAlign w:val="center"/>
                </w:tcPr>
                <w:p w14:paraId="3571F177">
                  <w:pPr>
                    <w:pStyle w:val="62"/>
                    <w:spacing w:before="0" w:line="240" w:lineRule="auto"/>
                    <w:ind w:right="0" w:firstLine="0"/>
                    <w:rPr>
                      <w:b/>
                      <w:bCs/>
                      <w:strike w:val="0"/>
                      <w:dstrike w:val="0"/>
                      <w:color w:val="auto"/>
                      <w:sz w:val="21"/>
                      <w:szCs w:val="21"/>
                      <w:highlight w:val="none"/>
                    </w:rPr>
                  </w:pPr>
                  <w:r>
                    <w:rPr>
                      <w:b/>
                      <w:bCs/>
                      <w:strike w:val="0"/>
                      <w:dstrike w:val="0"/>
                      <w:color w:val="auto"/>
                      <w:sz w:val="21"/>
                      <w:szCs w:val="21"/>
                      <w:highlight w:val="none"/>
                    </w:rPr>
                    <w:t>夜间</w:t>
                  </w:r>
                </w:p>
              </w:tc>
            </w:tr>
            <w:tr w14:paraId="5E73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9" w:type="pct"/>
                  <w:vAlign w:val="center"/>
                </w:tcPr>
                <w:p w14:paraId="1D99BDBA">
                  <w:pPr>
                    <w:pStyle w:val="62"/>
                    <w:spacing w:before="0" w:line="240" w:lineRule="auto"/>
                    <w:ind w:right="0" w:firstLine="0"/>
                    <w:rPr>
                      <w:strike w:val="0"/>
                      <w:dstrike w:val="0"/>
                      <w:color w:val="auto"/>
                      <w:sz w:val="21"/>
                      <w:szCs w:val="21"/>
                      <w:highlight w:val="none"/>
                    </w:rPr>
                  </w:pPr>
                  <w:r>
                    <w:rPr>
                      <w:rFonts w:hint="eastAsia"/>
                      <w:strike w:val="0"/>
                      <w:dstrike w:val="0"/>
                      <w:color w:val="auto"/>
                      <w:sz w:val="21"/>
                      <w:szCs w:val="21"/>
                      <w:highlight w:val="none"/>
                    </w:rPr>
                    <w:t>厂界南、北、西侧</w:t>
                  </w:r>
                </w:p>
              </w:tc>
              <w:tc>
                <w:tcPr>
                  <w:tcW w:w="1179" w:type="pct"/>
                  <w:vAlign w:val="center"/>
                </w:tcPr>
                <w:p w14:paraId="7556B089">
                  <w:pPr>
                    <w:pStyle w:val="62"/>
                    <w:spacing w:before="0" w:line="240" w:lineRule="auto"/>
                    <w:ind w:right="0" w:firstLine="0"/>
                    <w:rPr>
                      <w:strike w:val="0"/>
                      <w:dstrike w:val="0"/>
                      <w:color w:val="auto"/>
                      <w:sz w:val="21"/>
                      <w:szCs w:val="21"/>
                      <w:highlight w:val="none"/>
                    </w:rPr>
                  </w:pPr>
                  <w:r>
                    <w:rPr>
                      <w:strike w:val="0"/>
                      <w:dstrike w:val="0"/>
                      <w:color w:val="auto"/>
                      <w:sz w:val="21"/>
                      <w:szCs w:val="21"/>
                      <w:highlight w:val="none"/>
                    </w:rPr>
                    <w:t>3类</w:t>
                  </w:r>
                </w:p>
              </w:tc>
              <w:tc>
                <w:tcPr>
                  <w:tcW w:w="1346" w:type="pct"/>
                  <w:vAlign w:val="center"/>
                </w:tcPr>
                <w:p w14:paraId="44D5CC07">
                  <w:pPr>
                    <w:pStyle w:val="62"/>
                    <w:spacing w:before="0" w:line="240" w:lineRule="auto"/>
                    <w:ind w:right="0" w:firstLine="0"/>
                    <w:rPr>
                      <w:strike w:val="0"/>
                      <w:dstrike w:val="0"/>
                      <w:color w:val="auto"/>
                      <w:sz w:val="21"/>
                      <w:szCs w:val="21"/>
                      <w:highlight w:val="none"/>
                    </w:rPr>
                  </w:pPr>
                  <w:r>
                    <w:rPr>
                      <w:strike w:val="0"/>
                      <w:dstrike w:val="0"/>
                      <w:color w:val="auto"/>
                      <w:sz w:val="21"/>
                      <w:szCs w:val="21"/>
                      <w:highlight w:val="none"/>
                    </w:rPr>
                    <w:t>65</w:t>
                  </w:r>
                </w:p>
              </w:tc>
              <w:tc>
                <w:tcPr>
                  <w:tcW w:w="1295" w:type="pct"/>
                  <w:vAlign w:val="center"/>
                </w:tcPr>
                <w:p w14:paraId="42E9453B">
                  <w:pPr>
                    <w:pStyle w:val="62"/>
                    <w:spacing w:before="0" w:line="240" w:lineRule="auto"/>
                    <w:ind w:right="0" w:firstLine="0"/>
                    <w:rPr>
                      <w:strike w:val="0"/>
                      <w:dstrike w:val="0"/>
                      <w:color w:val="auto"/>
                      <w:sz w:val="21"/>
                      <w:szCs w:val="21"/>
                      <w:highlight w:val="none"/>
                    </w:rPr>
                  </w:pPr>
                  <w:r>
                    <w:rPr>
                      <w:strike w:val="0"/>
                      <w:dstrike w:val="0"/>
                      <w:color w:val="auto"/>
                      <w:sz w:val="21"/>
                      <w:szCs w:val="21"/>
                      <w:highlight w:val="none"/>
                    </w:rPr>
                    <w:t>55</w:t>
                  </w:r>
                </w:p>
              </w:tc>
            </w:tr>
            <w:tr w14:paraId="1DD3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179" w:type="pct"/>
                  <w:vAlign w:val="center"/>
                </w:tcPr>
                <w:p w14:paraId="2C2E2551">
                  <w:pPr>
                    <w:pStyle w:val="62"/>
                    <w:spacing w:before="0" w:line="240" w:lineRule="auto"/>
                    <w:ind w:right="0" w:firstLine="0"/>
                    <w:rPr>
                      <w:strike w:val="0"/>
                      <w:dstrike w:val="0"/>
                      <w:color w:val="auto"/>
                      <w:sz w:val="21"/>
                      <w:szCs w:val="21"/>
                      <w:highlight w:val="none"/>
                    </w:rPr>
                  </w:pPr>
                  <w:r>
                    <w:rPr>
                      <w:rFonts w:hint="eastAsia"/>
                      <w:strike w:val="0"/>
                      <w:dstrike w:val="0"/>
                      <w:color w:val="auto"/>
                      <w:sz w:val="21"/>
                      <w:szCs w:val="21"/>
                      <w:highlight w:val="none"/>
                    </w:rPr>
                    <w:t>厂界东侧</w:t>
                  </w:r>
                </w:p>
              </w:tc>
              <w:tc>
                <w:tcPr>
                  <w:tcW w:w="1179" w:type="pct"/>
                  <w:vAlign w:val="center"/>
                </w:tcPr>
                <w:p w14:paraId="1E633B1D">
                  <w:pPr>
                    <w:pStyle w:val="62"/>
                    <w:spacing w:before="0" w:line="240" w:lineRule="auto"/>
                    <w:ind w:right="0" w:firstLine="0"/>
                    <w:rPr>
                      <w:strike w:val="0"/>
                      <w:dstrike w:val="0"/>
                      <w:color w:val="auto"/>
                      <w:sz w:val="21"/>
                      <w:szCs w:val="21"/>
                      <w:highlight w:val="none"/>
                    </w:rPr>
                  </w:pPr>
                  <w:r>
                    <w:rPr>
                      <w:rFonts w:hint="eastAsia"/>
                      <w:strike w:val="0"/>
                      <w:dstrike w:val="0"/>
                      <w:color w:val="auto"/>
                      <w:sz w:val="21"/>
                      <w:szCs w:val="21"/>
                      <w:highlight w:val="none"/>
                    </w:rPr>
                    <w:t>4类</w:t>
                  </w:r>
                </w:p>
              </w:tc>
              <w:tc>
                <w:tcPr>
                  <w:tcW w:w="1346" w:type="pct"/>
                  <w:vAlign w:val="center"/>
                </w:tcPr>
                <w:p w14:paraId="3BDE38C1">
                  <w:pPr>
                    <w:pStyle w:val="62"/>
                    <w:spacing w:before="0" w:line="240" w:lineRule="auto"/>
                    <w:ind w:right="0" w:firstLine="0"/>
                    <w:rPr>
                      <w:strike w:val="0"/>
                      <w:dstrike w:val="0"/>
                      <w:color w:val="auto"/>
                      <w:sz w:val="21"/>
                      <w:szCs w:val="21"/>
                      <w:highlight w:val="none"/>
                    </w:rPr>
                  </w:pPr>
                  <w:r>
                    <w:rPr>
                      <w:rFonts w:hint="eastAsia"/>
                      <w:strike w:val="0"/>
                      <w:dstrike w:val="0"/>
                      <w:color w:val="auto"/>
                      <w:sz w:val="21"/>
                      <w:szCs w:val="21"/>
                      <w:highlight w:val="none"/>
                    </w:rPr>
                    <w:t>70</w:t>
                  </w:r>
                </w:p>
              </w:tc>
              <w:tc>
                <w:tcPr>
                  <w:tcW w:w="1295" w:type="pct"/>
                  <w:vAlign w:val="center"/>
                </w:tcPr>
                <w:p w14:paraId="23DD7195">
                  <w:pPr>
                    <w:pStyle w:val="62"/>
                    <w:spacing w:before="0" w:line="240" w:lineRule="auto"/>
                    <w:ind w:right="0" w:firstLine="0"/>
                    <w:rPr>
                      <w:strike w:val="0"/>
                      <w:dstrike w:val="0"/>
                      <w:color w:val="auto"/>
                      <w:sz w:val="21"/>
                      <w:szCs w:val="21"/>
                      <w:highlight w:val="none"/>
                    </w:rPr>
                  </w:pPr>
                  <w:r>
                    <w:rPr>
                      <w:rFonts w:hint="eastAsia"/>
                      <w:strike w:val="0"/>
                      <w:dstrike w:val="0"/>
                      <w:color w:val="auto"/>
                      <w:sz w:val="21"/>
                      <w:szCs w:val="21"/>
                      <w:highlight w:val="none"/>
                    </w:rPr>
                    <w:t>55</w:t>
                  </w:r>
                </w:p>
              </w:tc>
            </w:tr>
          </w:tbl>
          <w:p w14:paraId="637BFAF1">
            <w:pPr>
              <w:adjustRightInd w:val="0"/>
              <w:snapToGrid w:val="0"/>
              <w:spacing w:before="156" w:beforeLines="50" w:line="360" w:lineRule="auto"/>
              <w:rPr>
                <w:b/>
                <w:strike w:val="0"/>
                <w:dstrike w:val="0"/>
                <w:color w:val="auto"/>
                <w:kern w:val="0"/>
                <w:sz w:val="24"/>
                <w:highlight w:val="none"/>
              </w:rPr>
            </w:pPr>
            <w:r>
              <w:rPr>
                <w:b/>
                <w:strike w:val="0"/>
                <w:dstrike w:val="0"/>
                <w:color w:val="auto"/>
                <w:kern w:val="0"/>
                <w:sz w:val="24"/>
                <w:highlight w:val="none"/>
              </w:rPr>
              <w:t>3.3.4固体废弃物</w:t>
            </w:r>
          </w:p>
          <w:p w14:paraId="13CDE0D2">
            <w:pPr>
              <w:pStyle w:val="45"/>
              <w:spacing w:line="360" w:lineRule="auto"/>
              <w:ind w:firstLine="480"/>
              <w:rPr>
                <w:strike w:val="0"/>
                <w:dstrike w:val="0"/>
                <w:color w:val="auto"/>
                <w:highlight w:val="none"/>
              </w:rPr>
            </w:pPr>
            <w:r>
              <w:rPr>
                <w:strike w:val="0"/>
                <w:dstrike w:val="0"/>
                <w:color w:val="auto"/>
                <w:highlight w:val="none"/>
              </w:rPr>
              <w:t>一般工业固体废物：根据《一般工业固体废物贮存和填埋污染控制标准》（GB 18599-2020）中要求，贮存过程应满足相应防渗漏、防雨淋、防扬尘等环境保护要求。</w:t>
            </w:r>
          </w:p>
          <w:p w14:paraId="16EBE3A6">
            <w:pPr>
              <w:pStyle w:val="45"/>
              <w:spacing w:line="360" w:lineRule="auto"/>
              <w:ind w:firstLine="480"/>
              <w:rPr>
                <w:strike w:val="0"/>
                <w:dstrike w:val="0"/>
                <w:color w:val="auto"/>
                <w:highlight w:val="none"/>
              </w:rPr>
            </w:pPr>
            <w:r>
              <w:rPr>
                <w:strike w:val="0"/>
                <w:dstrike w:val="0"/>
                <w:color w:val="auto"/>
                <w:highlight w:val="none"/>
              </w:rPr>
              <w:t>危险废物：执行《危险废物贮存污染控制标准》（GB 18597-2023）、《危险废物识别标志设置技术规范》（HJ1276-2022）、《危险废物转移管理办法》（部令 第23号）中相关要求</w:t>
            </w:r>
            <w:r>
              <w:rPr>
                <w:strike w:val="0"/>
                <w:dstrike w:val="0"/>
                <w:color w:val="auto"/>
                <w:kern w:val="0"/>
                <w:highlight w:val="none"/>
              </w:rPr>
              <w:t>。</w:t>
            </w:r>
          </w:p>
        </w:tc>
      </w:tr>
      <w:tr w14:paraId="27811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dxa"/>
            <w:vAlign w:val="center"/>
          </w:tcPr>
          <w:p w14:paraId="5CD43566">
            <w:pPr>
              <w:adjustRightInd w:val="0"/>
              <w:snapToGrid w:val="0"/>
              <w:jc w:val="center"/>
              <w:rPr>
                <w:strike w:val="0"/>
                <w:dstrike w:val="0"/>
                <w:color w:val="auto"/>
                <w:kern w:val="0"/>
                <w:sz w:val="24"/>
                <w:highlight w:val="none"/>
              </w:rPr>
            </w:pPr>
            <w:r>
              <w:rPr>
                <w:strike w:val="0"/>
                <w:dstrike w:val="0"/>
                <w:color w:val="auto"/>
                <w:kern w:val="0"/>
                <w:sz w:val="24"/>
                <w:highlight w:val="none"/>
              </w:rPr>
              <w:t>总量</w:t>
            </w:r>
          </w:p>
          <w:p w14:paraId="39BF6507">
            <w:pPr>
              <w:adjustRightInd w:val="0"/>
              <w:snapToGrid w:val="0"/>
              <w:jc w:val="center"/>
              <w:rPr>
                <w:strike w:val="0"/>
                <w:dstrike w:val="0"/>
                <w:color w:val="auto"/>
                <w:kern w:val="0"/>
                <w:sz w:val="24"/>
                <w:highlight w:val="none"/>
              </w:rPr>
            </w:pPr>
            <w:r>
              <w:rPr>
                <w:strike w:val="0"/>
                <w:dstrike w:val="0"/>
                <w:color w:val="auto"/>
                <w:kern w:val="0"/>
                <w:sz w:val="24"/>
                <w:highlight w:val="none"/>
              </w:rPr>
              <w:t>控制</w:t>
            </w:r>
          </w:p>
          <w:p w14:paraId="52192478">
            <w:pPr>
              <w:adjustRightInd w:val="0"/>
              <w:snapToGrid w:val="0"/>
              <w:jc w:val="center"/>
              <w:rPr>
                <w:strike w:val="0"/>
                <w:dstrike w:val="0"/>
                <w:color w:val="auto"/>
                <w:kern w:val="0"/>
                <w:sz w:val="24"/>
                <w:highlight w:val="none"/>
              </w:rPr>
            </w:pPr>
            <w:r>
              <w:rPr>
                <w:strike w:val="0"/>
                <w:dstrike w:val="0"/>
                <w:color w:val="auto"/>
                <w:kern w:val="0"/>
                <w:sz w:val="24"/>
                <w:highlight w:val="none"/>
              </w:rPr>
              <w:t>指标</w:t>
            </w:r>
          </w:p>
        </w:tc>
        <w:tc>
          <w:tcPr>
            <w:tcW w:w="8491" w:type="dxa"/>
          </w:tcPr>
          <w:p w14:paraId="291A3549">
            <w:pPr>
              <w:snapToGrid w:val="0"/>
              <w:spacing w:line="360" w:lineRule="auto"/>
              <w:ind w:firstLine="480" w:firstLineChars="200"/>
              <w:rPr>
                <w:strike w:val="0"/>
                <w:dstrike w:val="0"/>
                <w:color w:val="auto"/>
                <w:sz w:val="24"/>
                <w:highlight w:val="none"/>
              </w:rPr>
            </w:pPr>
            <w:r>
              <w:rPr>
                <w:strike w:val="0"/>
                <w:dstrike w:val="0"/>
                <w:color w:val="auto"/>
                <w:sz w:val="24"/>
                <w:highlight w:val="none"/>
              </w:rPr>
              <w:t>根据国家及地方相关环保法律法规，结合本项目的工艺特征和排污特点，本项目建议总量控制指标为：COD、氨氮。控制指标见表3.3-</w:t>
            </w:r>
            <w:r>
              <w:rPr>
                <w:rFonts w:hint="eastAsia"/>
                <w:strike w:val="0"/>
                <w:dstrike w:val="0"/>
                <w:color w:val="auto"/>
                <w:sz w:val="24"/>
                <w:highlight w:val="none"/>
              </w:rPr>
              <w:t>7</w:t>
            </w:r>
            <w:r>
              <w:rPr>
                <w:strike w:val="0"/>
                <w:dstrike w:val="0"/>
                <w:color w:val="auto"/>
                <w:sz w:val="24"/>
                <w:highlight w:val="none"/>
              </w:rPr>
              <w:t>。</w:t>
            </w:r>
          </w:p>
          <w:p w14:paraId="6C6DD5D3">
            <w:pPr>
              <w:pStyle w:val="63"/>
              <w:spacing w:line="240" w:lineRule="auto"/>
              <w:ind w:firstLine="0"/>
              <w:jc w:val="center"/>
              <w:rPr>
                <w:rFonts w:ascii="Times New Roman" w:hAnsi="Times New Roman" w:cs="Times New Roman"/>
                <w:b/>
                <w:strike w:val="0"/>
                <w:dstrike w:val="0"/>
                <w:color w:val="auto"/>
                <w:szCs w:val="24"/>
                <w:highlight w:val="none"/>
              </w:rPr>
            </w:pPr>
            <w:r>
              <w:rPr>
                <w:rFonts w:ascii="Times New Roman" w:hAnsi="Times New Roman" w:cs="Times New Roman"/>
                <w:b/>
                <w:strike w:val="0"/>
                <w:dstrike w:val="0"/>
                <w:color w:val="auto"/>
                <w:szCs w:val="24"/>
                <w:highlight w:val="none"/>
              </w:rPr>
              <w:t>表3.3-</w:t>
            </w:r>
            <w:r>
              <w:rPr>
                <w:rFonts w:hint="eastAsia" w:ascii="Times New Roman" w:hAnsi="Times New Roman" w:cs="Times New Roman"/>
                <w:b/>
                <w:strike w:val="0"/>
                <w:dstrike w:val="0"/>
                <w:color w:val="auto"/>
                <w:szCs w:val="24"/>
                <w:highlight w:val="none"/>
              </w:rPr>
              <w:t>7</w:t>
            </w:r>
            <w:r>
              <w:rPr>
                <w:rFonts w:ascii="Times New Roman" w:hAnsi="Times New Roman" w:cs="Times New Roman"/>
                <w:b/>
                <w:strike w:val="0"/>
                <w:dstrike w:val="0"/>
                <w:color w:val="auto"/>
                <w:szCs w:val="24"/>
                <w:highlight w:val="none"/>
              </w:rPr>
              <w:t xml:space="preserve">  总量控制指标一览表  单位：t/a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33"/>
              <w:gridCol w:w="2588"/>
              <w:gridCol w:w="2744"/>
            </w:tblGrid>
            <w:tr w14:paraId="0F46AC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774" w:type="pct"/>
                  <w:vAlign w:val="center"/>
                </w:tcPr>
                <w:p w14:paraId="254A6F52">
                  <w:pPr>
                    <w:jc w:val="center"/>
                    <w:rPr>
                      <w:b/>
                      <w:strike w:val="0"/>
                      <w:dstrike w:val="0"/>
                      <w:color w:val="auto"/>
                      <w:szCs w:val="21"/>
                      <w:highlight w:val="none"/>
                    </w:rPr>
                  </w:pPr>
                  <w:r>
                    <w:rPr>
                      <w:b/>
                      <w:strike w:val="0"/>
                      <w:dstrike w:val="0"/>
                      <w:color w:val="auto"/>
                      <w:szCs w:val="21"/>
                      <w:highlight w:val="none"/>
                    </w:rPr>
                    <w:t>类别</w:t>
                  </w:r>
                </w:p>
              </w:tc>
              <w:tc>
                <w:tcPr>
                  <w:tcW w:w="1565" w:type="pct"/>
                  <w:vAlign w:val="center"/>
                </w:tcPr>
                <w:p w14:paraId="278EEC81">
                  <w:pPr>
                    <w:jc w:val="center"/>
                    <w:rPr>
                      <w:b/>
                      <w:strike w:val="0"/>
                      <w:dstrike w:val="0"/>
                      <w:color w:val="auto"/>
                      <w:szCs w:val="21"/>
                      <w:highlight w:val="none"/>
                    </w:rPr>
                  </w:pPr>
                  <w:r>
                    <w:rPr>
                      <w:b/>
                      <w:strike w:val="0"/>
                      <w:dstrike w:val="0"/>
                      <w:color w:val="auto"/>
                      <w:szCs w:val="21"/>
                      <w:highlight w:val="none"/>
                    </w:rPr>
                    <w:t>污染物名称</w:t>
                  </w:r>
                </w:p>
              </w:tc>
              <w:tc>
                <w:tcPr>
                  <w:tcW w:w="1660" w:type="pct"/>
                  <w:tcBorders>
                    <w:right w:val="single" w:color="auto" w:sz="4" w:space="0"/>
                  </w:tcBorders>
                  <w:vAlign w:val="center"/>
                </w:tcPr>
                <w:p w14:paraId="6598C29C">
                  <w:pPr>
                    <w:jc w:val="center"/>
                    <w:rPr>
                      <w:b/>
                      <w:strike w:val="0"/>
                      <w:dstrike w:val="0"/>
                      <w:color w:val="auto"/>
                      <w:szCs w:val="21"/>
                      <w:highlight w:val="none"/>
                    </w:rPr>
                  </w:pPr>
                  <w:r>
                    <w:rPr>
                      <w:b/>
                      <w:strike w:val="0"/>
                      <w:dstrike w:val="0"/>
                      <w:color w:val="auto"/>
                      <w:szCs w:val="21"/>
                      <w:highlight w:val="none"/>
                    </w:rPr>
                    <w:t>本项目</w:t>
                  </w:r>
                  <w:r>
                    <w:rPr>
                      <w:rFonts w:hint="eastAsia"/>
                      <w:b/>
                      <w:strike w:val="0"/>
                      <w:dstrike w:val="0"/>
                      <w:color w:val="auto"/>
                      <w:szCs w:val="21"/>
                      <w:highlight w:val="none"/>
                      <w:lang w:val="en-US" w:eastAsia="zh-CN"/>
                    </w:rPr>
                    <w:t>总量</w:t>
                  </w:r>
                  <w:r>
                    <w:rPr>
                      <w:b/>
                      <w:strike w:val="0"/>
                      <w:dstrike w:val="0"/>
                      <w:color w:val="auto"/>
                      <w:szCs w:val="21"/>
                      <w:highlight w:val="none"/>
                    </w:rPr>
                    <w:t>控制指标</w:t>
                  </w:r>
                </w:p>
              </w:tc>
            </w:tr>
            <w:tr w14:paraId="26DDDE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774" w:type="pct"/>
                  <w:vMerge w:val="restart"/>
                  <w:vAlign w:val="center"/>
                </w:tcPr>
                <w:p w14:paraId="3A217405">
                  <w:pPr>
                    <w:jc w:val="center"/>
                    <w:rPr>
                      <w:strike w:val="0"/>
                      <w:dstrike w:val="0"/>
                      <w:color w:val="auto"/>
                      <w:szCs w:val="21"/>
                      <w:highlight w:val="none"/>
                    </w:rPr>
                  </w:pPr>
                  <w:r>
                    <w:rPr>
                      <w:strike w:val="0"/>
                      <w:dstrike w:val="0"/>
                      <w:color w:val="auto"/>
                      <w:szCs w:val="21"/>
                      <w:highlight w:val="none"/>
                    </w:rPr>
                    <w:t>废水</w:t>
                  </w:r>
                </w:p>
              </w:tc>
              <w:tc>
                <w:tcPr>
                  <w:tcW w:w="1565" w:type="pct"/>
                  <w:vAlign w:val="center"/>
                </w:tcPr>
                <w:p w14:paraId="082654D0">
                  <w:pPr>
                    <w:jc w:val="center"/>
                    <w:rPr>
                      <w:strike w:val="0"/>
                      <w:dstrike w:val="0"/>
                      <w:color w:val="auto"/>
                      <w:szCs w:val="21"/>
                      <w:highlight w:val="none"/>
                    </w:rPr>
                  </w:pPr>
                  <w:r>
                    <w:rPr>
                      <w:strike w:val="0"/>
                      <w:dstrike w:val="0"/>
                      <w:color w:val="auto"/>
                      <w:szCs w:val="21"/>
                      <w:highlight w:val="none"/>
                    </w:rPr>
                    <w:t>COD</w:t>
                  </w:r>
                </w:p>
              </w:tc>
              <w:tc>
                <w:tcPr>
                  <w:tcW w:w="1660" w:type="pct"/>
                  <w:tcBorders>
                    <w:right w:val="single" w:color="auto" w:sz="4" w:space="0"/>
                  </w:tcBorders>
                  <w:shd w:val="clear" w:color="auto" w:fill="auto"/>
                  <w:vAlign w:val="center"/>
                </w:tcPr>
                <w:p w14:paraId="6432D1BD">
                  <w:pPr>
                    <w:keepNext w:val="0"/>
                    <w:keepLines w:val="0"/>
                    <w:widowControl/>
                    <w:suppressLineNumbers w:val="0"/>
                    <w:jc w:val="center"/>
                    <w:textAlignment w:val="center"/>
                    <w:rPr>
                      <w:rFonts w:hint="eastAsia"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0.0729 </w:t>
                  </w:r>
                </w:p>
              </w:tc>
            </w:tr>
            <w:tr w14:paraId="49815E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774" w:type="pct"/>
                  <w:vMerge w:val="continue"/>
                  <w:vAlign w:val="center"/>
                </w:tcPr>
                <w:p w14:paraId="17F8643F">
                  <w:pPr>
                    <w:jc w:val="center"/>
                    <w:rPr>
                      <w:strike w:val="0"/>
                      <w:dstrike w:val="0"/>
                      <w:color w:val="auto"/>
                      <w:szCs w:val="21"/>
                      <w:highlight w:val="none"/>
                    </w:rPr>
                  </w:pPr>
                </w:p>
              </w:tc>
              <w:tc>
                <w:tcPr>
                  <w:tcW w:w="1565" w:type="pct"/>
                  <w:vAlign w:val="center"/>
                </w:tcPr>
                <w:p w14:paraId="3B55F1B3">
                  <w:pPr>
                    <w:jc w:val="center"/>
                    <w:rPr>
                      <w:strike w:val="0"/>
                      <w:dstrike w:val="0"/>
                      <w:color w:val="auto"/>
                      <w:szCs w:val="21"/>
                      <w:highlight w:val="none"/>
                    </w:rPr>
                  </w:pPr>
                  <w:r>
                    <w:rPr>
                      <w:strike w:val="0"/>
                      <w:dstrike w:val="0"/>
                      <w:color w:val="auto"/>
                      <w:szCs w:val="21"/>
                      <w:highlight w:val="none"/>
                    </w:rPr>
                    <w:t>NH</w:t>
                  </w:r>
                  <w:r>
                    <w:rPr>
                      <w:strike w:val="0"/>
                      <w:dstrike w:val="0"/>
                      <w:color w:val="auto"/>
                      <w:szCs w:val="21"/>
                      <w:highlight w:val="none"/>
                      <w:vertAlign w:val="subscript"/>
                    </w:rPr>
                    <w:t>3</w:t>
                  </w:r>
                  <w:r>
                    <w:rPr>
                      <w:strike w:val="0"/>
                      <w:dstrike w:val="0"/>
                      <w:color w:val="auto"/>
                      <w:szCs w:val="21"/>
                      <w:highlight w:val="none"/>
                    </w:rPr>
                    <w:t>-N</w:t>
                  </w:r>
                </w:p>
              </w:tc>
              <w:tc>
                <w:tcPr>
                  <w:tcW w:w="1660" w:type="pct"/>
                  <w:tcBorders>
                    <w:right w:val="single" w:color="auto" w:sz="4" w:space="0"/>
                  </w:tcBorders>
                  <w:shd w:val="clear" w:color="auto" w:fill="auto"/>
                  <w:vAlign w:val="center"/>
                </w:tcPr>
                <w:p w14:paraId="17A7A088">
                  <w:pPr>
                    <w:keepNext w:val="0"/>
                    <w:keepLines w:val="0"/>
                    <w:widowControl/>
                    <w:suppressLineNumbers w:val="0"/>
                    <w:jc w:val="center"/>
                    <w:textAlignment w:val="center"/>
                    <w:rPr>
                      <w:rFonts w:hint="eastAsia"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0.0117 </w:t>
                  </w:r>
                </w:p>
              </w:tc>
            </w:tr>
          </w:tbl>
          <w:p w14:paraId="25FC25D1">
            <w:pPr>
              <w:adjustRightInd w:val="0"/>
              <w:snapToGrid w:val="0"/>
              <w:spacing w:line="360" w:lineRule="auto"/>
              <w:ind w:firstLine="480" w:firstLineChars="200"/>
              <w:rPr>
                <w:strike w:val="0"/>
                <w:dstrike w:val="0"/>
                <w:color w:val="auto"/>
                <w:sz w:val="24"/>
                <w:highlight w:val="none"/>
              </w:rPr>
            </w:pPr>
          </w:p>
          <w:p w14:paraId="1E5ABF9D">
            <w:pPr>
              <w:pStyle w:val="38"/>
              <w:tabs>
                <w:tab w:val="left" w:pos="2065"/>
                <w:tab w:val="clear" w:pos="540"/>
                <w:tab w:val="clear" w:pos="1800"/>
              </w:tabs>
              <w:ind w:firstLine="0"/>
              <w:rPr>
                <w:rFonts w:hint="eastAsia" w:ascii="Times New Roman" w:hAnsi="Times New Roman" w:eastAsia="宋体" w:cs="Times New Roman"/>
                <w:strike w:val="0"/>
                <w:dstrike w:val="0"/>
                <w:color w:val="auto"/>
                <w:highlight w:val="none"/>
                <w:lang w:eastAsia="zh-CN"/>
              </w:rPr>
            </w:pPr>
            <w:r>
              <w:rPr>
                <w:rFonts w:hint="eastAsia" w:ascii="Times New Roman" w:hAnsi="Times New Roman" w:cs="Times New Roman"/>
                <w:strike w:val="0"/>
                <w:dstrike w:val="0"/>
                <w:color w:val="auto"/>
                <w:highlight w:val="none"/>
                <w:lang w:eastAsia="zh-CN"/>
              </w:rPr>
              <w:tab/>
            </w:r>
          </w:p>
          <w:p w14:paraId="2074C046">
            <w:pPr>
              <w:adjustRightInd w:val="0"/>
              <w:snapToGrid w:val="0"/>
              <w:spacing w:line="360" w:lineRule="auto"/>
              <w:rPr>
                <w:strike w:val="0"/>
                <w:dstrike w:val="0"/>
                <w:color w:val="auto"/>
                <w:sz w:val="24"/>
                <w:highlight w:val="none"/>
              </w:rPr>
            </w:pPr>
          </w:p>
          <w:p w14:paraId="64093487">
            <w:pPr>
              <w:adjustRightInd w:val="0"/>
              <w:snapToGrid w:val="0"/>
              <w:spacing w:line="360" w:lineRule="auto"/>
              <w:rPr>
                <w:strike w:val="0"/>
                <w:dstrike w:val="0"/>
                <w:color w:val="auto"/>
                <w:sz w:val="24"/>
                <w:highlight w:val="none"/>
              </w:rPr>
            </w:pPr>
          </w:p>
          <w:p w14:paraId="10790DC1">
            <w:pPr>
              <w:adjustRightInd w:val="0"/>
              <w:snapToGrid w:val="0"/>
              <w:spacing w:line="360" w:lineRule="auto"/>
              <w:rPr>
                <w:strike w:val="0"/>
                <w:dstrike w:val="0"/>
                <w:color w:val="auto"/>
                <w:sz w:val="24"/>
                <w:highlight w:val="none"/>
              </w:rPr>
            </w:pPr>
          </w:p>
          <w:p w14:paraId="536BF22E">
            <w:pPr>
              <w:adjustRightInd w:val="0"/>
              <w:snapToGrid w:val="0"/>
              <w:spacing w:line="360" w:lineRule="auto"/>
              <w:rPr>
                <w:strike w:val="0"/>
                <w:dstrike w:val="0"/>
                <w:color w:val="auto"/>
                <w:sz w:val="24"/>
                <w:highlight w:val="none"/>
              </w:rPr>
            </w:pPr>
          </w:p>
        </w:tc>
      </w:tr>
    </w:tbl>
    <w:p w14:paraId="14424B95">
      <w:pPr>
        <w:rPr>
          <w:rFonts w:eastAsia="黑体"/>
          <w:strike w:val="0"/>
          <w:dstrike w:val="0"/>
          <w:snapToGrid w:val="0"/>
          <w:color w:val="auto"/>
          <w:sz w:val="30"/>
          <w:szCs w:val="30"/>
          <w:highlight w:val="none"/>
        </w:rPr>
      </w:pPr>
      <w:r>
        <w:rPr>
          <w:rFonts w:eastAsia="黑体"/>
          <w:strike w:val="0"/>
          <w:dstrike w:val="0"/>
          <w:snapToGrid w:val="0"/>
          <w:color w:val="auto"/>
          <w:sz w:val="30"/>
          <w:szCs w:val="30"/>
          <w:highlight w:val="none"/>
        </w:rPr>
        <w:br w:type="page"/>
      </w:r>
    </w:p>
    <w:p w14:paraId="3D14B8A9">
      <w:pPr>
        <w:pStyle w:val="18"/>
        <w:spacing w:before="0" w:beforeAutospacing="0" w:after="0" w:afterAutospacing="0"/>
        <w:jc w:val="center"/>
        <w:outlineLvl w:val="0"/>
        <w:rPr>
          <w:rFonts w:ascii="Times New Roman" w:hAnsi="Times New Roman" w:eastAsia="黑体"/>
          <w:strike w:val="0"/>
          <w:dstrike w:val="0"/>
          <w:snapToGrid w:val="0"/>
          <w:color w:val="auto"/>
          <w:sz w:val="30"/>
          <w:szCs w:val="30"/>
          <w:highlight w:val="none"/>
        </w:rPr>
      </w:pPr>
      <w:r>
        <w:rPr>
          <w:rFonts w:ascii="Times New Roman" w:hAnsi="Times New Roman" w:eastAsia="黑体"/>
          <w:strike w:val="0"/>
          <w:dstrike w:val="0"/>
          <w:snapToGrid w:val="0"/>
          <w:color w:val="auto"/>
          <w:sz w:val="30"/>
          <w:szCs w:val="30"/>
          <w:highlight w:val="none"/>
        </w:rPr>
        <w:t>四、主要环境影响和保护措施</w:t>
      </w:r>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569"/>
      </w:tblGrid>
      <w:tr w14:paraId="5E6BD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2" w:type="dxa"/>
            <w:tcMar>
              <w:left w:w="28" w:type="dxa"/>
              <w:right w:w="28" w:type="dxa"/>
            </w:tcMar>
            <w:vAlign w:val="center"/>
          </w:tcPr>
          <w:p w14:paraId="1381C863">
            <w:pPr>
              <w:pStyle w:val="18"/>
              <w:adjustRightInd w:val="0"/>
              <w:snapToGrid w:val="0"/>
              <w:spacing w:before="0" w:beforeAutospacing="0" w:after="0" w:afterAutospacing="0"/>
              <w:jc w:val="center"/>
              <w:rPr>
                <w:rFonts w:ascii="Times New Roman" w:hAnsi="Times New Roman"/>
                <w:strike w:val="0"/>
                <w:dstrike w:val="0"/>
                <w:color w:val="auto"/>
                <w:kern w:val="2"/>
                <w:szCs w:val="24"/>
                <w:highlight w:val="none"/>
              </w:rPr>
            </w:pPr>
            <w:r>
              <w:rPr>
                <w:rFonts w:ascii="Times New Roman" w:hAnsi="Times New Roman"/>
                <w:strike w:val="0"/>
                <w:dstrike w:val="0"/>
                <w:color w:val="auto"/>
                <w:kern w:val="2"/>
                <w:szCs w:val="24"/>
                <w:highlight w:val="none"/>
              </w:rPr>
              <w:t>施工</w:t>
            </w:r>
          </w:p>
          <w:p w14:paraId="138F0B1D">
            <w:pPr>
              <w:pStyle w:val="18"/>
              <w:adjustRightInd w:val="0"/>
              <w:snapToGrid w:val="0"/>
              <w:spacing w:before="0" w:beforeAutospacing="0" w:after="0" w:afterAutospacing="0"/>
              <w:jc w:val="center"/>
              <w:rPr>
                <w:rFonts w:ascii="Times New Roman" w:hAnsi="Times New Roman"/>
                <w:strike w:val="0"/>
                <w:dstrike w:val="0"/>
                <w:color w:val="auto"/>
                <w:kern w:val="2"/>
                <w:szCs w:val="24"/>
                <w:highlight w:val="none"/>
              </w:rPr>
            </w:pPr>
            <w:r>
              <w:rPr>
                <w:rFonts w:ascii="Times New Roman" w:hAnsi="Times New Roman"/>
                <w:strike w:val="0"/>
                <w:dstrike w:val="0"/>
                <w:color w:val="auto"/>
                <w:kern w:val="2"/>
                <w:szCs w:val="24"/>
                <w:highlight w:val="none"/>
              </w:rPr>
              <w:t>期环</w:t>
            </w:r>
          </w:p>
          <w:p w14:paraId="478E4F70">
            <w:pPr>
              <w:pStyle w:val="18"/>
              <w:adjustRightInd w:val="0"/>
              <w:snapToGrid w:val="0"/>
              <w:spacing w:before="0" w:beforeAutospacing="0" w:after="0" w:afterAutospacing="0"/>
              <w:jc w:val="center"/>
              <w:rPr>
                <w:rFonts w:ascii="Times New Roman" w:hAnsi="Times New Roman"/>
                <w:strike w:val="0"/>
                <w:dstrike w:val="0"/>
                <w:color w:val="auto"/>
                <w:kern w:val="2"/>
                <w:szCs w:val="24"/>
                <w:highlight w:val="none"/>
              </w:rPr>
            </w:pPr>
            <w:r>
              <w:rPr>
                <w:rFonts w:ascii="Times New Roman" w:hAnsi="Times New Roman"/>
                <w:strike w:val="0"/>
                <w:dstrike w:val="0"/>
                <w:color w:val="auto"/>
                <w:kern w:val="2"/>
                <w:szCs w:val="24"/>
                <w:highlight w:val="none"/>
              </w:rPr>
              <w:t>境保</w:t>
            </w:r>
          </w:p>
          <w:p w14:paraId="36647D1A">
            <w:pPr>
              <w:pStyle w:val="18"/>
              <w:adjustRightInd w:val="0"/>
              <w:snapToGrid w:val="0"/>
              <w:spacing w:before="0" w:beforeAutospacing="0" w:after="0" w:afterAutospacing="0"/>
              <w:jc w:val="center"/>
              <w:rPr>
                <w:rFonts w:ascii="Times New Roman" w:hAnsi="Times New Roman"/>
                <w:strike w:val="0"/>
                <w:dstrike w:val="0"/>
                <w:color w:val="auto"/>
                <w:kern w:val="2"/>
                <w:szCs w:val="24"/>
                <w:highlight w:val="none"/>
              </w:rPr>
            </w:pPr>
            <w:r>
              <w:rPr>
                <w:rFonts w:ascii="Times New Roman" w:hAnsi="Times New Roman"/>
                <w:strike w:val="0"/>
                <w:dstrike w:val="0"/>
                <w:color w:val="auto"/>
                <w:kern w:val="2"/>
                <w:szCs w:val="24"/>
                <w:highlight w:val="none"/>
              </w:rPr>
              <w:t>护措</w:t>
            </w:r>
          </w:p>
          <w:p w14:paraId="468C8552">
            <w:pPr>
              <w:pStyle w:val="18"/>
              <w:adjustRightInd w:val="0"/>
              <w:snapToGrid w:val="0"/>
              <w:spacing w:before="0" w:beforeAutospacing="0" w:after="0" w:afterAutospacing="0"/>
              <w:jc w:val="center"/>
              <w:rPr>
                <w:rFonts w:ascii="Times New Roman" w:hAnsi="Times New Roman"/>
                <w:bCs/>
                <w:strike w:val="0"/>
                <w:dstrike w:val="0"/>
                <w:color w:val="auto"/>
                <w:kern w:val="2"/>
                <w:sz w:val="21"/>
                <w:szCs w:val="21"/>
                <w:highlight w:val="none"/>
              </w:rPr>
            </w:pPr>
            <w:r>
              <w:rPr>
                <w:rFonts w:ascii="Times New Roman" w:hAnsi="Times New Roman"/>
                <w:strike w:val="0"/>
                <w:dstrike w:val="0"/>
                <w:color w:val="auto"/>
                <w:kern w:val="2"/>
                <w:szCs w:val="24"/>
                <w:highlight w:val="none"/>
              </w:rPr>
              <w:t>施</w:t>
            </w:r>
          </w:p>
        </w:tc>
        <w:tc>
          <w:tcPr>
            <w:tcW w:w="8569" w:type="dxa"/>
          </w:tcPr>
          <w:p w14:paraId="183BB806">
            <w:pPr>
              <w:spacing w:line="360" w:lineRule="auto"/>
              <w:rPr>
                <w:b/>
                <w:strike w:val="0"/>
                <w:dstrike w:val="0"/>
                <w:color w:val="auto"/>
                <w:sz w:val="24"/>
                <w:highlight w:val="none"/>
              </w:rPr>
            </w:pPr>
            <w:r>
              <w:rPr>
                <w:b/>
                <w:strike w:val="0"/>
                <w:dstrike w:val="0"/>
                <w:color w:val="auto"/>
                <w:sz w:val="24"/>
                <w:highlight w:val="none"/>
              </w:rPr>
              <w:t>4.1施工期环境保护措施</w:t>
            </w:r>
          </w:p>
          <w:p w14:paraId="52DEB2C5">
            <w:pPr>
              <w:autoSpaceDE w:val="0"/>
              <w:autoSpaceDN w:val="0"/>
              <w:spacing w:line="360" w:lineRule="auto"/>
              <w:ind w:firstLine="480" w:firstLineChars="200"/>
              <w:rPr>
                <w:rStyle w:val="29"/>
                <w:strike w:val="0"/>
                <w:dstrike w:val="0"/>
                <w:color w:val="auto"/>
                <w:kern w:val="0"/>
                <w:szCs w:val="20"/>
                <w:highlight w:val="none"/>
              </w:rPr>
            </w:pPr>
            <w:r>
              <w:rPr>
                <w:strike w:val="0"/>
                <w:dstrike w:val="0"/>
                <w:color w:val="auto"/>
                <w:sz w:val="24"/>
                <w:highlight w:val="none"/>
              </w:rPr>
              <w:t>本项目施工期的主要工作为地基的开挖、站房的建设、设备安装等施工工序。</w:t>
            </w:r>
          </w:p>
          <w:p w14:paraId="1F3A2AB3">
            <w:pPr>
              <w:pStyle w:val="6"/>
              <w:keepNext w:val="0"/>
              <w:keepLines w:val="0"/>
              <w:pageBreakBefore w:val="0"/>
              <w:widowControl w:val="0"/>
              <w:kinsoku/>
              <w:wordWrap/>
              <w:overflowPunct/>
              <w:topLinePunct w:val="0"/>
              <w:bidi w:val="0"/>
              <w:snapToGrid/>
              <w:spacing w:line="360" w:lineRule="auto"/>
              <w:ind w:left="0" w:firstLine="480" w:firstLineChars="200"/>
              <w:jc w:val="both"/>
              <w:rPr>
                <w:rFonts w:hint="default" w:ascii="Times New Roman" w:hAnsi="Times New Roman" w:eastAsia="宋体" w:cs="Times New Roman"/>
                <w:strike w:val="0"/>
                <w:dstrike w:val="0"/>
                <w:color w:val="auto"/>
                <w:kern w:val="2"/>
                <w:sz w:val="24"/>
                <w:szCs w:val="24"/>
                <w:highlight w:val="none"/>
                <w:lang w:val="en-US" w:eastAsia="zh-CN" w:bidi="ar-SA"/>
              </w:rPr>
            </w:pPr>
            <w:r>
              <w:rPr>
                <w:rFonts w:hint="default" w:ascii="Times New Roman" w:hAnsi="Times New Roman" w:eastAsia="宋体" w:cs="Times New Roman"/>
                <w:strike w:val="0"/>
                <w:dstrike w:val="0"/>
                <w:color w:val="auto"/>
                <w:kern w:val="2"/>
                <w:sz w:val="24"/>
                <w:szCs w:val="24"/>
                <w:highlight w:val="none"/>
                <w:lang w:val="en-US" w:eastAsia="zh-CN" w:bidi="ar-SA"/>
              </w:rPr>
              <w:t>施工期</w:t>
            </w:r>
            <w:r>
              <w:rPr>
                <w:rFonts w:hint="eastAsia" w:ascii="Times New Roman" w:hAnsi="Times New Roman" w:eastAsia="宋体" w:cs="Times New Roman"/>
                <w:strike w:val="0"/>
                <w:dstrike w:val="0"/>
                <w:color w:val="auto"/>
                <w:kern w:val="2"/>
                <w:sz w:val="24"/>
                <w:szCs w:val="24"/>
                <w:highlight w:val="none"/>
                <w:lang w:val="en-US" w:eastAsia="zh-CN" w:bidi="ar-SA"/>
              </w:rPr>
              <w:t>废气主要</w:t>
            </w:r>
            <w:r>
              <w:rPr>
                <w:rFonts w:hint="default" w:ascii="Times New Roman" w:hAnsi="Times New Roman" w:eastAsia="宋体" w:cs="Times New Roman"/>
                <w:strike w:val="0"/>
                <w:dstrike w:val="0"/>
                <w:color w:val="auto"/>
                <w:kern w:val="2"/>
                <w:sz w:val="24"/>
                <w:szCs w:val="24"/>
                <w:highlight w:val="none"/>
                <w:lang w:val="en-US" w:eastAsia="zh-CN" w:bidi="ar-SA"/>
              </w:rPr>
              <w:t>为燃油动力机械的燃油废气、施工粉尘、站房室内装修废气。</w:t>
            </w:r>
          </w:p>
          <w:p w14:paraId="07F098AA">
            <w:pPr>
              <w:pStyle w:val="6"/>
              <w:keepNext w:val="0"/>
              <w:keepLines w:val="0"/>
              <w:pageBreakBefore w:val="0"/>
              <w:widowControl w:val="0"/>
              <w:kinsoku/>
              <w:wordWrap/>
              <w:overflowPunct/>
              <w:topLinePunct w:val="0"/>
              <w:bidi w:val="0"/>
              <w:snapToGrid/>
              <w:spacing w:line="360" w:lineRule="auto"/>
              <w:ind w:left="0" w:firstLine="480" w:firstLineChars="200"/>
              <w:jc w:val="both"/>
              <w:rPr>
                <w:rFonts w:hint="default" w:ascii="Times New Roman" w:hAnsi="Times New Roman" w:eastAsia="宋体" w:cs="Times New Roman"/>
                <w:strike w:val="0"/>
                <w:dstrike w:val="0"/>
                <w:color w:val="auto"/>
                <w:kern w:val="2"/>
                <w:sz w:val="24"/>
                <w:szCs w:val="24"/>
                <w:highlight w:val="none"/>
                <w:lang w:val="en-US" w:eastAsia="zh-CN" w:bidi="ar-SA"/>
              </w:rPr>
            </w:pPr>
            <w:r>
              <w:rPr>
                <w:rFonts w:hint="default" w:ascii="Times New Roman" w:hAnsi="Times New Roman" w:eastAsia="宋体" w:cs="Times New Roman"/>
                <w:strike w:val="0"/>
                <w:dstrike w:val="0"/>
                <w:color w:val="auto"/>
                <w:kern w:val="2"/>
                <w:sz w:val="24"/>
                <w:szCs w:val="24"/>
                <w:highlight w:val="none"/>
                <w:lang w:val="en-US" w:eastAsia="zh-CN" w:bidi="ar-SA"/>
              </w:rPr>
              <w:t>施工期废水主要包括施工废水以及施工人员生活污水等。</w:t>
            </w:r>
          </w:p>
          <w:p w14:paraId="733712B4">
            <w:pPr>
              <w:pStyle w:val="6"/>
              <w:keepNext w:val="0"/>
              <w:keepLines w:val="0"/>
              <w:pageBreakBefore w:val="0"/>
              <w:widowControl w:val="0"/>
              <w:kinsoku/>
              <w:wordWrap/>
              <w:overflowPunct/>
              <w:topLinePunct w:val="0"/>
              <w:bidi w:val="0"/>
              <w:snapToGrid/>
              <w:spacing w:line="360" w:lineRule="auto"/>
              <w:ind w:left="0" w:firstLine="480" w:firstLineChars="200"/>
              <w:jc w:val="both"/>
              <w:rPr>
                <w:rFonts w:hint="default" w:ascii="Times New Roman" w:hAnsi="Times New Roman" w:eastAsia="宋体" w:cs="Times New Roman"/>
                <w:strike w:val="0"/>
                <w:dstrike w:val="0"/>
                <w:color w:val="auto"/>
                <w:kern w:val="2"/>
                <w:sz w:val="24"/>
                <w:szCs w:val="24"/>
                <w:highlight w:val="none"/>
                <w:lang w:val="en-US" w:eastAsia="zh-CN" w:bidi="ar-SA"/>
              </w:rPr>
            </w:pPr>
            <w:r>
              <w:rPr>
                <w:rFonts w:hint="default" w:ascii="Times New Roman" w:hAnsi="Times New Roman" w:eastAsia="宋体" w:cs="Times New Roman"/>
                <w:strike w:val="0"/>
                <w:dstrike w:val="0"/>
                <w:color w:val="auto"/>
                <w:kern w:val="2"/>
                <w:sz w:val="24"/>
                <w:szCs w:val="24"/>
                <w:highlight w:val="none"/>
                <w:lang w:val="en-US" w:eastAsia="zh-CN" w:bidi="ar-SA"/>
              </w:rPr>
              <w:t>施工期噪声主要源于各类机械设备噪声和运输车辆引起的交通噪声。</w:t>
            </w:r>
          </w:p>
          <w:p w14:paraId="46FC8ACE">
            <w:pPr>
              <w:pStyle w:val="6"/>
              <w:keepNext w:val="0"/>
              <w:keepLines w:val="0"/>
              <w:pageBreakBefore w:val="0"/>
              <w:widowControl w:val="0"/>
              <w:kinsoku/>
              <w:wordWrap/>
              <w:overflowPunct/>
              <w:topLinePunct w:val="0"/>
              <w:bidi w:val="0"/>
              <w:snapToGrid/>
              <w:spacing w:line="360" w:lineRule="auto"/>
              <w:ind w:left="0" w:firstLine="480" w:firstLineChars="200"/>
              <w:jc w:val="both"/>
              <w:rPr>
                <w:rFonts w:hint="default" w:ascii="Times New Roman" w:hAnsi="Times New Roman" w:eastAsia="宋体" w:cs="Times New Roman"/>
                <w:strike w:val="0"/>
                <w:dstrike w:val="0"/>
                <w:color w:val="auto"/>
                <w:kern w:val="2"/>
                <w:sz w:val="24"/>
                <w:szCs w:val="24"/>
                <w:highlight w:val="none"/>
                <w:lang w:val="en-US" w:eastAsia="zh-CN" w:bidi="ar-SA"/>
              </w:rPr>
            </w:pPr>
            <w:r>
              <w:rPr>
                <w:rFonts w:hint="default" w:ascii="Times New Roman" w:hAnsi="Times New Roman" w:eastAsia="宋体" w:cs="Times New Roman"/>
                <w:strike w:val="0"/>
                <w:dstrike w:val="0"/>
                <w:color w:val="auto"/>
                <w:kern w:val="2"/>
                <w:sz w:val="24"/>
                <w:szCs w:val="24"/>
                <w:highlight w:val="none"/>
                <w:lang w:val="en-US" w:eastAsia="zh-CN" w:bidi="ar-SA"/>
              </w:rPr>
              <w:t>施工期产生的固体废物主要是施工建筑垃圾、弃土方量以及施工人员产生的生活垃圾等。</w:t>
            </w:r>
          </w:p>
          <w:p w14:paraId="11D4B144">
            <w:pPr>
              <w:keepNext w:val="0"/>
              <w:keepLines w:val="0"/>
              <w:pageBreakBefore w:val="0"/>
              <w:widowControl w:val="0"/>
              <w:kinsoku/>
              <w:wordWrap/>
              <w:overflowPunct/>
              <w:topLinePunct w:val="0"/>
              <w:bidi w:val="0"/>
              <w:snapToGrid/>
              <w:spacing w:line="360" w:lineRule="auto"/>
              <w:ind w:firstLine="480" w:firstLineChars="200"/>
              <w:rPr>
                <w:rFonts w:hint="default"/>
                <w:strike w:val="0"/>
                <w:dstrike w:val="0"/>
                <w:color w:val="auto"/>
                <w:sz w:val="24"/>
                <w:szCs w:val="24"/>
                <w:highlight w:val="none"/>
                <w:lang w:val="en-US" w:eastAsia="zh-CN"/>
              </w:rPr>
            </w:pPr>
            <w:r>
              <w:rPr>
                <w:strike w:val="0"/>
                <w:dstrike w:val="0"/>
                <w:color w:val="auto"/>
                <w:sz w:val="24"/>
                <w:szCs w:val="24"/>
                <w:highlight w:val="none"/>
              </w:rPr>
              <w:t>本评价将针对本项目施工场地和施工期的环境影响特点，对其环境影响进行分析。</w:t>
            </w:r>
          </w:p>
          <w:p w14:paraId="60415E58">
            <w:pPr>
              <w:adjustRightInd w:val="0"/>
              <w:snapToGrid w:val="0"/>
              <w:spacing w:line="360" w:lineRule="auto"/>
              <w:rPr>
                <w:b/>
                <w:bCs/>
                <w:strike w:val="0"/>
                <w:dstrike w:val="0"/>
                <w:color w:val="auto"/>
                <w:spacing w:val="-10"/>
                <w:sz w:val="24"/>
                <w:highlight w:val="none"/>
              </w:rPr>
            </w:pPr>
            <w:r>
              <w:rPr>
                <w:rFonts w:hint="eastAsia"/>
                <w:b/>
                <w:bCs/>
                <w:strike w:val="0"/>
                <w:dstrike w:val="0"/>
                <w:color w:val="auto"/>
                <w:spacing w:val="-10"/>
                <w:sz w:val="24"/>
                <w:highlight w:val="none"/>
              </w:rPr>
              <w:t>4</w:t>
            </w:r>
            <w:r>
              <w:rPr>
                <w:b/>
                <w:bCs/>
                <w:strike w:val="0"/>
                <w:dstrike w:val="0"/>
                <w:color w:val="auto"/>
                <w:spacing w:val="-10"/>
                <w:sz w:val="24"/>
                <w:highlight w:val="none"/>
              </w:rPr>
              <w:t>.1.1</w:t>
            </w:r>
            <w:r>
              <w:rPr>
                <w:rFonts w:hint="eastAsia"/>
                <w:b/>
                <w:bCs/>
                <w:strike w:val="0"/>
                <w:dstrike w:val="0"/>
                <w:color w:val="auto"/>
                <w:spacing w:val="-10"/>
                <w:sz w:val="24"/>
                <w:highlight w:val="none"/>
              </w:rPr>
              <w:t>施工期废气污染防治措施</w:t>
            </w:r>
          </w:p>
          <w:p w14:paraId="219694A7">
            <w:p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（1）加强施工期环境管理，对进出建筑工地运输车辆，必须冲洗干净，严禁带泥上路，严禁超载。装载建筑材料、建筑垃圾的车辆必须有遮盖和防护措施，以防止建筑材料、建筑垃圾飞扬、洒落和流溢。</w:t>
            </w:r>
          </w:p>
          <w:p w14:paraId="6E1BA135">
            <w:p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（2）施工现场粉性材料必须入库保管，</w:t>
            </w:r>
            <w:bookmarkStart w:id="80" w:name="OfficeAI_Add_1_19"/>
            <w:r>
              <w:rPr>
                <w:rFonts w:hint="eastAsia"/>
                <w:strike w:val="0"/>
                <w:dstrike w:val="0"/>
                <w:color w:val="auto"/>
                <w:kern w:val="0"/>
                <w:sz w:val="24"/>
                <w:highlight w:val="none"/>
                <w:lang w:eastAsia="zh-CN" w:bidi="ar"/>
              </w:rPr>
              <w:t>砂</w:t>
            </w:r>
            <w:bookmarkEnd w:id="80"/>
            <w:r>
              <w:rPr>
                <w:strike w:val="0"/>
                <w:dstrike w:val="0"/>
                <w:color w:val="auto"/>
                <w:kern w:val="0"/>
                <w:sz w:val="24"/>
                <w:highlight w:val="none"/>
                <w:lang w:bidi="ar"/>
              </w:rPr>
              <w:t>石料必须覆盖，禁止在道路和人行道上堆放或转运易扬尘的建筑材料。施工过程中，易产生扬尘的工序必须采取降尘措施，施工现场的浮土必须及时</w:t>
            </w:r>
            <w:bookmarkStart w:id="81" w:name="OfficeAI_Add_1_86"/>
            <w:r>
              <w:rPr>
                <w:rFonts w:hint="eastAsia"/>
                <w:strike w:val="0"/>
                <w:dstrike w:val="0"/>
                <w:color w:val="auto"/>
                <w:kern w:val="0"/>
                <w:sz w:val="24"/>
                <w:highlight w:val="none"/>
                <w:lang w:eastAsia="zh-CN" w:bidi="ar"/>
              </w:rPr>
              <w:t>洒</w:t>
            </w:r>
            <w:bookmarkEnd w:id="81"/>
            <w:r>
              <w:rPr>
                <w:strike w:val="0"/>
                <w:dstrike w:val="0"/>
                <w:color w:val="auto"/>
                <w:kern w:val="0"/>
                <w:sz w:val="24"/>
                <w:highlight w:val="none"/>
                <w:lang w:bidi="ar"/>
              </w:rPr>
              <w:t>水清扫。</w:t>
            </w:r>
          </w:p>
          <w:p w14:paraId="04387EEA">
            <w:p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（3）实行围</w:t>
            </w:r>
            <w:r>
              <w:rPr>
                <w:rFonts w:hint="eastAsia"/>
                <w:strike w:val="0"/>
                <w:dstrike w:val="0"/>
                <w:color w:val="auto"/>
                <w:kern w:val="0"/>
                <w:sz w:val="24"/>
                <w:highlight w:val="none"/>
                <w:lang w:eastAsia="zh-CN" w:bidi="ar"/>
              </w:rPr>
              <w:t>挡</w:t>
            </w:r>
            <w:r>
              <w:rPr>
                <w:strike w:val="0"/>
                <w:dstrike w:val="0"/>
                <w:color w:val="auto"/>
                <w:kern w:val="0"/>
                <w:sz w:val="24"/>
                <w:highlight w:val="none"/>
                <w:lang w:bidi="ar"/>
              </w:rPr>
              <w:t>全封闭施工，围挡高度不低于1.8m，围挡应坚固、稳定、整洁、美观、规范成线，沿工地四周连续设置并进行彩画美化，保证美观。</w:t>
            </w:r>
          </w:p>
          <w:p w14:paraId="71A41096">
            <w:p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（4）加强施工机械的使用管理和保养维修，提高机械设备使用效率，缩短工期，降低燃油机械废气排放，将其不利影响降至最低。</w:t>
            </w:r>
          </w:p>
          <w:p w14:paraId="54AC3064">
            <w:p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（5）严禁在施工现场排放有毒烟尘和气体，施工人员的生活燃料应使用液化气或天然气，施工场地不得以煤作为燃料。</w:t>
            </w:r>
          </w:p>
          <w:p w14:paraId="08A6F856">
            <w:p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（6）对未硬化的地面进行洒水防尘</w:t>
            </w:r>
            <w:r>
              <w:rPr>
                <w:rFonts w:hint="eastAsia"/>
                <w:strike w:val="0"/>
                <w:dstrike w:val="0"/>
                <w:color w:val="auto"/>
                <w:kern w:val="0"/>
                <w:sz w:val="24"/>
                <w:highlight w:val="none"/>
                <w:lang w:bidi="ar"/>
              </w:rPr>
              <w:t>。</w:t>
            </w:r>
            <w:r>
              <w:rPr>
                <w:strike w:val="0"/>
                <w:dstrike w:val="0"/>
                <w:color w:val="auto"/>
                <w:kern w:val="0"/>
                <w:sz w:val="24"/>
                <w:highlight w:val="none"/>
                <w:lang w:bidi="ar"/>
              </w:rPr>
              <w:t>合理规划，按施工方案对地面及时进行绿化和硬化，以降低粉尘的影响范围和程度，缩短影响时间。同时根据天气情况实施洒水降尘，减少施工二次扬尘对外环境的影响。</w:t>
            </w:r>
          </w:p>
          <w:p w14:paraId="77887D65">
            <w:pPr>
              <w:spacing w:line="360" w:lineRule="auto"/>
              <w:ind w:firstLine="480" w:firstLineChars="200"/>
              <w:rPr>
                <w:strike w:val="0"/>
                <w:dstrike w:val="0"/>
                <w:color w:val="auto"/>
                <w:sz w:val="24"/>
                <w:highlight w:val="none"/>
              </w:rPr>
            </w:pPr>
            <w:r>
              <w:rPr>
                <w:rFonts w:hint="eastAsia"/>
                <w:strike w:val="0"/>
                <w:dstrike w:val="0"/>
                <w:color w:val="auto"/>
                <w:kern w:val="0"/>
                <w:sz w:val="24"/>
                <w:highlight w:val="none"/>
                <w:lang w:bidi="ar"/>
              </w:rPr>
              <w:t>（7）室内装修采用环保型水性涂料，减少装饰废气的排放。</w:t>
            </w:r>
          </w:p>
          <w:p w14:paraId="78E77256">
            <w:pPr>
              <w:spacing w:line="360" w:lineRule="auto"/>
              <w:rPr>
                <w:b/>
                <w:strike w:val="0"/>
                <w:dstrike w:val="0"/>
                <w:color w:val="auto"/>
                <w:sz w:val="24"/>
                <w:highlight w:val="none"/>
              </w:rPr>
            </w:pPr>
            <w:r>
              <w:rPr>
                <w:b/>
                <w:strike w:val="0"/>
                <w:dstrike w:val="0"/>
                <w:color w:val="auto"/>
                <w:sz w:val="24"/>
                <w:highlight w:val="none"/>
              </w:rPr>
              <w:t>4.1.2</w:t>
            </w:r>
            <w:r>
              <w:rPr>
                <w:rFonts w:hint="eastAsia"/>
                <w:b/>
                <w:strike w:val="0"/>
                <w:dstrike w:val="0"/>
                <w:color w:val="auto"/>
                <w:sz w:val="24"/>
                <w:highlight w:val="none"/>
              </w:rPr>
              <w:t>施工期废水污染防治措施</w:t>
            </w:r>
          </w:p>
          <w:p w14:paraId="60378B38">
            <w:p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（1）在施工场地出口设置车辆冲洗装置及临时</w:t>
            </w:r>
            <w:r>
              <w:rPr>
                <w:rFonts w:hint="eastAsia"/>
                <w:strike w:val="0"/>
                <w:dstrike w:val="0"/>
                <w:color w:val="auto"/>
                <w:kern w:val="0"/>
                <w:sz w:val="24"/>
                <w:highlight w:val="none"/>
                <w:lang w:bidi="ar"/>
              </w:rPr>
              <w:t>隔油沉淀池</w:t>
            </w:r>
            <w:r>
              <w:rPr>
                <w:strike w:val="0"/>
                <w:dstrike w:val="0"/>
                <w:color w:val="auto"/>
                <w:kern w:val="0"/>
                <w:sz w:val="24"/>
                <w:highlight w:val="none"/>
                <w:lang w:bidi="ar"/>
              </w:rPr>
              <w:t>，处理规模为5m</w:t>
            </w:r>
            <w:r>
              <w:rPr>
                <w:strike w:val="0"/>
                <w:dstrike w:val="0"/>
                <w:color w:val="auto"/>
                <w:kern w:val="0"/>
                <w:sz w:val="24"/>
                <w:highlight w:val="none"/>
                <w:vertAlign w:val="superscript"/>
                <w:lang w:bidi="ar"/>
              </w:rPr>
              <w:t>3</w:t>
            </w:r>
            <w:r>
              <w:rPr>
                <w:strike w:val="0"/>
                <w:dstrike w:val="0"/>
                <w:color w:val="auto"/>
                <w:kern w:val="0"/>
                <w:sz w:val="24"/>
                <w:highlight w:val="none"/>
                <w:lang w:bidi="ar"/>
              </w:rPr>
              <w:t>/d。</w:t>
            </w:r>
          </w:p>
          <w:p w14:paraId="27B4201B">
            <w:pPr>
              <w:spacing w:line="360" w:lineRule="auto"/>
              <w:ind w:firstLine="480" w:firstLineChars="200"/>
              <w:rPr>
                <w:strike w:val="0"/>
                <w:dstrike w:val="0"/>
                <w:color w:val="auto"/>
                <w:kern w:val="0"/>
                <w:sz w:val="24"/>
                <w:highlight w:val="none"/>
                <w:lang w:bidi="ar"/>
              </w:rPr>
            </w:pPr>
            <w:r>
              <w:rPr>
                <w:strike w:val="0"/>
                <w:dstrike w:val="0"/>
                <w:color w:val="auto"/>
                <w:kern w:val="0"/>
                <w:sz w:val="24"/>
                <w:highlight w:val="none"/>
                <w:lang w:bidi="ar"/>
              </w:rPr>
              <w:t>（2）对驶出施工场地的施工机械或车辆进行冲洗，冲洗废水经隔油、沉淀处理，处理后上清液回用于场地防尘洒水以及施工机械</w:t>
            </w:r>
            <w:bookmarkStart w:id="82" w:name="OfficeAI_Add_0_58"/>
            <w:r>
              <w:rPr>
                <w:rFonts w:hint="eastAsia"/>
                <w:strike w:val="0"/>
                <w:dstrike w:val="0"/>
                <w:color w:val="auto"/>
                <w:kern w:val="0"/>
                <w:sz w:val="24"/>
                <w:highlight w:val="none"/>
                <w:lang w:eastAsia="zh-CN" w:bidi="ar"/>
              </w:rPr>
              <w:t>和</w:t>
            </w:r>
            <w:bookmarkEnd w:id="82"/>
            <w:r>
              <w:rPr>
                <w:strike w:val="0"/>
                <w:dstrike w:val="0"/>
                <w:color w:val="auto"/>
                <w:kern w:val="0"/>
                <w:sz w:val="24"/>
                <w:highlight w:val="none"/>
                <w:lang w:bidi="ar"/>
              </w:rPr>
              <w:t>运输车辆的冲洗，不外排。施工单位对施工场地用水严格管理，尽量减少废水的产生量。</w:t>
            </w:r>
          </w:p>
          <w:p w14:paraId="7B5BD4CD">
            <w:pPr>
              <w:spacing w:line="360" w:lineRule="auto"/>
              <w:ind w:firstLine="480" w:firstLineChars="200"/>
              <w:rPr>
                <w:strike w:val="0"/>
                <w:dstrike w:val="0"/>
                <w:color w:val="auto"/>
                <w:sz w:val="24"/>
                <w:highlight w:val="none"/>
              </w:rPr>
            </w:pPr>
            <w:r>
              <w:rPr>
                <w:strike w:val="0"/>
                <w:dstrike w:val="0"/>
                <w:color w:val="auto"/>
                <w:kern w:val="0"/>
                <w:sz w:val="24"/>
                <w:highlight w:val="none"/>
                <w:lang w:bidi="ar"/>
              </w:rPr>
              <w:t>（3）生活区以租赁当地民房</w:t>
            </w:r>
            <w:bookmarkStart w:id="83" w:name="OfficeAI_Add_1_13"/>
            <w:r>
              <w:rPr>
                <w:rFonts w:hint="eastAsia"/>
                <w:strike w:val="0"/>
                <w:dstrike w:val="0"/>
                <w:color w:val="auto"/>
                <w:kern w:val="0"/>
                <w:sz w:val="24"/>
                <w:highlight w:val="none"/>
                <w:lang w:eastAsia="zh-CN" w:bidi="ar"/>
              </w:rPr>
              <w:t>的</w:t>
            </w:r>
            <w:bookmarkEnd w:id="83"/>
            <w:r>
              <w:rPr>
                <w:strike w:val="0"/>
                <w:dstrike w:val="0"/>
                <w:color w:val="auto"/>
                <w:kern w:val="0"/>
                <w:sz w:val="24"/>
                <w:highlight w:val="none"/>
                <w:lang w:bidi="ar"/>
              </w:rPr>
              <w:t>形式解决施工人员住宿</w:t>
            </w:r>
            <w:r>
              <w:rPr>
                <w:rFonts w:hint="eastAsia"/>
                <w:strike w:val="0"/>
                <w:dstrike w:val="0"/>
                <w:color w:val="auto"/>
                <w:kern w:val="0"/>
                <w:sz w:val="24"/>
                <w:highlight w:val="none"/>
                <w:lang w:eastAsia="zh-CN" w:bidi="ar"/>
              </w:rPr>
              <w:t>问题</w:t>
            </w:r>
            <w:r>
              <w:rPr>
                <w:rFonts w:hint="eastAsia"/>
                <w:strike w:val="0"/>
                <w:dstrike w:val="0"/>
                <w:color w:val="auto"/>
                <w:kern w:val="0"/>
                <w:sz w:val="24"/>
                <w:highlight w:val="none"/>
                <w:lang w:bidi="ar"/>
              </w:rPr>
              <w:t>。</w:t>
            </w:r>
            <w:r>
              <w:rPr>
                <w:strike w:val="0"/>
                <w:dstrike w:val="0"/>
                <w:color w:val="auto"/>
                <w:kern w:val="0"/>
                <w:sz w:val="24"/>
                <w:highlight w:val="none"/>
                <w:lang w:bidi="ar"/>
              </w:rPr>
              <w:t>施工人员生活污水</w:t>
            </w:r>
            <w:r>
              <w:rPr>
                <w:rFonts w:hint="eastAsia"/>
                <w:strike w:val="0"/>
                <w:dstrike w:val="0"/>
                <w:color w:val="auto"/>
                <w:kern w:val="0"/>
                <w:sz w:val="24"/>
                <w:highlight w:val="none"/>
                <w:lang w:bidi="ar"/>
              </w:rPr>
              <w:t>依托民房现有化粪池</w:t>
            </w:r>
            <w:r>
              <w:rPr>
                <w:strike w:val="0"/>
                <w:dstrike w:val="0"/>
                <w:color w:val="auto"/>
                <w:kern w:val="0"/>
                <w:sz w:val="24"/>
                <w:highlight w:val="none"/>
                <w:lang w:bidi="ar"/>
              </w:rPr>
              <w:t>处理后排入</w:t>
            </w:r>
            <w:r>
              <w:rPr>
                <w:rFonts w:hint="eastAsia"/>
                <w:strike w:val="0"/>
                <w:dstrike w:val="0"/>
                <w:color w:val="auto"/>
                <w:kern w:val="0"/>
                <w:sz w:val="24"/>
                <w:highlight w:val="none"/>
                <w:lang w:bidi="ar"/>
              </w:rPr>
              <w:t>市政</w:t>
            </w:r>
            <w:r>
              <w:rPr>
                <w:strike w:val="0"/>
                <w:dstrike w:val="0"/>
                <w:color w:val="auto"/>
                <w:kern w:val="0"/>
                <w:sz w:val="24"/>
                <w:highlight w:val="none"/>
                <w:lang w:bidi="ar"/>
              </w:rPr>
              <w:t>污水管网。</w:t>
            </w:r>
          </w:p>
          <w:p w14:paraId="08D2624B">
            <w:pPr>
              <w:spacing w:line="360" w:lineRule="auto"/>
              <w:rPr>
                <w:b/>
                <w:strike w:val="0"/>
                <w:dstrike w:val="0"/>
                <w:color w:val="auto"/>
                <w:sz w:val="24"/>
                <w:highlight w:val="none"/>
              </w:rPr>
            </w:pPr>
            <w:r>
              <w:rPr>
                <w:b/>
                <w:strike w:val="0"/>
                <w:dstrike w:val="0"/>
                <w:color w:val="auto"/>
                <w:sz w:val="24"/>
                <w:highlight w:val="none"/>
              </w:rPr>
              <w:t>4.1.3</w:t>
            </w:r>
            <w:r>
              <w:rPr>
                <w:rFonts w:hint="eastAsia"/>
                <w:b/>
                <w:strike w:val="0"/>
                <w:dstrike w:val="0"/>
                <w:color w:val="auto"/>
                <w:sz w:val="24"/>
                <w:highlight w:val="none"/>
              </w:rPr>
              <w:t>施工期噪声污染防治措施</w:t>
            </w:r>
          </w:p>
          <w:p w14:paraId="0E149B18">
            <w:pPr>
              <w:spacing w:line="360" w:lineRule="auto"/>
              <w:ind w:firstLine="480" w:firstLineChars="200"/>
              <w:rPr>
                <w:strike w:val="0"/>
                <w:dstrike w:val="0"/>
                <w:color w:val="auto"/>
                <w:sz w:val="24"/>
                <w:highlight w:val="none"/>
              </w:rPr>
            </w:pPr>
            <w:r>
              <w:rPr>
                <w:strike w:val="0"/>
                <w:dstrike w:val="0"/>
                <w:color w:val="auto"/>
                <w:kern w:val="0"/>
                <w:sz w:val="24"/>
                <w:highlight w:val="none"/>
                <w:lang w:bidi="ar"/>
              </w:rPr>
              <w:t>施工噪声仅发生在施工期间，影响是短期的，并随着施工结束而消失。环</w:t>
            </w:r>
            <w:r>
              <w:rPr>
                <w:strike w:val="0"/>
                <w:dstrike w:val="0"/>
                <w:color w:val="auto"/>
                <w:sz w:val="24"/>
                <w:highlight w:val="none"/>
              </w:rPr>
              <w:t>评要求施工单位应严格参照《重庆市环境噪声污染防治办法》中的有关规定，严格控制噪声污染，并按要求进行施工：</w:t>
            </w:r>
          </w:p>
          <w:p w14:paraId="13838F98">
            <w:pPr>
              <w:spacing w:line="360" w:lineRule="auto"/>
              <w:ind w:firstLine="480" w:firstLineChars="200"/>
              <w:rPr>
                <w:strike w:val="0"/>
                <w:dstrike w:val="0"/>
                <w:color w:val="auto"/>
                <w:sz w:val="24"/>
                <w:highlight w:val="none"/>
              </w:rPr>
            </w:pPr>
            <w:r>
              <w:rPr>
                <w:strike w:val="0"/>
                <w:dstrike w:val="0"/>
                <w:color w:val="auto"/>
                <w:sz w:val="24"/>
                <w:highlight w:val="none"/>
              </w:rPr>
              <w:t>（1）尽量采用先进的施工机械和技术，选用低噪声作业机具，合理安排施工作业时间。</w:t>
            </w:r>
          </w:p>
          <w:p w14:paraId="65F176EE">
            <w:pPr>
              <w:spacing w:line="360" w:lineRule="auto"/>
              <w:ind w:firstLine="480" w:firstLineChars="200"/>
              <w:rPr>
                <w:strike w:val="0"/>
                <w:dstrike w:val="0"/>
                <w:color w:val="auto"/>
                <w:sz w:val="24"/>
                <w:highlight w:val="none"/>
              </w:rPr>
            </w:pPr>
            <w:r>
              <w:rPr>
                <w:strike w:val="0"/>
                <w:dstrike w:val="0"/>
                <w:color w:val="auto"/>
                <w:sz w:val="24"/>
                <w:highlight w:val="none"/>
              </w:rPr>
              <w:t>（2）施工单位应合理安排作业时间，将可能产生强噪声的施工作业安排在白天，并避开休息时段，尽量避免噪声扰民。采用商品混凝土，禁止</w:t>
            </w:r>
            <w:bookmarkStart w:id="84" w:name="OfficeAI_Add_2_63"/>
            <w:r>
              <w:rPr>
                <w:rFonts w:hint="eastAsia"/>
                <w:strike w:val="0"/>
                <w:dstrike w:val="0"/>
                <w:color w:val="auto"/>
                <w:sz w:val="24"/>
                <w:highlight w:val="none"/>
                <w:lang w:eastAsia="zh-CN"/>
              </w:rPr>
              <w:t>使</w:t>
            </w:r>
            <w:bookmarkEnd w:id="84"/>
            <w:r>
              <w:rPr>
                <w:strike w:val="0"/>
                <w:dstrike w:val="0"/>
                <w:color w:val="auto"/>
                <w:sz w:val="24"/>
                <w:highlight w:val="none"/>
              </w:rPr>
              <w:t>用产生连续噪声源的混凝土搅拌机等设备。</w:t>
            </w:r>
          </w:p>
          <w:p w14:paraId="3CE4A3A8">
            <w:pPr>
              <w:spacing w:line="360" w:lineRule="auto"/>
              <w:ind w:firstLine="480" w:firstLineChars="200"/>
              <w:rPr>
                <w:strike w:val="0"/>
                <w:dstrike w:val="0"/>
                <w:color w:val="auto"/>
                <w:sz w:val="24"/>
                <w:highlight w:val="none"/>
              </w:rPr>
            </w:pPr>
            <w:r>
              <w:rPr>
                <w:strike w:val="0"/>
                <w:dstrike w:val="0"/>
                <w:color w:val="auto"/>
                <w:sz w:val="24"/>
                <w:highlight w:val="none"/>
              </w:rPr>
              <w:t>（3）施工单位夜间禁止使用各种打桩机</w:t>
            </w:r>
            <w:r>
              <w:rPr>
                <w:rFonts w:hint="eastAsia"/>
                <w:strike w:val="0"/>
                <w:dstrike w:val="0"/>
                <w:color w:val="auto"/>
                <w:sz w:val="24"/>
                <w:highlight w:val="none"/>
              </w:rPr>
              <w:t>。</w:t>
            </w:r>
            <w:r>
              <w:rPr>
                <w:strike w:val="0"/>
                <w:dstrike w:val="0"/>
                <w:color w:val="auto"/>
                <w:sz w:val="24"/>
                <w:highlight w:val="none"/>
              </w:rPr>
              <w:t>施工单位在使用推土机、挖掘机、装载机、打桩机、振捣棒、电锯、吊车、升降机等机具的时候昼、夜间场界噪声必须满足国家规定的噪声限值。</w:t>
            </w:r>
          </w:p>
          <w:p w14:paraId="4040E391">
            <w:pPr>
              <w:spacing w:line="360" w:lineRule="auto"/>
              <w:ind w:firstLine="480" w:firstLineChars="200"/>
              <w:rPr>
                <w:strike w:val="0"/>
                <w:dstrike w:val="0"/>
                <w:color w:val="auto"/>
                <w:sz w:val="24"/>
                <w:highlight w:val="none"/>
              </w:rPr>
            </w:pPr>
            <w:r>
              <w:rPr>
                <w:strike w:val="0"/>
                <w:dstrike w:val="0"/>
                <w:color w:val="auto"/>
                <w:sz w:val="24"/>
                <w:highlight w:val="none"/>
              </w:rPr>
              <w:t>（4）加强施工机械的维护和保养，避免由于设备性能差而使机械噪声增大现象产生。场外运输作业安排在白天进行，施工车辆行经住宅区、居民户等敏感点时应采取减速、禁鸣等措施。</w:t>
            </w:r>
          </w:p>
          <w:p w14:paraId="1F18E5F9">
            <w:pPr>
              <w:spacing w:line="360" w:lineRule="auto"/>
              <w:rPr>
                <w:b/>
                <w:strike w:val="0"/>
                <w:dstrike w:val="0"/>
                <w:color w:val="auto"/>
                <w:sz w:val="24"/>
                <w:highlight w:val="none"/>
              </w:rPr>
            </w:pPr>
            <w:r>
              <w:rPr>
                <w:rFonts w:hint="eastAsia"/>
                <w:b/>
                <w:strike w:val="0"/>
                <w:dstrike w:val="0"/>
                <w:color w:val="auto"/>
                <w:sz w:val="24"/>
                <w:highlight w:val="none"/>
              </w:rPr>
              <w:t>4</w:t>
            </w:r>
            <w:r>
              <w:rPr>
                <w:b/>
                <w:strike w:val="0"/>
                <w:dstrike w:val="0"/>
                <w:color w:val="auto"/>
                <w:sz w:val="24"/>
                <w:highlight w:val="none"/>
              </w:rPr>
              <w:t>.1.4</w:t>
            </w:r>
            <w:r>
              <w:rPr>
                <w:rFonts w:hint="eastAsia"/>
                <w:b/>
                <w:strike w:val="0"/>
                <w:dstrike w:val="0"/>
                <w:color w:val="auto"/>
                <w:sz w:val="24"/>
                <w:highlight w:val="none"/>
              </w:rPr>
              <w:t>固体废物污染防治措施</w:t>
            </w:r>
          </w:p>
          <w:p w14:paraId="6AAA9F08">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（1）场地内设置垃圾桶，收集生活垃圾后及时交环卫部门收集处理，禁止乱堆乱放。</w:t>
            </w:r>
          </w:p>
          <w:p w14:paraId="5E8F4FD2">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（2）施工建筑废弃材料主要包括石材</w:t>
            </w:r>
            <w:r>
              <w:rPr>
                <w:rFonts w:hint="eastAsia"/>
                <w:strike w:val="0"/>
                <w:dstrike w:val="0"/>
                <w:color w:val="auto"/>
                <w:sz w:val="24"/>
                <w:highlight w:val="none"/>
              </w:rPr>
              <w:t>、木材</w:t>
            </w:r>
            <w:r>
              <w:rPr>
                <w:strike w:val="0"/>
                <w:dstrike w:val="0"/>
                <w:color w:val="auto"/>
                <w:sz w:val="24"/>
                <w:highlight w:val="none"/>
              </w:rPr>
              <w:t>、塑料包装、金属材料等，采用分类收集，</w:t>
            </w:r>
            <w:r>
              <w:rPr>
                <w:rFonts w:hint="eastAsia"/>
                <w:strike w:val="0"/>
                <w:dstrike w:val="0"/>
                <w:color w:val="auto"/>
                <w:sz w:val="24"/>
                <w:highlight w:val="none"/>
              </w:rPr>
              <w:t>可回收利用固体废物送物资回收公司；不可利用固废，运送至市政部门指定渣场</w:t>
            </w:r>
            <w:r>
              <w:rPr>
                <w:strike w:val="0"/>
                <w:dstrike w:val="0"/>
                <w:color w:val="auto"/>
                <w:sz w:val="24"/>
                <w:highlight w:val="none"/>
              </w:rPr>
              <w:t>。</w:t>
            </w:r>
          </w:p>
          <w:p w14:paraId="1C1BA29D">
            <w:pPr>
              <w:spacing w:line="360" w:lineRule="auto"/>
              <w:ind w:firstLine="480" w:firstLineChars="200"/>
              <w:rPr>
                <w:strike w:val="0"/>
                <w:dstrike w:val="0"/>
                <w:color w:val="auto"/>
                <w:highlight w:val="none"/>
              </w:rPr>
            </w:pPr>
            <w:r>
              <w:rPr>
                <w:strike w:val="0"/>
                <w:dstrike w:val="0"/>
                <w:color w:val="auto"/>
                <w:sz w:val="24"/>
                <w:highlight w:val="none"/>
              </w:rPr>
              <w:t>综上，施工期间企业应认真落实本</w:t>
            </w:r>
            <w:r>
              <w:rPr>
                <w:rFonts w:hint="eastAsia"/>
                <w:strike w:val="0"/>
                <w:dstrike w:val="0"/>
                <w:color w:val="auto"/>
                <w:sz w:val="24"/>
                <w:highlight w:val="none"/>
              </w:rPr>
              <w:t>次</w:t>
            </w:r>
            <w:r>
              <w:rPr>
                <w:strike w:val="0"/>
                <w:dstrike w:val="0"/>
                <w:color w:val="auto"/>
                <w:sz w:val="24"/>
                <w:highlight w:val="none"/>
              </w:rPr>
              <w:t>评价提出的相关环境保护措施要求，加强施工过程中的粉尘、噪声、振动、废水和</w:t>
            </w:r>
            <w:r>
              <w:rPr>
                <w:rFonts w:hint="eastAsia"/>
                <w:strike w:val="0"/>
                <w:dstrike w:val="0"/>
                <w:color w:val="auto"/>
                <w:sz w:val="24"/>
                <w:highlight w:val="none"/>
              </w:rPr>
              <w:t>固体废物</w:t>
            </w:r>
            <w:r>
              <w:rPr>
                <w:strike w:val="0"/>
                <w:dstrike w:val="0"/>
                <w:color w:val="auto"/>
                <w:sz w:val="24"/>
                <w:highlight w:val="none"/>
              </w:rPr>
              <w:t>等管理，通过采取上述合理的措施后，施工过程基本不会对周边环境造成不良影响，且项目施工期较短，上述污染随着施工期的结束而消失</w:t>
            </w:r>
            <w:r>
              <w:rPr>
                <w:rFonts w:hint="eastAsia"/>
                <w:strike w:val="0"/>
                <w:dstrike w:val="0"/>
                <w:color w:val="auto"/>
                <w:sz w:val="24"/>
                <w:highlight w:val="none"/>
              </w:rPr>
              <w:t>。</w:t>
            </w:r>
          </w:p>
        </w:tc>
      </w:tr>
      <w:tr w14:paraId="492BD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2" w:type="dxa"/>
            <w:tcMar>
              <w:left w:w="28" w:type="dxa"/>
              <w:right w:w="28" w:type="dxa"/>
            </w:tcMar>
            <w:vAlign w:val="center"/>
          </w:tcPr>
          <w:p w14:paraId="68634595">
            <w:pPr>
              <w:adjustRightInd w:val="0"/>
              <w:snapToGrid w:val="0"/>
              <w:jc w:val="center"/>
              <w:rPr>
                <w:bCs/>
                <w:strike w:val="0"/>
                <w:dstrike w:val="0"/>
                <w:color w:val="auto"/>
                <w:sz w:val="24"/>
                <w:highlight w:val="none"/>
              </w:rPr>
            </w:pPr>
            <w:r>
              <w:rPr>
                <w:bCs/>
                <w:strike w:val="0"/>
                <w:dstrike w:val="0"/>
                <w:color w:val="auto"/>
                <w:sz w:val="24"/>
                <w:highlight w:val="none"/>
              </w:rPr>
              <w:t>运营</w:t>
            </w:r>
          </w:p>
          <w:p w14:paraId="2904196C">
            <w:pPr>
              <w:adjustRightInd w:val="0"/>
              <w:snapToGrid w:val="0"/>
              <w:jc w:val="center"/>
              <w:rPr>
                <w:bCs/>
                <w:strike w:val="0"/>
                <w:dstrike w:val="0"/>
                <w:color w:val="auto"/>
                <w:sz w:val="24"/>
                <w:highlight w:val="none"/>
              </w:rPr>
            </w:pPr>
            <w:r>
              <w:rPr>
                <w:bCs/>
                <w:strike w:val="0"/>
                <w:dstrike w:val="0"/>
                <w:color w:val="auto"/>
                <w:sz w:val="24"/>
                <w:highlight w:val="none"/>
              </w:rPr>
              <w:t>期环</w:t>
            </w:r>
          </w:p>
          <w:p w14:paraId="31413737">
            <w:pPr>
              <w:adjustRightInd w:val="0"/>
              <w:snapToGrid w:val="0"/>
              <w:jc w:val="center"/>
              <w:rPr>
                <w:bCs/>
                <w:strike w:val="0"/>
                <w:dstrike w:val="0"/>
                <w:color w:val="auto"/>
                <w:sz w:val="24"/>
                <w:highlight w:val="none"/>
              </w:rPr>
            </w:pPr>
            <w:r>
              <w:rPr>
                <w:bCs/>
                <w:strike w:val="0"/>
                <w:dstrike w:val="0"/>
                <w:color w:val="auto"/>
                <w:sz w:val="24"/>
                <w:highlight w:val="none"/>
              </w:rPr>
              <w:t>境影</w:t>
            </w:r>
          </w:p>
          <w:p w14:paraId="7E79250B">
            <w:pPr>
              <w:adjustRightInd w:val="0"/>
              <w:snapToGrid w:val="0"/>
              <w:jc w:val="center"/>
              <w:rPr>
                <w:bCs/>
                <w:strike w:val="0"/>
                <w:dstrike w:val="0"/>
                <w:color w:val="auto"/>
                <w:sz w:val="24"/>
                <w:highlight w:val="none"/>
              </w:rPr>
            </w:pPr>
            <w:r>
              <w:rPr>
                <w:bCs/>
                <w:strike w:val="0"/>
                <w:dstrike w:val="0"/>
                <w:color w:val="auto"/>
                <w:sz w:val="24"/>
                <w:highlight w:val="none"/>
              </w:rPr>
              <w:t>响和</w:t>
            </w:r>
          </w:p>
          <w:p w14:paraId="7EC0F8E2">
            <w:pPr>
              <w:adjustRightInd w:val="0"/>
              <w:snapToGrid w:val="0"/>
              <w:jc w:val="center"/>
              <w:rPr>
                <w:bCs/>
                <w:strike w:val="0"/>
                <w:dstrike w:val="0"/>
                <w:color w:val="auto"/>
                <w:sz w:val="24"/>
                <w:highlight w:val="none"/>
              </w:rPr>
            </w:pPr>
            <w:r>
              <w:rPr>
                <w:bCs/>
                <w:strike w:val="0"/>
                <w:dstrike w:val="0"/>
                <w:color w:val="auto"/>
                <w:sz w:val="24"/>
                <w:highlight w:val="none"/>
              </w:rPr>
              <w:t>保护</w:t>
            </w:r>
          </w:p>
          <w:p w14:paraId="3A520428">
            <w:pPr>
              <w:adjustRightInd w:val="0"/>
              <w:snapToGrid w:val="0"/>
              <w:jc w:val="center"/>
              <w:rPr>
                <w:bCs/>
                <w:strike w:val="0"/>
                <w:dstrike w:val="0"/>
                <w:color w:val="auto"/>
                <w:szCs w:val="21"/>
                <w:highlight w:val="none"/>
              </w:rPr>
            </w:pPr>
            <w:r>
              <w:rPr>
                <w:bCs/>
                <w:strike w:val="0"/>
                <w:dstrike w:val="0"/>
                <w:color w:val="auto"/>
                <w:sz w:val="24"/>
                <w:highlight w:val="none"/>
              </w:rPr>
              <w:t>措施</w:t>
            </w:r>
          </w:p>
        </w:tc>
        <w:tc>
          <w:tcPr>
            <w:tcW w:w="8569" w:type="dxa"/>
          </w:tcPr>
          <w:p w14:paraId="479248DE">
            <w:pPr>
              <w:adjustRightInd w:val="0"/>
              <w:snapToGrid w:val="0"/>
              <w:spacing w:line="360" w:lineRule="auto"/>
              <w:rPr>
                <w:b/>
                <w:bCs/>
                <w:strike w:val="0"/>
                <w:dstrike w:val="0"/>
                <w:color w:val="auto"/>
                <w:spacing w:val="-10"/>
                <w:sz w:val="24"/>
                <w:highlight w:val="none"/>
              </w:rPr>
            </w:pPr>
            <w:r>
              <w:rPr>
                <w:b/>
                <w:bCs/>
                <w:strike w:val="0"/>
                <w:dstrike w:val="0"/>
                <w:color w:val="auto"/>
                <w:spacing w:val="-10"/>
                <w:sz w:val="24"/>
                <w:highlight w:val="none"/>
              </w:rPr>
              <w:t>4.2运营期环境影响和保护措施</w:t>
            </w:r>
          </w:p>
          <w:p w14:paraId="0B3AF8F0">
            <w:pPr>
              <w:adjustRightInd w:val="0"/>
              <w:snapToGrid w:val="0"/>
              <w:spacing w:line="360" w:lineRule="auto"/>
              <w:rPr>
                <w:b/>
                <w:bCs/>
                <w:strike w:val="0"/>
                <w:dstrike w:val="0"/>
                <w:color w:val="auto"/>
                <w:spacing w:val="-10"/>
                <w:sz w:val="24"/>
                <w:highlight w:val="none"/>
              </w:rPr>
            </w:pPr>
            <w:r>
              <w:rPr>
                <w:b/>
                <w:bCs/>
                <w:strike w:val="0"/>
                <w:dstrike w:val="0"/>
                <w:color w:val="auto"/>
                <w:spacing w:val="-10"/>
                <w:sz w:val="24"/>
                <w:highlight w:val="none"/>
              </w:rPr>
              <w:t>4.2.1运营期大气环境影响和保护措施</w:t>
            </w:r>
          </w:p>
          <w:p w14:paraId="2C92D8CA">
            <w:pPr>
              <w:spacing w:line="360" w:lineRule="auto"/>
              <w:jc w:val="left"/>
              <w:rPr>
                <w:b/>
                <w:bCs/>
                <w:strike w:val="0"/>
                <w:dstrike w:val="0"/>
                <w:color w:val="auto"/>
                <w:sz w:val="24"/>
                <w:highlight w:val="none"/>
              </w:rPr>
            </w:pPr>
            <w:r>
              <w:rPr>
                <w:b/>
                <w:bCs/>
                <w:strike w:val="0"/>
                <w:dstrike w:val="0"/>
                <w:color w:val="auto"/>
                <w:sz w:val="24"/>
                <w:highlight w:val="none"/>
              </w:rPr>
              <w:t>4.2.1.1污染物产排分析</w:t>
            </w:r>
          </w:p>
          <w:p w14:paraId="14DF53A3">
            <w:pPr>
              <w:spacing w:line="360" w:lineRule="auto"/>
              <w:ind w:firstLine="480" w:firstLineChars="200"/>
              <w:jc w:val="left"/>
              <w:rPr>
                <w:bCs/>
                <w:strike w:val="0"/>
                <w:dstrike w:val="0"/>
                <w:color w:val="auto"/>
                <w:sz w:val="24"/>
                <w:highlight w:val="none"/>
              </w:rPr>
            </w:pPr>
            <w:r>
              <w:rPr>
                <w:bCs/>
                <w:strike w:val="0"/>
                <w:dstrike w:val="0"/>
                <w:color w:val="auto"/>
                <w:sz w:val="24"/>
                <w:highlight w:val="none"/>
              </w:rPr>
              <w:t>本</w:t>
            </w:r>
            <w:r>
              <w:rPr>
                <w:strike w:val="0"/>
                <w:dstrike w:val="0"/>
                <w:color w:val="auto"/>
                <w:sz w:val="24"/>
                <w:highlight w:val="none"/>
              </w:rPr>
              <w:t>项目工艺废气包括：卸油废气、储油废气、加油废气，均为挥发的油气，以非甲烷总烃计。另外，加油站运营过程中还有过往车辆产生的少量汽车尾气、生化池臭气</w:t>
            </w:r>
            <w:r>
              <w:rPr>
                <w:bCs/>
                <w:strike w:val="0"/>
                <w:dstrike w:val="0"/>
                <w:color w:val="auto"/>
                <w:sz w:val="24"/>
                <w:highlight w:val="none"/>
              </w:rPr>
              <w:t>。污染物产排情况见表</w:t>
            </w:r>
            <w:r>
              <w:rPr>
                <w:rFonts w:hint="eastAsia"/>
                <w:bCs/>
                <w:strike w:val="0"/>
                <w:dstrike w:val="0"/>
                <w:color w:val="auto"/>
                <w:sz w:val="24"/>
                <w:highlight w:val="none"/>
                <w:lang w:val="en-US" w:eastAsia="zh-CN"/>
              </w:rPr>
              <w:t>2</w:t>
            </w:r>
            <w:r>
              <w:rPr>
                <w:bCs/>
                <w:strike w:val="0"/>
                <w:dstrike w:val="0"/>
                <w:color w:val="auto"/>
                <w:sz w:val="24"/>
                <w:highlight w:val="none"/>
              </w:rPr>
              <w:t>.2-1。</w:t>
            </w:r>
          </w:p>
          <w:p w14:paraId="3A80B116">
            <w:pPr>
              <w:snapToGrid w:val="0"/>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1 \* GB2 \* MERGEFORMAT </w:instrText>
            </w:r>
            <w:r>
              <w:rPr>
                <w:b/>
                <w:bCs/>
                <w:strike w:val="0"/>
                <w:dstrike w:val="0"/>
                <w:color w:val="auto"/>
                <w:sz w:val="24"/>
                <w:highlight w:val="none"/>
              </w:rPr>
              <w:fldChar w:fldCharType="separate"/>
            </w:r>
            <w:r>
              <w:rPr>
                <w:b/>
                <w:bCs/>
                <w:strike w:val="0"/>
                <w:dstrike w:val="0"/>
                <w:color w:val="auto"/>
                <w:sz w:val="24"/>
                <w:highlight w:val="none"/>
              </w:rPr>
              <w:t>⑴</w:t>
            </w:r>
            <w:r>
              <w:rPr>
                <w:b/>
                <w:bCs/>
                <w:strike w:val="0"/>
                <w:dstrike w:val="0"/>
                <w:color w:val="auto"/>
                <w:sz w:val="24"/>
                <w:highlight w:val="none"/>
              </w:rPr>
              <w:fldChar w:fldCharType="end"/>
            </w:r>
            <w:r>
              <w:rPr>
                <w:b/>
                <w:bCs/>
                <w:strike w:val="0"/>
                <w:dstrike w:val="0"/>
                <w:color w:val="auto"/>
                <w:sz w:val="24"/>
                <w:highlight w:val="none"/>
              </w:rPr>
              <w:t>卸油废气G1（G1-1、G1-2）</w:t>
            </w:r>
            <w:r>
              <w:rPr>
                <w:rFonts w:hint="eastAsia"/>
                <w:b/>
                <w:bCs/>
                <w:strike w:val="0"/>
                <w:dstrike w:val="0"/>
                <w:color w:val="auto"/>
                <w:sz w:val="24"/>
                <w:highlight w:val="none"/>
              </w:rPr>
              <w:t>（大呼吸）</w:t>
            </w:r>
          </w:p>
          <w:p w14:paraId="6504F7BB">
            <w:pPr>
              <w:snapToGrid w:val="0"/>
              <w:spacing w:line="360" w:lineRule="auto"/>
              <w:ind w:firstLine="480" w:firstLineChars="200"/>
              <w:jc w:val="left"/>
              <w:rPr>
                <w:strike w:val="0"/>
                <w:dstrike w:val="0"/>
                <w:color w:val="auto"/>
                <w:sz w:val="24"/>
                <w:highlight w:val="none"/>
              </w:rPr>
            </w:pPr>
            <w:r>
              <w:rPr>
                <w:strike w:val="0"/>
                <w:dstrike w:val="0"/>
                <w:color w:val="auto"/>
                <w:sz w:val="24"/>
                <w:highlight w:val="none"/>
              </w:rPr>
              <w:t>卸油过程产生少量逸散油气，为油罐进行装油时所呼出的油蒸气，即储罐大呼吸损失。油罐进油时，由于油面逐渐升高，气体空间逐渐减小，罐内压力增大，当压力超过呼吸阀控制压力时，一定浓度的油蒸气开始从呼吸阀呼出，直到油罐停止收油。项目地下油罐进料采用淹没输油管法，根据《散装液态石油产品损耗》（</w:t>
            </w:r>
            <w:r>
              <w:rPr>
                <w:rFonts w:eastAsia="TimesNewRomanPSMT"/>
                <w:strike w:val="0"/>
                <w:dstrike w:val="0"/>
                <w:color w:val="auto"/>
                <w:sz w:val="24"/>
                <w:highlight w:val="none"/>
              </w:rPr>
              <w:t>GB11085-89</w:t>
            </w:r>
            <w:r>
              <w:rPr>
                <w:strike w:val="0"/>
                <w:dstrike w:val="0"/>
                <w:color w:val="auto"/>
                <w:sz w:val="24"/>
                <w:highlight w:val="none"/>
              </w:rPr>
              <w:t>）中关于四川地区（含重庆）油气损耗率，油品损耗量计算公式如下：</w:t>
            </w:r>
          </w:p>
          <w:p w14:paraId="7CB12F2D">
            <w:pPr>
              <w:spacing w:line="360" w:lineRule="auto"/>
              <w:ind w:firstLine="4080" w:firstLineChars="1700"/>
              <w:rPr>
                <w:rFonts w:eastAsia="TimesNewRomanPSMT"/>
                <w:strike w:val="0"/>
                <w:dstrike w:val="0"/>
                <w:color w:val="auto"/>
                <w:sz w:val="24"/>
                <w:highlight w:val="none"/>
              </w:rPr>
            </w:pPr>
            <w:r>
              <w:rPr>
                <w:rFonts w:eastAsia="TimesNewRomanPSMT"/>
                <w:strike w:val="0"/>
                <w:dstrike w:val="0"/>
                <w:color w:val="auto"/>
                <w:sz w:val="24"/>
                <w:highlight w:val="none"/>
              </w:rPr>
              <w:t>Q=mq</w:t>
            </w:r>
          </w:p>
          <w:p w14:paraId="1BB9E575">
            <w:pPr>
              <w:spacing w:line="360" w:lineRule="auto"/>
              <w:ind w:firstLine="480" w:firstLineChars="200"/>
              <w:rPr>
                <w:strike w:val="0"/>
                <w:dstrike w:val="0"/>
                <w:color w:val="auto"/>
                <w:sz w:val="24"/>
                <w:highlight w:val="none"/>
              </w:rPr>
            </w:pPr>
            <w:r>
              <w:rPr>
                <w:strike w:val="0"/>
                <w:dstrike w:val="0"/>
                <w:color w:val="auto"/>
                <w:sz w:val="24"/>
                <w:highlight w:val="none"/>
              </w:rPr>
              <w:t>其中：</w:t>
            </w:r>
            <w:r>
              <w:rPr>
                <w:rFonts w:eastAsia="TimesNewRomanPSMT"/>
                <w:strike w:val="0"/>
                <w:dstrike w:val="0"/>
                <w:color w:val="auto"/>
                <w:sz w:val="24"/>
                <w:highlight w:val="none"/>
              </w:rPr>
              <w:t>m——</w:t>
            </w:r>
            <w:r>
              <w:rPr>
                <w:strike w:val="0"/>
                <w:dstrike w:val="0"/>
                <w:color w:val="auto"/>
                <w:sz w:val="24"/>
                <w:highlight w:val="none"/>
              </w:rPr>
              <w:t>油品质量，</w:t>
            </w:r>
            <w:r>
              <w:rPr>
                <w:rFonts w:eastAsia="TimesNewRomanPSMT"/>
                <w:strike w:val="0"/>
                <w:dstrike w:val="0"/>
                <w:color w:val="auto"/>
                <w:sz w:val="24"/>
                <w:highlight w:val="none"/>
              </w:rPr>
              <w:t>q——</w:t>
            </w:r>
            <w:r>
              <w:rPr>
                <w:strike w:val="0"/>
                <w:dstrike w:val="0"/>
                <w:color w:val="auto"/>
                <w:sz w:val="24"/>
                <w:highlight w:val="none"/>
              </w:rPr>
              <w:t>汽油或柴油的相应损耗率。</w:t>
            </w:r>
          </w:p>
          <w:p w14:paraId="2AC2DF9F">
            <w:pPr>
              <w:spacing w:line="360" w:lineRule="auto"/>
              <w:ind w:firstLine="480" w:firstLineChars="200"/>
              <w:rPr>
                <w:strike w:val="0"/>
                <w:dstrike w:val="0"/>
                <w:color w:val="auto"/>
                <w:sz w:val="24"/>
                <w:highlight w:val="none"/>
              </w:rPr>
            </w:pPr>
            <w:r>
              <w:rPr>
                <w:strike w:val="0"/>
                <w:dstrike w:val="0"/>
                <w:color w:val="auto"/>
                <w:sz w:val="24"/>
                <w:highlight w:val="none"/>
              </w:rPr>
              <w:t>项目年销售柴油量2000</w:t>
            </w:r>
            <w:r>
              <w:rPr>
                <w:rFonts w:eastAsia="TimesNewRomanPSMT"/>
                <w:strike w:val="0"/>
                <w:dstrike w:val="0"/>
                <w:color w:val="auto"/>
                <w:sz w:val="24"/>
                <w:highlight w:val="none"/>
              </w:rPr>
              <w:t xml:space="preserve"> t</w:t>
            </w:r>
            <w:r>
              <w:rPr>
                <w:strike w:val="0"/>
                <w:dstrike w:val="0"/>
                <w:color w:val="auto"/>
                <w:sz w:val="24"/>
                <w:highlight w:val="none"/>
              </w:rPr>
              <w:t>，年销售汽油量2000</w:t>
            </w:r>
            <w:r>
              <w:rPr>
                <w:rFonts w:eastAsia="TimesNewRomanPSMT"/>
                <w:strike w:val="0"/>
                <w:dstrike w:val="0"/>
                <w:color w:val="auto"/>
                <w:sz w:val="24"/>
                <w:highlight w:val="none"/>
              </w:rPr>
              <w:t xml:space="preserve"> t</w:t>
            </w:r>
            <w:r>
              <w:rPr>
                <w:strike w:val="0"/>
                <w:dstrike w:val="0"/>
                <w:color w:val="auto"/>
                <w:sz w:val="24"/>
                <w:highlight w:val="none"/>
              </w:rPr>
              <w:t>，储罐大呼吸挥发废气排放情况见表</w:t>
            </w:r>
            <w:r>
              <w:rPr>
                <w:rFonts w:eastAsia="TimesNewRomanPSMT"/>
                <w:strike w:val="0"/>
                <w:dstrike w:val="0"/>
                <w:color w:val="auto"/>
                <w:sz w:val="24"/>
                <w:highlight w:val="none"/>
              </w:rPr>
              <w:t>4.2-</w:t>
            </w:r>
            <w:r>
              <w:rPr>
                <w:rFonts w:hint="eastAsia" w:eastAsia="TimesNewRomanPSMT"/>
                <w:strike w:val="0"/>
                <w:dstrike w:val="0"/>
                <w:color w:val="auto"/>
                <w:sz w:val="24"/>
                <w:highlight w:val="none"/>
                <w:lang w:val="en-US" w:eastAsia="zh-CN"/>
              </w:rPr>
              <w:t>1</w:t>
            </w:r>
            <w:r>
              <w:rPr>
                <w:strike w:val="0"/>
                <w:dstrike w:val="0"/>
                <w:color w:val="auto"/>
                <w:sz w:val="24"/>
                <w:highlight w:val="none"/>
              </w:rPr>
              <w:t>。</w:t>
            </w:r>
          </w:p>
          <w:p w14:paraId="3892ED0B">
            <w:pPr>
              <w:spacing w:line="360" w:lineRule="auto"/>
              <w:jc w:val="center"/>
              <w:rPr>
                <w:b/>
                <w:bCs/>
                <w:strike w:val="0"/>
                <w:dstrike w:val="0"/>
                <w:color w:val="auto"/>
                <w:sz w:val="24"/>
                <w:szCs w:val="32"/>
                <w:highlight w:val="none"/>
              </w:rPr>
            </w:pPr>
            <w:r>
              <w:rPr>
                <w:b/>
                <w:bCs/>
                <w:strike w:val="0"/>
                <w:dstrike w:val="0"/>
                <w:color w:val="auto"/>
                <w:sz w:val="24"/>
                <w:szCs w:val="32"/>
                <w:highlight w:val="none"/>
              </w:rPr>
              <w:t>表</w:t>
            </w:r>
            <w:r>
              <w:rPr>
                <w:rFonts w:eastAsia="TimesNewRomanPSMT"/>
                <w:b/>
                <w:bCs/>
                <w:strike w:val="0"/>
                <w:dstrike w:val="0"/>
                <w:color w:val="auto"/>
                <w:sz w:val="24"/>
                <w:szCs w:val="32"/>
                <w:highlight w:val="none"/>
              </w:rPr>
              <w:t>4.2-</w:t>
            </w:r>
            <w:r>
              <w:rPr>
                <w:rFonts w:hint="eastAsia" w:eastAsia="TimesNewRomanPSMT"/>
                <w:b/>
                <w:bCs/>
                <w:strike w:val="0"/>
                <w:dstrike w:val="0"/>
                <w:color w:val="auto"/>
                <w:sz w:val="24"/>
                <w:szCs w:val="32"/>
                <w:highlight w:val="none"/>
                <w:lang w:val="en-US" w:eastAsia="zh-CN"/>
              </w:rPr>
              <w:t>1</w:t>
            </w:r>
            <w:r>
              <w:rPr>
                <w:rFonts w:eastAsia="TimesNewRomanPSMT"/>
                <w:b/>
                <w:bCs/>
                <w:strike w:val="0"/>
                <w:dstrike w:val="0"/>
                <w:color w:val="auto"/>
                <w:sz w:val="24"/>
                <w:szCs w:val="32"/>
                <w:highlight w:val="none"/>
              </w:rPr>
              <w:t xml:space="preserve"> </w:t>
            </w:r>
            <w:r>
              <w:rPr>
                <w:b/>
                <w:bCs/>
                <w:strike w:val="0"/>
                <w:dstrike w:val="0"/>
                <w:color w:val="auto"/>
                <w:sz w:val="24"/>
                <w:szCs w:val="32"/>
                <w:highlight w:val="none"/>
              </w:rPr>
              <w:t xml:space="preserve"> 储罐大呼吸非甲烷总烃产排情况一览表</w:t>
            </w:r>
          </w:p>
          <w:tbl>
            <w:tblPr>
              <w:tblStyle w:val="23"/>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179"/>
              <w:gridCol w:w="1555"/>
              <w:gridCol w:w="2278"/>
              <w:gridCol w:w="1671"/>
            </w:tblGrid>
            <w:tr w14:paraId="60D4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Align w:val="center"/>
                </w:tcPr>
                <w:p w14:paraId="628DA408">
                  <w:pPr>
                    <w:jc w:val="center"/>
                    <w:rPr>
                      <w:b/>
                      <w:bCs/>
                      <w:strike w:val="0"/>
                      <w:dstrike w:val="0"/>
                      <w:color w:val="auto"/>
                      <w:szCs w:val="21"/>
                      <w:highlight w:val="none"/>
                    </w:rPr>
                  </w:pPr>
                  <w:r>
                    <w:rPr>
                      <w:b/>
                      <w:bCs/>
                      <w:strike w:val="0"/>
                      <w:dstrike w:val="0"/>
                      <w:color w:val="auto"/>
                      <w:szCs w:val="21"/>
                      <w:highlight w:val="none"/>
                    </w:rPr>
                    <w:t>产生源</w:t>
                  </w:r>
                </w:p>
              </w:tc>
              <w:tc>
                <w:tcPr>
                  <w:tcW w:w="1179" w:type="dxa"/>
                  <w:vAlign w:val="center"/>
                </w:tcPr>
                <w:p w14:paraId="635C3A12">
                  <w:pPr>
                    <w:jc w:val="center"/>
                    <w:rPr>
                      <w:b/>
                      <w:bCs/>
                      <w:strike w:val="0"/>
                      <w:dstrike w:val="0"/>
                      <w:color w:val="auto"/>
                      <w:szCs w:val="21"/>
                      <w:highlight w:val="none"/>
                    </w:rPr>
                  </w:pPr>
                  <w:r>
                    <w:rPr>
                      <w:b/>
                      <w:bCs/>
                      <w:strike w:val="0"/>
                      <w:dstrike w:val="0"/>
                      <w:color w:val="auto"/>
                      <w:szCs w:val="21"/>
                      <w:highlight w:val="none"/>
                    </w:rPr>
                    <w:t>种类</w:t>
                  </w:r>
                </w:p>
              </w:tc>
              <w:tc>
                <w:tcPr>
                  <w:tcW w:w="1555" w:type="dxa"/>
                  <w:vAlign w:val="center"/>
                </w:tcPr>
                <w:p w14:paraId="46D86E98">
                  <w:pPr>
                    <w:jc w:val="center"/>
                    <w:rPr>
                      <w:b/>
                      <w:bCs/>
                      <w:strike w:val="0"/>
                      <w:dstrike w:val="0"/>
                      <w:color w:val="auto"/>
                      <w:szCs w:val="21"/>
                      <w:highlight w:val="none"/>
                    </w:rPr>
                  </w:pPr>
                  <w:r>
                    <w:rPr>
                      <w:b/>
                      <w:bCs/>
                      <w:strike w:val="0"/>
                      <w:dstrike w:val="0"/>
                      <w:color w:val="auto"/>
                      <w:szCs w:val="21"/>
                      <w:highlight w:val="none"/>
                    </w:rPr>
                    <w:t>油量（t/a）</w:t>
                  </w:r>
                </w:p>
              </w:tc>
              <w:tc>
                <w:tcPr>
                  <w:tcW w:w="2278" w:type="dxa"/>
                  <w:vAlign w:val="center"/>
                </w:tcPr>
                <w:p w14:paraId="649D5764">
                  <w:pPr>
                    <w:jc w:val="center"/>
                    <w:rPr>
                      <w:b/>
                      <w:bCs/>
                      <w:strike w:val="0"/>
                      <w:dstrike w:val="0"/>
                      <w:color w:val="auto"/>
                      <w:szCs w:val="21"/>
                      <w:highlight w:val="none"/>
                    </w:rPr>
                  </w:pPr>
                  <w:r>
                    <w:rPr>
                      <w:b/>
                      <w:bCs/>
                      <w:strike w:val="0"/>
                      <w:dstrike w:val="0"/>
                      <w:color w:val="auto"/>
                      <w:szCs w:val="21"/>
                      <w:highlight w:val="none"/>
                    </w:rPr>
                    <w:t>卸车损耗率</w:t>
                  </w:r>
                </w:p>
              </w:tc>
              <w:tc>
                <w:tcPr>
                  <w:tcW w:w="1671" w:type="dxa"/>
                  <w:vAlign w:val="center"/>
                </w:tcPr>
                <w:p w14:paraId="5857CCE7">
                  <w:pPr>
                    <w:jc w:val="center"/>
                    <w:rPr>
                      <w:b/>
                      <w:bCs/>
                      <w:strike w:val="0"/>
                      <w:dstrike w:val="0"/>
                      <w:color w:val="auto"/>
                      <w:szCs w:val="21"/>
                      <w:highlight w:val="none"/>
                    </w:rPr>
                  </w:pPr>
                  <w:r>
                    <w:rPr>
                      <w:b/>
                      <w:bCs/>
                      <w:strike w:val="0"/>
                      <w:dstrike w:val="0"/>
                      <w:color w:val="auto"/>
                      <w:szCs w:val="21"/>
                      <w:highlight w:val="none"/>
                    </w:rPr>
                    <w:t>损耗量（t/a）</w:t>
                  </w:r>
                </w:p>
              </w:tc>
            </w:tr>
            <w:tr w14:paraId="3806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Merge w:val="restart"/>
                  <w:vAlign w:val="center"/>
                </w:tcPr>
                <w:p w14:paraId="0CF66453">
                  <w:pPr>
                    <w:jc w:val="center"/>
                    <w:rPr>
                      <w:strike w:val="0"/>
                      <w:dstrike w:val="0"/>
                      <w:color w:val="auto"/>
                      <w:szCs w:val="21"/>
                      <w:highlight w:val="none"/>
                    </w:rPr>
                  </w:pPr>
                  <w:r>
                    <w:rPr>
                      <w:strike w:val="0"/>
                      <w:dstrike w:val="0"/>
                      <w:color w:val="auto"/>
                      <w:szCs w:val="21"/>
                      <w:highlight w:val="none"/>
                    </w:rPr>
                    <w:t>地下油罐装料油罐车油品蒸发</w:t>
                  </w:r>
                </w:p>
              </w:tc>
              <w:tc>
                <w:tcPr>
                  <w:tcW w:w="1179" w:type="dxa"/>
                  <w:vAlign w:val="center"/>
                </w:tcPr>
                <w:p w14:paraId="64CCC164">
                  <w:pPr>
                    <w:jc w:val="center"/>
                    <w:rPr>
                      <w:strike w:val="0"/>
                      <w:dstrike w:val="0"/>
                      <w:color w:val="auto"/>
                      <w:szCs w:val="21"/>
                      <w:highlight w:val="none"/>
                    </w:rPr>
                  </w:pPr>
                  <w:r>
                    <w:rPr>
                      <w:strike w:val="0"/>
                      <w:dstrike w:val="0"/>
                      <w:color w:val="auto"/>
                      <w:szCs w:val="21"/>
                      <w:highlight w:val="none"/>
                    </w:rPr>
                    <w:t>柴油</w:t>
                  </w:r>
                </w:p>
              </w:tc>
              <w:tc>
                <w:tcPr>
                  <w:tcW w:w="1555" w:type="dxa"/>
                  <w:vAlign w:val="center"/>
                </w:tcPr>
                <w:p w14:paraId="73549594">
                  <w:pPr>
                    <w:jc w:val="center"/>
                    <w:rPr>
                      <w:strike w:val="0"/>
                      <w:dstrike w:val="0"/>
                      <w:color w:val="auto"/>
                      <w:szCs w:val="21"/>
                      <w:highlight w:val="none"/>
                    </w:rPr>
                  </w:pPr>
                  <w:r>
                    <w:rPr>
                      <w:strike w:val="0"/>
                      <w:dstrike w:val="0"/>
                      <w:color w:val="auto"/>
                      <w:szCs w:val="21"/>
                      <w:highlight w:val="none"/>
                    </w:rPr>
                    <w:t>2000</w:t>
                  </w:r>
                </w:p>
              </w:tc>
              <w:tc>
                <w:tcPr>
                  <w:tcW w:w="2278" w:type="dxa"/>
                  <w:vAlign w:val="center"/>
                </w:tcPr>
                <w:p w14:paraId="3E72E02D">
                  <w:pPr>
                    <w:jc w:val="center"/>
                    <w:rPr>
                      <w:strike w:val="0"/>
                      <w:dstrike w:val="0"/>
                      <w:color w:val="auto"/>
                      <w:szCs w:val="21"/>
                      <w:highlight w:val="none"/>
                    </w:rPr>
                  </w:pPr>
                  <w:r>
                    <w:rPr>
                      <w:strike w:val="0"/>
                      <w:dstrike w:val="0"/>
                      <w:color w:val="auto"/>
                      <w:szCs w:val="21"/>
                      <w:highlight w:val="none"/>
                    </w:rPr>
                    <w:t>0.05%</w:t>
                  </w:r>
                </w:p>
              </w:tc>
              <w:tc>
                <w:tcPr>
                  <w:tcW w:w="1671" w:type="dxa"/>
                  <w:vAlign w:val="center"/>
                </w:tcPr>
                <w:p w14:paraId="2260186A">
                  <w:pPr>
                    <w:widowControl/>
                    <w:jc w:val="center"/>
                    <w:textAlignment w:val="center"/>
                    <w:rPr>
                      <w:strike w:val="0"/>
                      <w:dstrike w:val="0"/>
                      <w:color w:val="auto"/>
                      <w:szCs w:val="21"/>
                      <w:highlight w:val="none"/>
                    </w:rPr>
                  </w:pPr>
                  <w:r>
                    <w:rPr>
                      <w:strike w:val="0"/>
                      <w:dstrike w:val="0"/>
                      <w:color w:val="auto"/>
                      <w:kern w:val="0"/>
                      <w:szCs w:val="21"/>
                      <w:highlight w:val="none"/>
                      <w:lang w:bidi="ar"/>
                    </w:rPr>
                    <w:t>1.00</w:t>
                  </w:r>
                </w:p>
              </w:tc>
            </w:tr>
            <w:tr w14:paraId="1E08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Merge w:val="continue"/>
                  <w:vAlign w:val="center"/>
                </w:tcPr>
                <w:p w14:paraId="75F15164">
                  <w:pPr>
                    <w:jc w:val="center"/>
                    <w:rPr>
                      <w:strike w:val="0"/>
                      <w:dstrike w:val="0"/>
                      <w:color w:val="auto"/>
                      <w:szCs w:val="21"/>
                      <w:highlight w:val="none"/>
                    </w:rPr>
                  </w:pPr>
                </w:p>
              </w:tc>
              <w:tc>
                <w:tcPr>
                  <w:tcW w:w="1179" w:type="dxa"/>
                  <w:vAlign w:val="center"/>
                </w:tcPr>
                <w:p w14:paraId="330A400B">
                  <w:pPr>
                    <w:jc w:val="center"/>
                    <w:rPr>
                      <w:strike w:val="0"/>
                      <w:dstrike w:val="0"/>
                      <w:color w:val="auto"/>
                      <w:szCs w:val="21"/>
                      <w:highlight w:val="none"/>
                    </w:rPr>
                  </w:pPr>
                  <w:r>
                    <w:rPr>
                      <w:strike w:val="0"/>
                      <w:dstrike w:val="0"/>
                      <w:color w:val="auto"/>
                      <w:szCs w:val="21"/>
                      <w:highlight w:val="none"/>
                    </w:rPr>
                    <w:t>汽油</w:t>
                  </w:r>
                </w:p>
              </w:tc>
              <w:tc>
                <w:tcPr>
                  <w:tcW w:w="1555" w:type="dxa"/>
                  <w:vAlign w:val="center"/>
                </w:tcPr>
                <w:p w14:paraId="3EEF7F81">
                  <w:pPr>
                    <w:jc w:val="center"/>
                    <w:rPr>
                      <w:strike w:val="0"/>
                      <w:dstrike w:val="0"/>
                      <w:color w:val="auto"/>
                      <w:szCs w:val="21"/>
                      <w:highlight w:val="none"/>
                    </w:rPr>
                  </w:pPr>
                  <w:r>
                    <w:rPr>
                      <w:strike w:val="0"/>
                      <w:dstrike w:val="0"/>
                      <w:color w:val="auto"/>
                      <w:szCs w:val="21"/>
                      <w:highlight w:val="none"/>
                    </w:rPr>
                    <w:t>2000</w:t>
                  </w:r>
                </w:p>
              </w:tc>
              <w:tc>
                <w:tcPr>
                  <w:tcW w:w="2278" w:type="dxa"/>
                  <w:vAlign w:val="center"/>
                </w:tcPr>
                <w:p w14:paraId="0D663EE7">
                  <w:pPr>
                    <w:jc w:val="center"/>
                    <w:rPr>
                      <w:strike w:val="0"/>
                      <w:dstrike w:val="0"/>
                      <w:color w:val="auto"/>
                      <w:szCs w:val="21"/>
                      <w:highlight w:val="none"/>
                    </w:rPr>
                  </w:pPr>
                  <w:r>
                    <w:rPr>
                      <w:strike w:val="0"/>
                      <w:dstrike w:val="0"/>
                      <w:color w:val="auto"/>
                      <w:szCs w:val="21"/>
                      <w:highlight w:val="none"/>
                    </w:rPr>
                    <w:t>0.23%</w:t>
                  </w:r>
                </w:p>
              </w:tc>
              <w:tc>
                <w:tcPr>
                  <w:tcW w:w="1671" w:type="dxa"/>
                  <w:vAlign w:val="center"/>
                </w:tcPr>
                <w:p w14:paraId="3985EE6A">
                  <w:pPr>
                    <w:widowControl/>
                    <w:jc w:val="center"/>
                    <w:textAlignment w:val="center"/>
                    <w:rPr>
                      <w:strike w:val="0"/>
                      <w:dstrike w:val="0"/>
                      <w:color w:val="auto"/>
                      <w:szCs w:val="21"/>
                      <w:highlight w:val="none"/>
                    </w:rPr>
                  </w:pPr>
                  <w:r>
                    <w:rPr>
                      <w:strike w:val="0"/>
                      <w:dstrike w:val="0"/>
                      <w:color w:val="auto"/>
                      <w:kern w:val="0"/>
                      <w:szCs w:val="21"/>
                      <w:highlight w:val="none"/>
                      <w:lang w:bidi="ar"/>
                    </w:rPr>
                    <w:t>4.60</w:t>
                  </w:r>
                </w:p>
              </w:tc>
            </w:tr>
          </w:tbl>
          <w:p w14:paraId="5DC1BC1B">
            <w:pPr>
              <w:spacing w:line="360" w:lineRule="auto"/>
              <w:ind w:firstLine="480" w:firstLineChars="200"/>
              <w:jc w:val="left"/>
              <w:rPr>
                <w:strike w:val="0"/>
                <w:dstrike w:val="0"/>
                <w:color w:val="auto"/>
                <w:sz w:val="24"/>
                <w:highlight w:val="none"/>
              </w:rPr>
            </w:pPr>
            <w:r>
              <w:rPr>
                <w:strike w:val="0"/>
                <w:dstrike w:val="0"/>
                <w:color w:val="auto"/>
                <w:sz w:val="24"/>
                <w:szCs w:val="32"/>
                <w:highlight w:val="none"/>
              </w:rPr>
              <w:t>项目</w:t>
            </w:r>
            <w:r>
              <w:rPr>
                <w:strike w:val="0"/>
                <w:dstrike w:val="0"/>
                <w:color w:val="auto"/>
                <w:sz w:val="24"/>
                <w:highlight w:val="none"/>
              </w:rPr>
              <w:t>采用密闭卸油油气回收系统（即一次油气回收系统）对汽油卸油油气进行回收，回收效率不低于</w:t>
            </w:r>
            <w:r>
              <w:rPr>
                <w:rFonts w:eastAsia="TimesNewRomanPSMT"/>
                <w:strike w:val="0"/>
                <w:dstrike w:val="0"/>
                <w:color w:val="auto"/>
                <w:sz w:val="24"/>
                <w:highlight w:val="none"/>
              </w:rPr>
              <w:t>95%</w:t>
            </w:r>
            <w:r>
              <w:rPr>
                <w:strike w:val="0"/>
                <w:dstrike w:val="0"/>
                <w:color w:val="auto"/>
                <w:sz w:val="24"/>
                <w:highlight w:val="none"/>
              </w:rPr>
              <w:t>，含有少量油品的空气经通气管呼吸阀排放。</w:t>
            </w:r>
          </w:p>
          <w:p w14:paraId="2D04B128">
            <w:pPr>
              <w:keepNext/>
              <w:keepLines/>
              <w:spacing w:line="360" w:lineRule="auto"/>
              <w:ind w:firstLine="482" w:firstLineChars="200"/>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2 \* GB2 \* MERGEFORMAT </w:instrText>
            </w:r>
            <w:r>
              <w:rPr>
                <w:b/>
                <w:bCs/>
                <w:strike w:val="0"/>
                <w:dstrike w:val="0"/>
                <w:color w:val="auto"/>
                <w:sz w:val="24"/>
                <w:highlight w:val="none"/>
              </w:rPr>
              <w:fldChar w:fldCharType="separate"/>
            </w:r>
            <w:r>
              <w:rPr>
                <w:b/>
                <w:bCs/>
                <w:strike w:val="0"/>
                <w:dstrike w:val="0"/>
                <w:color w:val="auto"/>
                <w:sz w:val="24"/>
                <w:highlight w:val="none"/>
              </w:rPr>
              <w:t>⑵</w:t>
            </w:r>
            <w:r>
              <w:rPr>
                <w:b/>
                <w:bCs/>
                <w:strike w:val="0"/>
                <w:dstrike w:val="0"/>
                <w:color w:val="auto"/>
                <w:sz w:val="24"/>
                <w:highlight w:val="none"/>
              </w:rPr>
              <w:fldChar w:fldCharType="end"/>
            </w:r>
            <w:r>
              <w:rPr>
                <w:b/>
                <w:bCs/>
                <w:strike w:val="0"/>
                <w:dstrike w:val="0"/>
                <w:color w:val="auto"/>
                <w:sz w:val="24"/>
                <w:highlight w:val="none"/>
              </w:rPr>
              <w:t>储油废气</w:t>
            </w:r>
            <w:r>
              <w:rPr>
                <w:rFonts w:eastAsia="TimesNewRomanPSMT"/>
                <w:b/>
                <w:bCs/>
                <w:strike w:val="0"/>
                <w:dstrike w:val="0"/>
                <w:color w:val="auto"/>
                <w:sz w:val="24"/>
                <w:highlight w:val="none"/>
              </w:rPr>
              <w:t>G2</w:t>
            </w:r>
            <w:r>
              <w:rPr>
                <w:rFonts w:hint="eastAsia"/>
                <w:b/>
                <w:bCs/>
                <w:strike w:val="0"/>
                <w:dstrike w:val="0"/>
                <w:color w:val="auto"/>
                <w:sz w:val="24"/>
                <w:szCs w:val="32"/>
                <w:highlight w:val="none"/>
              </w:rPr>
              <w:t>（小呼吸）</w:t>
            </w:r>
          </w:p>
          <w:p w14:paraId="1BD57E37">
            <w:pPr>
              <w:spacing w:line="360" w:lineRule="auto"/>
              <w:ind w:firstLine="480" w:firstLineChars="200"/>
              <w:jc w:val="left"/>
              <w:rPr>
                <w:strike w:val="0"/>
                <w:dstrike w:val="0"/>
                <w:color w:val="auto"/>
                <w:sz w:val="24"/>
                <w:highlight w:val="none"/>
              </w:rPr>
            </w:pPr>
            <w:r>
              <w:rPr>
                <w:strike w:val="0"/>
                <w:dstrike w:val="0"/>
                <w:color w:val="auto"/>
                <w:sz w:val="24"/>
                <w:highlight w:val="none"/>
              </w:rPr>
              <w:t>储油过程中，随着外界气温、压力周期变化，会产生少量逸散油气，即储罐小呼吸损失。</w:t>
            </w:r>
          </w:p>
          <w:p w14:paraId="63FC51ED">
            <w:pPr>
              <w:spacing w:line="360" w:lineRule="auto"/>
              <w:ind w:firstLine="480" w:firstLineChars="200"/>
              <w:jc w:val="left"/>
              <w:rPr>
                <w:strike w:val="0"/>
                <w:dstrike w:val="0"/>
                <w:color w:val="auto"/>
                <w:sz w:val="24"/>
                <w:highlight w:val="none"/>
              </w:rPr>
            </w:pPr>
            <w:r>
              <w:rPr>
                <w:strike w:val="0"/>
                <w:dstrike w:val="0"/>
                <w:color w:val="auto"/>
                <w:sz w:val="24"/>
                <w:highlight w:val="none"/>
              </w:rPr>
              <w:t>本项目采用埋地卧式储油罐，整个储油及加油系统均为密闭系统</w:t>
            </w:r>
            <w:r>
              <w:rPr>
                <w:rFonts w:hint="eastAsia"/>
                <w:strike w:val="0"/>
                <w:dstrike w:val="0"/>
                <w:color w:val="auto"/>
                <w:sz w:val="24"/>
                <w:highlight w:val="none"/>
                <w:lang w:eastAsia="zh-CN"/>
              </w:rPr>
              <w:t>。</w:t>
            </w:r>
            <w:r>
              <w:rPr>
                <w:strike w:val="0"/>
                <w:dstrike w:val="0"/>
                <w:color w:val="auto"/>
                <w:sz w:val="24"/>
                <w:highlight w:val="none"/>
              </w:rPr>
              <w:t>根据《散装液态石油产品损耗》（</w:t>
            </w:r>
            <w:r>
              <w:rPr>
                <w:rFonts w:eastAsia="TimesNewRomanPSMT"/>
                <w:strike w:val="0"/>
                <w:dstrike w:val="0"/>
                <w:color w:val="auto"/>
                <w:sz w:val="24"/>
                <w:highlight w:val="none"/>
              </w:rPr>
              <w:t>GB11085-89</w:t>
            </w:r>
            <w:r>
              <w:rPr>
                <w:strike w:val="0"/>
                <w:dstrike w:val="0"/>
                <w:color w:val="auto"/>
                <w:sz w:val="24"/>
                <w:highlight w:val="none"/>
              </w:rPr>
              <w:t>）中的贮存损耗率计算油品损失，本项目年销售汽油2000</w:t>
            </w:r>
            <w:r>
              <w:rPr>
                <w:rFonts w:eastAsia="TimesNewRomanPSMT"/>
                <w:strike w:val="0"/>
                <w:dstrike w:val="0"/>
                <w:color w:val="auto"/>
                <w:sz w:val="24"/>
                <w:highlight w:val="none"/>
              </w:rPr>
              <w:t>t</w:t>
            </w:r>
            <w:r>
              <w:rPr>
                <w:strike w:val="0"/>
                <w:dstrike w:val="0"/>
                <w:color w:val="auto"/>
                <w:sz w:val="24"/>
                <w:highlight w:val="none"/>
              </w:rPr>
              <w:t>、柴油2000</w:t>
            </w:r>
            <w:r>
              <w:rPr>
                <w:rFonts w:eastAsia="TimesNewRomanPSMT"/>
                <w:strike w:val="0"/>
                <w:dstrike w:val="0"/>
                <w:color w:val="auto"/>
                <w:sz w:val="24"/>
                <w:highlight w:val="none"/>
              </w:rPr>
              <w:t>t</w:t>
            </w:r>
            <w:r>
              <w:rPr>
                <w:strike w:val="0"/>
                <w:dstrike w:val="0"/>
                <w:color w:val="auto"/>
                <w:sz w:val="24"/>
                <w:highlight w:val="none"/>
              </w:rPr>
              <w:t>。储罐小呼吸废气排放情况见表</w:t>
            </w:r>
            <w:r>
              <w:rPr>
                <w:rFonts w:eastAsia="TimesNewRomanPSMT"/>
                <w:strike w:val="0"/>
                <w:dstrike w:val="0"/>
                <w:color w:val="auto"/>
                <w:sz w:val="24"/>
                <w:highlight w:val="none"/>
              </w:rPr>
              <w:t>4</w:t>
            </w:r>
            <w:r>
              <w:rPr>
                <w:strike w:val="0"/>
                <w:dstrike w:val="0"/>
                <w:color w:val="auto"/>
                <w:sz w:val="24"/>
                <w:highlight w:val="none"/>
              </w:rPr>
              <w:t>.2</w:t>
            </w:r>
            <w:r>
              <w:rPr>
                <w:rFonts w:eastAsia="TimesNewRomanPSMT"/>
                <w:strike w:val="0"/>
                <w:dstrike w:val="0"/>
                <w:color w:val="auto"/>
                <w:sz w:val="24"/>
                <w:highlight w:val="none"/>
              </w:rPr>
              <w:t>-</w:t>
            </w:r>
            <w:r>
              <w:rPr>
                <w:rFonts w:hint="eastAsia" w:eastAsia="TimesNewRomanPSMT"/>
                <w:strike w:val="0"/>
                <w:dstrike w:val="0"/>
                <w:color w:val="auto"/>
                <w:sz w:val="24"/>
                <w:highlight w:val="none"/>
                <w:lang w:val="en-US" w:eastAsia="zh-CN"/>
              </w:rPr>
              <w:t>2</w:t>
            </w:r>
            <w:r>
              <w:rPr>
                <w:strike w:val="0"/>
                <w:dstrike w:val="0"/>
                <w:color w:val="auto"/>
                <w:sz w:val="24"/>
                <w:highlight w:val="none"/>
              </w:rPr>
              <w:t>。</w:t>
            </w:r>
          </w:p>
          <w:p w14:paraId="44899AE3">
            <w:pPr>
              <w:spacing w:line="360" w:lineRule="auto"/>
              <w:jc w:val="center"/>
              <w:rPr>
                <w:b/>
                <w:bCs/>
                <w:strike w:val="0"/>
                <w:dstrike w:val="0"/>
                <w:color w:val="auto"/>
                <w:sz w:val="24"/>
                <w:szCs w:val="32"/>
                <w:highlight w:val="none"/>
              </w:rPr>
            </w:pPr>
            <w:r>
              <w:rPr>
                <w:b/>
                <w:bCs/>
                <w:strike w:val="0"/>
                <w:dstrike w:val="0"/>
                <w:color w:val="auto"/>
                <w:sz w:val="24"/>
                <w:szCs w:val="32"/>
                <w:highlight w:val="none"/>
              </w:rPr>
              <w:t>表</w:t>
            </w:r>
            <w:r>
              <w:rPr>
                <w:rFonts w:eastAsia="TimesNewRomanPSMT"/>
                <w:b/>
                <w:bCs/>
                <w:strike w:val="0"/>
                <w:dstrike w:val="0"/>
                <w:color w:val="auto"/>
                <w:sz w:val="24"/>
                <w:szCs w:val="32"/>
                <w:highlight w:val="none"/>
              </w:rPr>
              <w:t>4.2-</w:t>
            </w:r>
            <w:r>
              <w:rPr>
                <w:rFonts w:hint="eastAsia" w:eastAsia="TimesNewRomanPSMT"/>
                <w:b/>
                <w:bCs/>
                <w:strike w:val="0"/>
                <w:dstrike w:val="0"/>
                <w:color w:val="auto"/>
                <w:sz w:val="24"/>
                <w:szCs w:val="32"/>
                <w:highlight w:val="none"/>
                <w:lang w:val="en-US" w:eastAsia="zh-CN"/>
              </w:rPr>
              <w:t>2</w:t>
            </w:r>
            <w:r>
              <w:rPr>
                <w:rFonts w:eastAsia="TimesNewRomanPSMT"/>
                <w:b/>
                <w:bCs/>
                <w:strike w:val="0"/>
                <w:dstrike w:val="0"/>
                <w:color w:val="auto"/>
                <w:sz w:val="24"/>
                <w:szCs w:val="32"/>
                <w:highlight w:val="none"/>
              </w:rPr>
              <w:t xml:space="preserve"> </w:t>
            </w:r>
            <w:r>
              <w:rPr>
                <w:b/>
                <w:bCs/>
                <w:strike w:val="0"/>
                <w:dstrike w:val="0"/>
                <w:color w:val="auto"/>
                <w:sz w:val="24"/>
                <w:szCs w:val="32"/>
                <w:highlight w:val="none"/>
              </w:rPr>
              <w:t xml:space="preserve"> 储罐小呼吸非甲烷总烃产排情况一览表</w:t>
            </w:r>
          </w:p>
          <w:tbl>
            <w:tblPr>
              <w:tblStyle w:val="23"/>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179"/>
              <w:gridCol w:w="1555"/>
              <w:gridCol w:w="2278"/>
              <w:gridCol w:w="1671"/>
            </w:tblGrid>
            <w:tr w14:paraId="1E68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Align w:val="center"/>
                </w:tcPr>
                <w:p w14:paraId="021EE71D">
                  <w:pPr>
                    <w:jc w:val="center"/>
                    <w:rPr>
                      <w:b/>
                      <w:bCs/>
                      <w:strike w:val="0"/>
                      <w:dstrike w:val="0"/>
                      <w:color w:val="auto"/>
                      <w:szCs w:val="21"/>
                      <w:highlight w:val="none"/>
                    </w:rPr>
                  </w:pPr>
                  <w:r>
                    <w:rPr>
                      <w:b/>
                      <w:bCs/>
                      <w:strike w:val="0"/>
                      <w:dstrike w:val="0"/>
                      <w:color w:val="auto"/>
                      <w:szCs w:val="21"/>
                      <w:highlight w:val="none"/>
                    </w:rPr>
                    <w:t>产生源</w:t>
                  </w:r>
                </w:p>
              </w:tc>
              <w:tc>
                <w:tcPr>
                  <w:tcW w:w="1179" w:type="dxa"/>
                  <w:vAlign w:val="center"/>
                </w:tcPr>
                <w:p w14:paraId="5CFA2BCC">
                  <w:pPr>
                    <w:jc w:val="center"/>
                    <w:rPr>
                      <w:b/>
                      <w:bCs/>
                      <w:strike w:val="0"/>
                      <w:dstrike w:val="0"/>
                      <w:color w:val="auto"/>
                      <w:szCs w:val="21"/>
                      <w:highlight w:val="none"/>
                    </w:rPr>
                  </w:pPr>
                  <w:r>
                    <w:rPr>
                      <w:b/>
                      <w:bCs/>
                      <w:strike w:val="0"/>
                      <w:dstrike w:val="0"/>
                      <w:color w:val="auto"/>
                      <w:szCs w:val="21"/>
                      <w:highlight w:val="none"/>
                    </w:rPr>
                    <w:t>种类</w:t>
                  </w:r>
                </w:p>
              </w:tc>
              <w:tc>
                <w:tcPr>
                  <w:tcW w:w="1555" w:type="dxa"/>
                  <w:vAlign w:val="center"/>
                </w:tcPr>
                <w:p w14:paraId="042684D2">
                  <w:pPr>
                    <w:jc w:val="center"/>
                    <w:rPr>
                      <w:b/>
                      <w:bCs/>
                      <w:strike w:val="0"/>
                      <w:dstrike w:val="0"/>
                      <w:color w:val="auto"/>
                      <w:szCs w:val="21"/>
                      <w:highlight w:val="none"/>
                    </w:rPr>
                  </w:pPr>
                  <w:r>
                    <w:rPr>
                      <w:b/>
                      <w:bCs/>
                      <w:strike w:val="0"/>
                      <w:dstrike w:val="0"/>
                      <w:color w:val="auto"/>
                      <w:szCs w:val="21"/>
                      <w:highlight w:val="none"/>
                    </w:rPr>
                    <w:t>油量（t/a）</w:t>
                  </w:r>
                </w:p>
              </w:tc>
              <w:tc>
                <w:tcPr>
                  <w:tcW w:w="2278" w:type="dxa"/>
                  <w:vAlign w:val="center"/>
                </w:tcPr>
                <w:p w14:paraId="4A26461C">
                  <w:pPr>
                    <w:jc w:val="center"/>
                    <w:rPr>
                      <w:b/>
                      <w:bCs/>
                      <w:strike w:val="0"/>
                      <w:dstrike w:val="0"/>
                      <w:color w:val="auto"/>
                      <w:szCs w:val="21"/>
                      <w:highlight w:val="none"/>
                    </w:rPr>
                  </w:pPr>
                  <w:r>
                    <w:rPr>
                      <w:b/>
                      <w:bCs/>
                      <w:strike w:val="0"/>
                      <w:dstrike w:val="0"/>
                      <w:color w:val="auto"/>
                      <w:szCs w:val="21"/>
                      <w:highlight w:val="none"/>
                    </w:rPr>
                    <w:t>卸车损耗率</w:t>
                  </w:r>
                </w:p>
              </w:tc>
              <w:tc>
                <w:tcPr>
                  <w:tcW w:w="1671" w:type="dxa"/>
                  <w:vAlign w:val="center"/>
                </w:tcPr>
                <w:p w14:paraId="7518CEBB">
                  <w:pPr>
                    <w:jc w:val="center"/>
                    <w:rPr>
                      <w:b/>
                      <w:bCs/>
                      <w:strike w:val="0"/>
                      <w:dstrike w:val="0"/>
                      <w:color w:val="auto"/>
                      <w:szCs w:val="21"/>
                      <w:highlight w:val="none"/>
                    </w:rPr>
                  </w:pPr>
                  <w:r>
                    <w:rPr>
                      <w:b/>
                      <w:bCs/>
                      <w:strike w:val="0"/>
                      <w:dstrike w:val="0"/>
                      <w:color w:val="auto"/>
                      <w:szCs w:val="21"/>
                      <w:highlight w:val="none"/>
                    </w:rPr>
                    <w:t>损耗量（t/a）</w:t>
                  </w:r>
                </w:p>
              </w:tc>
            </w:tr>
            <w:tr w14:paraId="6750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Merge w:val="restart"/>
                  <w:vAlign w:val="center"/>
                </w:tcPr>
                <w:p w14:paraId="050F6A11">
                  <w:pPr>
                    <w:jc w:val="center"/>
                    <w:rPr>
                      <w:strike w:val="0"/>
                      <w:dstrike w:val="0"/>
                      <w:color w:val="auto"/>
                      <w:szCs w:val="21"/>
                      <w:highlight w:val="none"/>
                    </w:rPr>
                  </w:pPr>
                  <w:r>
                    <w:rPr>
                      <w:strike w:val="0"/>
                      <w:dstrike w:val="0"/>
                      <w:color w:val="auto"/>
                      <w:szCs w:val="21"/>
                      <w:highlight w:val="none"/>
                    </w:rPr>
                    <w:t>地下油罐贮存油品蒸发</w:t>
                  </w:r>
                </w:p>
              </w:tc>
              <w:tc>
                <w:tcPr>
                  <w:tcW w:w="1179" w:type="dxa"/>
                  <w:vAlign w:val="center"/>
                </w:tcPr>
                <w:p w14:paraId="3B774A42">
                  <w:pPr>
                    <w:jc w:val="center"/>
                    <w:rPr>
                      <w:strike w:val="0"/>
                      <w:dstrike w:val="0"/>
                      <w:color w:val="auto"/>
                      <w:szCs w:val="21"/>
                      <w:highlight w:val="none"/>
                    </w:rPr>
                  </w:pPr>
                  <w:r>
                    <w:rPr>
                      <w:strike w:val="0"/>
                      <w:dstrike w:val="0"/>
                      <w:color w:val="auto"/>
                      <w:szCs w:val="21"/>
                      <w:highlight w:val="none"/>
                    </w:rPr>
                    <w:t>柴油</w:t>
                  </w:r>
                </w:p>
              </w:tc>
              <w:tc>
                <w:tcPr>
                  <w:tcW w:w="1555" w:type="dxa"/>
                  <w:vAlign w:val="center"/>
                </w:tcPr>
                <w:p w14:paraId="3DA6133B">
                  <w:pPr>
                    <w:jc w:val="center"/>
                    <w:rPr>
                      <w:strike w:val="0"/>
                      <w:dstrike w:val="0"/>
                      <w:color w:val="auto"/>
                      <w:szCs w:val="21"/>
                      <w:highlight w:val="none"/>
                    </w:rPr>
                  </w:pPr>
                  <w:r>
                    <w:rPr>
                      <w:strike w:val="0"/>
                      <w:dstrike w:val="0"/>
                      <w:color w:val="auto"/>
                      <w:szCs w:val="21"/>
                      <w:highlight w:val="none"/>
                    </w:rPr>
                    <w:t>2000</w:t>
                  </w:r>
                </w:p>
              </w:tc>
              <w:tc>
                <w:tcPr>
                  <w:tcW w:w="2278" w:type="dxa"/>
                  <w:vAlign w:val="center"/>
                </w:tcPr>
                <w:p w14:paraId="7886A318">
                  <w:pPr>
                    <w:jc w:val="center"/>
                    <w:rPr>
                      <w:strike w:val="0"/>
                      <w:dstrike w:val="0"/>
                      <w:color w:val="auto"/>
                      <w:szCs w:val="21"/>
                      <w:highlight w:val="none"/>
                    </w:rPr>
                  </w:pPr>
                  <w:r>
                    <w:rPr>
                      <w:strike w:val="0"/>
                      <w:dstrike w:val="0"/>
                      <w:color w:val="auto"/>
                      <w:szCs w:val="21"/>
                      <w:highlight w:val="none"/>
                    </w:rPr>
                    <w:t>0.01%</w:t>
                  </w:r>
                </w:p>
              </w:tc>
              <w:tc>
                <w:tcPr>
                  <w:tcW w:w="1671" w:type="dxa"/>
                  <w:vAlign w:val="center"/>
                </w:tcPr>
                <w:p w14:paraId="42F42D18">
                  <w:pPr>
                    <w:widowControl/>
                    <w:jc w:val="center"/>
                    <w:textAlignment w:val="center"/>
                    <w:rPr>
                      <w:strike w:val="0"/>
                      <w:dstrike w:val="0"/>
                      <w:color w:val="auto"/>
                      <w:szCs w:val="21"/>
                      <w:highlight w:val="none"/>
                    </w:rPr>
                  </w:pPr>
                  <w:r>
                    <w:rPr>
                      <w:strike w:val="0"/>
                      <w:dstrike w:val="0"/>
                      <w:color w:val="auto"/>
                      <w:kern w:val="0"/>
                      <w:szCs w:val="21"/>
                      <w:highlight w:val="none"/>
                      <w:lang w:bidi="ar"/>
                    </w:rPr>
                    <w:t>0.20</w:t>
                  </w:r>
                </w:p>
              </w:tc>
            </w:tr>
            <w:tr w14:paraId="2EB7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Merge w:val="continue"/>
                  <w:vAlign w:val="center"/>
                </w:tcPr>
                <w:p w14:paraId="41C3826E">
                  <w:pPr>
                    <w:jc w:val="center"/>
                    <w:rPr>
                      <w:strike w:val="0"/>
                      <w:dstrike w:val="0"/>
                      <w:color w:val="auto"/>
                      <w:szCs w:val="21"/>
                      <w:highlight w:val="none"/>
                    </w:rPr>
                  </w:pPr>
                </w:p>
              </w:tc>
              <w:tc>
                <w:tcPr>
                  <w:tcW w:w="1179" w:type="dxa"/>
                  <w:vAlign w:val="center"/>
                </w:tcPr>
                <w:p w14:paraId="5783641A">
                  <w:pPr>
                    <w:jc w:val="center"/>
                    <w:rPr>
                      <w:strike w:val="0"/>
                      <w:dstrike w:val="0"/>
                      <w:color w:val="auto"/>
                      <w:szCs w:val="21"/>
                      <w:highlight w:val="none"/>
                    </w:rPr>
                  </w:pPr>
                  <w:r>
                    <w:rPr>
                      <w:strike w:val="0"/>
                      <w:dstrike w:val="0"/>
                      <w:color w:val="auto"/>
                      <w:szCs w:val="21"/>
                      <w:highlight w:val="none"/>
                    </w:rPr>
                    <w:t>汽油</w:t>
                  </w:r>
                </w:p>
              </w:tc>
              <w:tc>
                <w:tcPr>
                  <w:tcW w:w="1555" w:type="dxa"/>
                  <w:vAlign w:val="center"/>
                </w:tcPr>
                <w:p w14:paraId="016A0154">
                  <w:pPr>
                    <w:jc w:val="center"/>
                    <w:rPr>
                      <w:strike w:val="0"/>
                      <w:dstrike w:val="0"/>
                      <w:color w:val="auto"/>
                      <w:szCs w:val="21"/>
                      <w:highlight w:val="none"/>
                    </w:rPr>
                  </w:pPr>
                  <w:r>
                    <w:rPr>
                      <w:strike w:val="0"/>
                      <w:dstrike w:val="0"/>
                      <w:color w:val="auto"/>
                      <w:szCs w:val="21"/>
                      <w:highlight w:val="none"/>
                    </w:rPr>
                    <w:t>2000</w:t>
                  </w:r>
                </w:p>
              </w:tc>
              <w:tc>
                <w:tcPr>
                  <w:tcW w:w="2278" w:type="dxa"/>
                  <w:vAlign w:val="center"/>
                </w:tcPr>
                <w:p w14:paraId="0303E01A">
                  <w:pPr>
                    <w:jc w:val="center"/>
                    <w:rPr>
                      <w:strike w:val="0"/>
                      <w:dstrike w:val="0"/>
                      <w:color w:val="auto"/>
                      <w:szCs w:val="21"/>
                      <w:highlight w:val="none"/>
                    </w:rPr>
                  </w:pPr>
                  <w:r>
                    <w:rPr>
                      <w:strike w:val="0"/>
                      <w:dstrike w:val="0"/>
                      <w:color w:val="auto"/>
                      <w:szCs w:val="21"/>
                      <w:highlight w:val="none"/>
                    </w:rPr>
                    <w:t>0.01%</w:t>
                  </w:r>
                </w:p>
              </w:tc>
              <w:tc>
                <w:tcPr>
                  <w:tcW w:w="1671" w:type="dxa"/>
                  <w:vAlign w:val="center"/>
                </w:tcPr>
                <w:p w14:paraId="7C1E7F8A">
                  <w:pPr>
                    <w:widowControl/>
                    <w:jc w:val="center"/>
                    <w:textAlignment w:val="center"/>
                    <w:rPr>
                      <w:strike w:val="0"/>
                      <w:dstrike w:val="0"/>
                      <w:color w:val="auto"/>
                      <w:szCs w:val="21"/>
                      <w:highlight w:val="none"/>
                    </w:rPr>
                  </w:pPr>
                  <w:r>
                    <w:rPr>
                      <w:strike w:val="0"/>
                      <w:dstrike w:val="0"/>
                      <w:color w:val="auto"/>
                      <w:kern w:val="0"/>
                      <w:szCs w:val="21"/>
                      <w:highlight w:val="none"/>
                      <w:lang w:bidi="ar"/>
                    </w:rPr>
                    <w:t>0.20</w:t>
                  </w:r>
                </w:p>
              </w:tc>
            </w:tr>
          </w:tbl>
          <w:p w14:paraId="75279F56">
            <w:pPr>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3 \* GB2 \* MERGEFORMAT </w:instrText>
            </w:r>
            <w:r>
              <w:rPr>
                <w:b/>
                <w:bCs/>
                <w:strike w:val="0"/>
                <w:dstrike w:val="0"/>
                <w:color w:val="auto"/>
                <w:sz w:val="24"/>
                <w:highlight w:val="none"/>
              </w:rPr>
              <w:fldChar w:fldCharType="separate"/>
            </w:r>
            <w:r>
              <w:rPr>
                <w:b/>
                <w:bCs/>
                <w:strike w:val="0"/>
                <w:dstrike w:val="0"/>
                <w:color w:val="auto"/>
                <w:sz w:val="24"/>
                <w:highlight w:val="none"/>
              </w:rPr>
              <w:t>⑶</w:t>
            </w:r>
            <w:r>
              <w:rPr>
                <w:b/>
                <w:bCs/>
                <w:strike w:val="0"/>
                <w:dstrike w:val="0"/>
                <w:color w:val="auto"/>
                <w:sz w:val="24"/>
                <w:highlight w:val="none"/>
              </w:rPr>
              <w:fldChar w:fldCharType="end"/>
            </w:r>
            <w:r>
              <w:rPr>
                <w:b/>
                <w:bCs/>
                <w:strike w:val="0"/>
                <w:dstrike w:val="0"/>
                <w:color w:val="auto"/>
                <w:sz w:val="24"/>
                <w:highlight w:val="none"/>
              </w:rPr>
              <w:t>加油废气G3（G3-1、G3-2）</w:t>
            </w:r>
          </w:p>
          <w:p w14:paraId="2DC23B5F">
            <w:pPr>
              <w:spacing w:line="360" w:lineRule="auto"/>
              <w:ind w:firstLine="480" w:firstLineChars="200"/>
              <w:jc w:val="left"/>
              <w:rPr>
                <w:strike w:val="0"/>
                <w:dstrike w:val="0"/>
                <w:color w:val="auto"/>
                <w:sz w:val="24"/>
                <w:szCs w:val="32"/>
                <w:highlight w:val="none"/>
              </w:rPr>
            </w:pPr>
            <w:r>
              <w:rPr>
                <w:strike w:val="0"/>
                <w:dstrike w:val="0"/>
                <w:color w:val="auto"/>
                <w:sz w:val="24"/>
                <w:szCs w:val="32"/>
                <w:highlight w:val="none"/>
              </w:rPr>
              <w:t>车辆加油过程中排放的油气主要来自于装入的汽油逐出汽车油箱内的蒸汽，被逐出的蒸汽量随汽油温度、汽车油箱温度汽油蒸汽压力</w:t>
            </w:r>
            <w:r>
              <w:rPr>
                <w:rFonts w:eastAsia="TimesNewRomanPSMT"/>
                <w:strike w:val="0"/>
                <w:dstrike w:val="0"/>
                <w:color w:val="auto"/>
                <w:sz w:val="24"/>
                <w:szCs w:val="32"/>
                <w:highlight w:val="none"/>
              </w:rPr>
              <w:t>(RVP)</w:t>
            </w:r>
            <w:r>
              <w:rPr>
                <w:strike w:val="0"/>
                <w:dstrike w:val="0"/>
                <w:color w:val="auto"/>
                <w:sz w:val="24"/>
                <w:szCs w:val="32"/>
                <w:highlight w:val="none"/>
              </w:rPr>
              <w:t>和装油速率而变动。根据《散装液态石油产品损耗》</w:t>
            </w:r>
            <w:r>
              <w:rPr>
                <w:rFonts w:eastAsia="TimesNewRomanPSMT"/>
                <w:strike w:val="0"/>
                <w:dstrike w:val="0"/>
                <w:color w:val="auto"/>
                <w:sz w:val="24"/>
                <w:szCs w:val="32"/>
                <w:highlight w:val="none"/>
              </w:rPr>
              <w:t>(GH11085-89)</w:t>
            </w:r>
            <w:r>
              <w:rPr>
                <w:strike w:val="0"/>
                <w:dstrike w:val="0"/>
                <w:color w:val="auto"/>
                <w:sz w:val="24"/>
                <w:szCs w:val="32"/>
                <w:highlight w:val="none"/>
              </w:rPr>
              <w:t>中的零售损耗</w:t>
            </w:r>
            <w:r>
              <w:rPr>
                <w:rFonts w:eastAsia="TimesNewRomanPSMT"/>
                <w:strike w:val="0"/>
                <w:dstrike w:val="0"/>
                <w:color w:val="auto"/>
                <w:sz w:val="24"/>
                <w:szCs w:val="32"/>
                <w:highlight w:val="none"/>
              </w:rPr>
              <w:t>(</w:t>
            </w:r>
            <w:r>
              <w:rPr>
                <w:strike w:val="0"/>
                <w:dstrike w:val="0"/>
                <w:color w:val="auto"/>
                <w:sz w:val="24"/>
                <w:szCs w:val="32"/>
                <w:highlight w:val="none"/>
              </w:rPr>
              <w:t>机动车加油</w:t>
            </w:r>
            <w:r>
              <w:rPr>
                <w:rFonts w:eastAsia="TimesNewRomanPSMT"/>
                <w:strike w:val="0"/>
                <w:dstrike w:val="0"/>
                <w:color w:val="auto"/>
                <w:sz w:val="24"/>
                <w:szCs w:val="32"/>
                <w:highlight w:val="none"/>
              </w:rPr>
              <w:t>)</w:t>
            </w:r>
            <w:r>
              <w:rPr>
                <w:strike w:val="0"/>
                <w:dstrike w:val="0"/>
                <w:color w:val="auto"/>
                <w:sz w:val="24"/>
                <w:szCs w:val="32"/>
                <w:highlight w:val="none"/>
              </w:rPr>
              <w:t>计算油品损失，见表</w:t>
            </w:r>
            <w:r>
              <w:rPr>
                <w:rFonts w:eastAsia="TimesNewRomanPSMT"/>
                <w:strike w:val="0"/>
                <w:dstrike w:val="0"/>
                <w:color w:val="auto"/>
                <w:sz w:val="24"/>
                <w:szCs w:val="32"/>
                <w:highlight w:val="none"/>
              </w:rPr>
              <w:t>4</w:t>
            </w:r>
            <w:r>
              <w:rPr>
                <w:strike w:val="0"/>
                <w:dstrike w:val="0"/>
                <w:color w:val="auto"/>
                <w:sz w:val="24"/>
                <w:szCs w:val="32"/>
                <w:highlight w:val="none"/>
              </w:rPr>
              <w:t>.2</w:t>
            </w:r>
            <w:r>
              <w:rPr>
                <w:rFonts w:eastAsia="TimesNewRomanPSMT"/>
                <w:strike w:val="0"/>
                <w:dstrike w:val="0"/>
                <w:color w:val="auto"/>
                <w:sz w:val="24"/>
                <w:szCs w:val="32"/>
                <w:highlight w:val="none"/>
              </w:rPr>
              <w:t>-</w:t>
            </w:r>
            <w:r>
              <w:rPr>
                <w:rFonts w:hint="eastAsia" w:eastAsia="TimesNewRomanPSMT"/>
                <w:strike w:val="0"/>
                <w:dstrike w:val="0"/>
                <w:color w:val="auto"/>
                <w:sz w:val="24"/>
                <w:szCs w:val="32"/>
                <w:highlight w:val="none"/>
                <w:lang w:val="en-US" w:eastAsia="zh-CN"/>
              </w:rPr>
              <w:t>3</w:t>
            </w:r>
            <w:r>
              <w:rPr>
                <w:strike w:val="0"/>
                <w:dstrike w:val="0"/>
                <w:color w:val="auto"/>
                <w:sz w:val="24"/>
                <w:szCs w:val="32"/>
                <w:highlight w:val="none"/>
              </w:rPr>
              <w:t>。</w:t>
            </w:r>
          </w:p>
          <w:p w14:paraId="6F4C96F5">
            <w:pPr>
              <w:spacing w:line="360" w:lineRule="auto"/>
              <w:jc w:val="center"/>
              <w:rPr>
                <w:b/>
                <w:bCs/>
                <w:strike w:val="0"/>
                <w:dstrike w:val="0"/>
                <w:color w:val="auto"/>
                <w:sz w:val="24"/>
                <w:szCs w:val="32"/>
                <w:highlight w:val="none"/>
              </w:rPr>
            </w:pPr>
            <w:r>
              <w:rPr>
                <w:b/>
                <w:bCs/>
                <w:strike w:val="0"/>
                <w:dstrike w:val="0"/>
                <w:color w:val="auto"/>
                <w:sz w:val="24"/>
                <w:szCs w:val="32"/>
                <w:highlight w:val="none"/>
              </w:rPr>
              <w:t>表</w:t>
            </w:r>
            <w:r>
              <w:rPr>
                <w:rFonts w:eastAsia="TimesNewRomanPSMT"/>
                <w:b/>
                <w:bCs/>
                <w:strike w:val="0"/>
                <w:dstrike w:val="0"/>
                <w:color w:val="auto"/>
                <w:sz w:val="24"/>
                <w:szCs w:val="32"/>
                <w:highlight w:val="none"/>
              </w:rPr>
              <w:t>4.2-</w:t>
            </w:r>
            <w:r>
              <w:rPr>
                <w:rFonts w:hint="eastAsia" w:eastAsia="TimesNewRomanPSMT"/>
                <w:b/>
                <w:bCs/>
                <w:strike w:val="0"/>
                <w:dstrike w:val="0"/>
                <w:color w:val="auto"/>
                <w:sz w:val="24"/>
                <w:szCs w:val="32"/>
                <w:highlight w:val="none"/>
                <w:lang w:val="en-US" w:eastAsia="zh-CN"/>
              </w:rPr>
              <w:t>3</w:t>
            </w:r>
            <w:r>
              <w:rPr>
                <w:rFonts w:eastAsia="TimesNewRomanPSMT"/>
                <w:b/>
                <w:bCs/>
                <w:strike w:val="0"/>
                <w:dstrike w:val="0"/>
                <w:color w:val="auto"/>
                <w:sz w:val="24"/>
                <w:szCs w:val="32"/>
                <w:highlight w:val="none"/>
              </w:rPr>
              <w:t xml:space="preserve"> </w:t>
            </w:r>
            <w:r>
              <w:rPr>
                <w:b/>
                <w:bCs/>
                <w:strike w:val="0"/>
                <w:dstrike w:val="0"/>
                <w:color w:val="auto"/>
                <w:sz w:val="24"/>
                <w:szCs w:val="32"/>
                <w:highlight w:val="none"/>
              </w:rPr>
              <w:t xml:space="preserve"> 加油过程油气蒸发情况一览表</w:t>
            </w:r>
          </w:p>
          <w:tbl>
            <w:tblPr>
              <w:tblStyle w:val="23"/>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179"/>
              <w:gridCol w:w="1555"/>
              <w:gridCol w:w="2278"/>
              <w:gridCol w:w="1671"/>
            </w:tblGrid>
            <w:tr w14:paraId="616C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Align w:val="center"/>
                </w:tcPr>
                <w:p w14:paraId="04D510D8">
                  <w:pPr>
                    <w:jc w:val="center"/>
                    <w:rPr>
                      <w:b/>
                      <w:bCs/>
                      <w:strike w:val="0"/>
                      <w:dstrike w:val="0"/>
                      <w:color w:val="auto"/>
                      <w:szCs w:val="21"/>
                      <w:highlight w:val="none"/>
                    </w:rPr>
                  </w:pPr>
                  <w:r>
                    <w:rPr>
                      <w:b/>
                      <w:bCs/>
                      <w:strike w:val="0"/>
                      <w:dstrike w:val="0"/>
                      <w:color w:val="auto"/>
                      <w:szCs w:val="21"/>
                      <w:highlight w:val="none"/>
                    </w:rPr>
                    <w:t>产生源</w:t>
                  </w:r>
                </w:p>
              </w:tc>
              <w:tc>
                <w:tcPr>
                  <w:tcW w:w="1179" w:type="dxa"/>
                  <w:vAlign w:val="center"/>
                </w:tcPr>
                <w:p w14:paraId="77A6CE2B">
                  <w:pPr>
                    <w:jc w:val="center"/>
                    <w:rPr>
                      <w:b/>
                      <w:bCs/>
                      <w:strike w:val="0"/>
                      <w:dstrike w:val="0"/>
                      <w:color w:val="auto"/>
                      <w:szCs w:val="21"/>
                      <w:highlight w:val="none"/>
                    </w:rPr>
                  </w:pPr>
                  <w:r>
                    <w:rPr>
                      <w:b/>
                      <w:bCs/>
                      <w:strike w:val="0"/>
                      <w:dstrike w:val="0"/>
                      <w:color w:val="auto"/>
                      <w:szCs w:val="21"/>
                      <w:highlight w:val="none"/>
                    </w:rPr>
                    <w:t>种类</w:t>
                  </w:r>
                </w:p>
              </w:tc>
              <w:tc>
                <w:tcPr>
                  <w:tcW w:w="1555" w:type="dxa"/>
                  <w:vAlign w:val="center"/>
                </w:tcPr>
                <w:p w14:paraId="057052E5">
                  <w:pPr>
                    <w:jc w:val="center"/>
                    <w:rPr>
                      <w:b/>
                      <w:bCs/>
                      <w:strike w:val="0"/>
                      <w:dstrike w:val="0"/>
                      <w:color w:val="auto"/>
                      <w:szCs w:val="21"/>
                      <w:highlight w:val="none"/>
                    </w:rPr>
                  </w:pPr>
                  <w:r>
                    <w:rPr>
                      <w:b/>
                      <w:bCs/>
                      <w:strike w:val="0"/>
                      <w:dstrike w:val="0"/>
                      <w:color w:val="auto"/>
                      <w:szCs w:val="21"/>
                      <w:highlight w:val="none"/>
                    </w:rPr>
                    <w:t>油量（t/a）</w:t>
                  </w:r>
                </w:p>
              </w:tc>
              <w:tc>
                <w:tcPr>
                  <w:tcW w:w="2278" w:type="dxa"/>
                  <w:vAlign w:val="center"/>
                </w:tcPr>
                <w:p w14:paraId="0D8C5831">
                  <w:pPr>
                    <w:jc w:val="center"/>
                    <w:rPr>
                      <w:b/>
                      <w:bCs/>
                      <w:strike w:val="0"/>
                      <w:dstrike w:val="0"/>
                      <w:color w:val="auto"/>
                      <w:szCs w:val="21"/>
                      <w:highlight w:val="none"/>
                    </w:rPr>
                  </w:pPr>
                  <w:r>
                    <w:rPr>
                      <w:b/>
                      <w:bCs/>
                      <w:strike w:val="0"/>
                      <w:dstrike w:val="0"/>
                      <w:color w:val="auto"/>
                      <w:szCs w:val="21"/>
                      <w:highlight w:val="none"/>
                    </w:rPr>
                    <w:t>卸车损耗率</w:t>
                  </w:r>
                </w:p>
              </w:tc>
              <w:tc>
                <w:tcPr>
                  <w:tcW w:w="1671" w:type="dxa"/>
                  <w:vAlign w:val="center"/>
                </w:tcPr>
                <w:p w14:paraId="1454E443">
                  <w:pPr>
                    <w:jc w:val="center"/>
                    <w:rPr>
                      <w:b/>
                      <w:bCs/>
                      <w:strike w:val="0"/>
                      <w:dstrike w:val="0"/>
                      <w:color w:val="auto"/>
                      <w:szCs w:val="21"/>
                      <w:highlight w:val="none"/>
                    </w:rPr>
                  </w:pPr>
                  <w:r>
                    <w:rPr>
                      <w:b/>
                      <w:bCs/>
                      <w:strike w:val="0"/>
                      <w:dstrike w:val="0"/>
                      <w:color w:val="auto"/>
                      <w:szCs w:val="21"/>
                      <w:highlight w:val="none"/>
                    </w:rPr>
                    <w:t>损耗量（t/a）</w:t>
                  </w:r>
                </w:p>
              </w:tc>
            </w:tr>
            <w:tr w14:paraId="6A83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Merge w:val="restart"/>
                  <w:vAlign w:val="center"/>
                </w:tcPr>
                <w:p w14:paraId="47413F8C">
                  <w:pPr>
                    <w:jc w:val="center"/>
                    <w:rPr>
                      <w:strike w:val="0"/>
                      <w:dstrike w:val="0"/>
                      <w:color w:val="auto"/>
                      <w:szCs w:val="21"/>
                      <w:highlight w:val="none"/>
                    </w:rPr>
                  </w:pPr>
                  <w:r>
                    <w:rPr>
                      <w:strike w:val="0"/>
                      <w:dstrike w:val="0"/>
                      <w:color w:val="auto"/>
                      <w:szCs w:val="21"/>
                      <w:highlight w:val="none"/>
                    </w:rPr>
                    <w:t>加油作业蒸发</w:t>
                  </w:r>
                </w:p>
              </w:tc>
              <w:tc>
                <w:tcPr>
                  <w:tcW w:w="1179" w:type="dxa"/>
                  <w:vAlign w:val="center"/>
                </w:tcPr>
                <w:p w14:paraId="579A8917">
                  <w:pPr>
                    <w:jc w:val="center"/>
                    <w:rPr>
                      <w:strike w:val="0"/>
                      <w:dstrike w:val="0"/>
                      <w:color w:val="auto"/>
                      <w:szCs w:val="21"/>
                      <w:highlight w:val="none"/>
                    </w:rPr>
                  </w:pPr>
                  <w:r>
                    <w:rPr>
                      <w:strike w:val="0"/>
                      <w:dstrike w:val="0"/>
                      <w:color w:val="auto"/>
                      <w:szCs w:val="21"/>
                      <w:highlight w:val="none"/>
                    </w:rPr>
                    <w:t>柴油</w:t>
                  </w:r>
                </w:p>
              </w:tc>
              <w:tc>
                <w:tcPr>
                  <w:tcW w:w="1555" w:type="dxa"/>
                  <w:vAlign w:val="center"/>
                </w:tcPr>
                <w:p w14:paraId="608702E6">
                  <w:pPr>
                    <w:jc w:val="center"/>
                    <w:rPr>
                      <w:strike w:val="0"/>
                      <w:dstrike w:val="0"/>
                      <w:color w:val="auto"/>
                      <w:szCs w:val="21"/>
                      <w:highlight w:val="none"/>
                    </w:rPr>
                  </w:pPr>
                  <w:r>
                    <w:rPr>
                      <w:strike w:val="0"/>
                      <w:dstrike w:val="0"/>
                      <w:color w:val="auto"/>
                      <w:szCs w:val="21"/>
                      <w:highlight w:val="none"/>
                    </w:rPr>
                    <w:t>2000</w:t>
                  </w:r>
                </w:p>
              </w:tc>
              <w:tc>
                <w:tcPr>
                  <w:tcW w:w="2278" w:type="dxa"/>
                  <w:vAlign w:val="center"/>
                </w:tcPr>
                <w:p w14:paraId="273CBF2C">
                  <w:pPr>
                    <w:jc w:val="center"/>
                    <w:rPr>
                      <w:strike w:val="0"/>
                      <w:dstrike w:val="0"/>
                      <w:color w:val="auto"/>
                      <w:szCs w:val="21"/>
                      <w:highlight w:val="none"/>
                    </w:rPr>
                  </w:pPr>
                  <w:r>
                    <w:rPr>
                      <w:strike w:val="0"/>
                      <w:dstrike w:val="0"/>
                      <w:color w:val="auto"/>
                      <w:szCs w:val="21"/>
                      <w:highlight w:val="none"/>
                    </w:rPr>
                    <w:t>0.08%</w:t>
                  </w:r>
                </w:p>
              </w:tc>
              <w:tc>
                <w:tcPr>
                  <w:tcW w:w="1671" w:type="dxa"/>
                  <w:vAlign w:val="center"/>
                </w:tcPr>
                <w:p w14:paraId="59D37E2D">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1.60 </w:t>
                  </w:r>
                </w:p>
              </w:tc>
            </w:tr>
            <w:tr w14:paraId="2D29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0" w:type="dxa"/>
                  <w:vMerge w:val="continue"/>
                  <w:vAlign w:val="center"/>
                </w:tcPr>
                <w:p w14:paraId="1AA2C8E6">
                  <w:pPr>
                    <w:jc w:val="center"/>
                    <w:rPr>
                      <w:strike w:val="0"/>
                      <w:dstrike w:val="0"/>
                      <w:color w:val="auto"/>
                      <w:szCs w:val="21"/>
                      <w:highlight w:val="none"/>
                    </w:rPr>
                  </w:pPr>
                </w:p>
              </w:tc>
              <w:tc>
                <w:tcPr>
                  <w:tcW w:w="1179" w:type="dxa"/>
                  <w:vAlign w:val="center"/>
                </w:tcPr>
                <w:p w14:paraId="52469076">
                  <w:pPr>
                    <w:jc w:val="center"/>
                    <w:rPr>
                      <w:strike w:val="0"/>
                      <w:dstrike w:val="0"/>
                      <w:color w:val="auto"/>
                      <w:szCs w:val="21"/>
                      <w:highlight w:val="none"/>
                    </w:rPr>
                  </w:pPr>
                  <w:r>
                    <w:rPr>
                      <w:strike w:val="0"/>
                      <w:dstrike w:val="0"/>
                      <w:color w:val="auto"/>
                      <w:szCs w:val="21"/>
                      <w:highlight w:val="none"/>
                    </w:rPr>
                    <w:t>汽油</w:t>
                  </w:r>
                </w:p>
              </w:tc>
              <w:tc>
                <w:tcPr>
                  <w:tcW w:w="1555" w:type="dxa"/>
                  <w:vAlign w:val="center"/>
                </w:tcPr>
                <w:p w14:paraId="188ECA4C">
                  <w:pPr>
                    <w:jc w:val="center"/>
                    <w:rPr>
                      <w:strike w:val="0"/>
                      <w:dstrike w:val="0"/>
                      <w:color w:val="auto"/>
                      <w:szCs w:val="21"/>
                      <w:highlight w:val="none"/>
                    </w:rPr>
                  </w:pPr>
                  <w:r>
                    <w:rPr>
                      <w:strike w:val="0"/>
                      <w:dstrike w:val="0"/>
                      <w:color w:val="auto"/>
                      <w:szCs w:val="21"/>
                      <w:highlight w:val="none"/>
                    </w:rPr>
                    <w:t>2000</w:t>
                  </w:r>
                </w:p>
              </w:tc>
              <w:tc>
                <w:tcPr>
                  <w:tcW w:w="2278" w:type="dxa"/>
                  <w:vAlign w:val="center"/>
                </w:tcPr>
                <w:p w14:paraId="1BD5CDE3">
                  <w:pPr>
                    <w:jc w:val="center"/>
                    <w:rPr>
                      <w:strike w:val="0"/>
                      <w:dstrike w:val="0"/>
                      <w:color w:val="auto"/>
                      <w:szCs w:val="21"/>
                      <w:highlight w:val="none"/>
                    </w:rPr>
                  </w:pPr>
                  <w:r>
                    <w:rPr>
                      <w:strike w:val="0"/>
                      <w:dstrike w:val="0"/>
                      <w:color w:val="auto"/>
                      <w:szCs w:val="21"/>
                      <w:highlight w:val="none"/>
                    </w:rPr>
                    <w:t>0.29%</w:t>
                  </w:r>
                </w:p>
              </w:tc>
              <w:tc>
                <w:tcPr>
                  <w:tcW w:w="1671" w:type="dxa"/>
                  <w:vAlign w:val="center"/>
                </w:tcPr>
                <w:p w14:paraId="5F2E94D0">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5.80 </w:t>
                  </w:r>
                </w:p>
              </w:tc>
            </w:tr>
          </w:tbl>
          <w:p w14:paraId="758D1915">
            <w:pPr>
              <w:spacing w:line="360" w:lineRule="auto"/>
              <w:ind w:firstLine="480" w:firstLineChars="200"/>
              <w:jc w:val="left"/>
              <w:rPr>
                <w:strike w:val="0"/>
                <w:dstrike w:val="0"/>
                <w:color w:val="auto"/>
                <w:sz w:val="24"/>
                <w:szCs w:val="32"/>
                <w:highlight w:val="none"/>
              </w:rPr>
            </w:pPr>
            <w:r>
              <w:rPr>
                <w:strike w:val="0"/>
                <w:dstrike w:val="0"/>
                <w:color w:val="auto"/>
                <w:sz w:val="24"/>
                <w:szCs w:val="32"/>
                <w:highlight w:val="none"/>
              </w:rPr>
              <w:t>加油油气回收系统</w:t>
            </w:r>
            <w:bookmarkStart w:id="85" w:name="OfficeAI_Add_0_9"/>
            <w:r>
              <w:rPr>
                <w:rFonts w:hint="eastAsia"/>
                <w:strike w:val="0"/>
                <w:dstrike w:val="0"/>
                <w:color w:val="auto"/>
                <w:sz w:val="24"/>
                <w:szCs w:val="32"/>
                <w:highlight w:val="none"/>
                <w:lang w:eastAsia="zh-CN"/>
              </w:rPr>
              <w:t>在</w:t>
            </w:r>
            <w:bookmarkEnd w:id="85"/>
            <w:r>
              <w:rPr>
                <w:strike w:val="0"/>
                <w:dstrike w:val="0"/>
                <w:color w:val="auto"/>
                <w:sz w:val="24"/>
                <w:szCs w:val="32"/>
                <w:highlight w:val="none"/>
              </w:rPr>
              <w:t>车辆加油时，</w:t>
            </w:r>
            <w:bookmarkStart w:id="86" w:name="OfficeAI_Add_0_16"/>
            <w:r>
              <w:rPr>
                <w:rFonts w:hint="eastAsia"/>
                <w:strike w:val="0"/>
                <w:dstrike w:val="0"/>
                <w:color w:val="auto"/>
                <w:sz w:val="24"/>
                <w:szCs w:val="32"/>
                <w:highlight w:val="none"/>
                <w:lang w:eastAsia="zh-CN"/>
              </w:rPr>
              <w:t>将</w:t>
            </w:r>
            <w:bookmarkEnd w:id="86"/>
            <w:r>
              <w:rPr>
                <w:strike w:val="0"/>
                <w:dstrike w:val="0"/>
                <w:color w:val="auto"/>
                <w:sz w:val="24"/>
                <w:szCs w:val="32"/>
                <w:highlight w:val="none"/>
              </w:rPr>
              <w:t>车辆油箱上空产生的油气通过真空辅助回收系统按气液比</w:t>
            </w:r>
            <w:r>
              <w:rPr>
                <w:rFonts w:eastAsia="TimesNewRomanPSMT"/>
                <w:strike w:val="0"/>
                <w:dstrike w:val="0"/>
                <w:color w:val="auto"/>
                <w:sz w:val="24"/>
                <w:szCs w:val="32"/>
                <w:highlight w:val="none"/>
              </w:rPr>
              <w:t>1.1</w:t>
            </w:r>
            <w:r>
              <w:rPr>
                <w:strike w:val="0"/>
                <w:dstrike w:val="0"/>
                <w:color w:val="auto"/>
                <w:sz w:val="24"/>
                <w:szCs w:val="32"/>
                <w:highlight w:val="none"/>
              </w:rPr>
              <w:t>：</w:t>
            </w:r>
            <w:r>
              <w:rPr>
                <w:rFonts w:eastAsia="TimesNewRomanPSMT"/>
                <w:strike w:val="0"/>
                <w:dstrike w:val="0"/>
                <w:color w:val="auto"/>
                <w:sz w:val="24"/>
                <w:szCs w:val="32"/>
                <w:highlight w:val="none"/>
              </w:rPr>
              <w:t>1</w:t>
            </w:r>
            <w:r>
              <w:rPr>
                <w:rFonts w:hint="eastAsia" w:eastAsia="TimesNewRomanPSMT"/>
                <w:strike w:val="0"/>
                <w:dstrike w:val="0"/>
                <w:color w:val="auto"/>
                <w:sz w:val="24"/>
                <w:szCs w:val="32"/>
                <w:highlight w:val="none"/>
                <w:lang w:eastAsia="zh-CN"/>
              </w:rPr>
              <w:t xml:space="preserve"> </w:t>
            </w:r>
            <w:r>
              <w:rPr>
                <w:strike w:val="0"/>
                <w:dstrike w:val="0"/>
                <w:color w:val="auto"/>
                <w:sz w:val="24"/>
                <w:szCs w:val="32"/>
                <w:highlight w:val="none"/>
              </w:rPr>
              <w:t>的比例回收至埋地油罐内，汽油回收效率为</w:t>
            </w:r>
            <w:r>
              <w:rPr>
                <w:rFonts w:eastAsia="TimesNewRomanPSMT"/>
                <w:strike w:val="0"/>
                <w:dstrike w:val="0"/>
                <w:color w:val="auto"/>
                <w:sz w:val="24"/>
                <w:szCs w:val="32"/>
                <w:highlight w:val="none"/>
              </w:rPr>
              <w:t>90%</w:t>
            </w:r>
            <w:r>
              <w:rPr>
                <w:strike w:val="0"/>
                <w:dstrike w:val="0"/>
                <w:color w:val="auto"/>
                <w:sz w:val="24"/>
                <w:szCs w:val="32"/>
                <w:highlight w:val="none"/>
              </w:rPr>
              <w:t>。回收系统回收的油气和空气混合物将平衡埋地油罐的气</w:t>
            </w:r>
            <w:r>
              <w:rPr>
                <w:rFonts w:hint="eastAsia"/>
                <w:strike w:val="0"/>
                <w:dstrike w:val="0"/>
                <w:color w:val="auto"/>
                <w:sz w:val="24"/>
                <w:szCs w:val="32"/>
                <w:highlight w:val="none"/>
                <w:lang w:val="en-US" w:eastAsia="zh-CN"/>
              </w:rPr>
              <w:t>平衡</w:t>
            </w:r>
            <w:r>
              <w:rPr>
                <w:strike w:val="0"/>
                <w:dstrike w:val="0"/>
                <w:color w:val="auto"/>
                <w:sz w:val="24"/>
                <w:szCs w:val="32"/>
                <w:highlight w:val="none"/>
              </w:rPr>
              <w:t>，多余体积</w:t>
            </w:r>
            <w:bookmarkStart w:id="87" w:name="OfficeAI_Add_0_103"/>
            <w:r>
              <w:rPr>
                <w:rFonts w:hint="eastAsia"/>
                <w:strike w:val="0"/>
                <w:dstrike w:val="0"/>
                <w:color w:val="auto"/>
                <w:sz w:val="24"/>
                <w:szCs w:val="32"/>
                <w:highlight w:val="none"/>
                <w:lang w:eastAsia="zh-CN"/>
              </w:rPr>
              <w:t>的</w:t>
            </w:r>
            <w:bookmarkEnd w:id="87"/>
            <w:r>
              <w:rPr>
                <w:strike w:val="0"/>
                <w:dstrike w:val="0"/>
                <w:color w:val="auto"/>
                <w:sz w:val="24"/>
                <w:szCs w:val="32"/>
                <w:highlight w:val="none"/>
              </w:rPr>
              <w:t>气体则因油罐外温度变化，通过通气立管排入环境。</w:t>
            </w:r>
          </w:p>
          <w:p w14:paraId="4513C279">
            <w:pPr>
              <w:spacing w:line="360" w:lineRule="auto"/>
              <w:ind w:firstLine="480" w:firstLineChars="200"/>
              <w:jc w:val="left"/>
              <w:rPr>
                <w:strike w:val="0"/>
                <w:dstrike w:val="0"/>
                <w:color w:val="auto"/>
                <w:sz w:val="24"/>
                <w:szCs w:val="32"/>
                <w:highlight w:val="none"/>
              </w:rPr>
            </w:pPr>
            <w:r>
              <w:rPr>
                <w:strike w:val="0"/>
                <w:dstrike w:val="0"/>
                <w:color w:val="auto"/>
                <w:sz w:val="24"/>
                <w:szCs w:val="32"/>
                <w:highlight w:val="none"/>
              </w:rPr>
              <w:t>通过以上分析：项目</w:t>
            </w:r>
            <w:r>
              <w:rPr>
                <w:strike w:val="0"/>
                <w:dstrike w:val="0"/>
                <w:color w:val="auto"/>
                <w:sz w:val="24"/>
                <w:highlight w:val="none"/>
              </w:rPr>
              <w:t>年销售汽油2000</w:t>
            </w:r>
            <w:r>
              <w:rPr>
                <w:rFonts w:eastAsia="TimesNewRomanPSMT"/>
                <w:strike w:val="0"/>
                <w:dstrike w:val="0"/>
                <w:color w:val="auto"/>
                <w:sz w:val="24"/>
                <w:highlight w:val="none"/>
              </w:rPr>
              <w:t xml:space="preserve"> t</w:t>
            </w:r>
            <w:r>
              <w:rPr>
                <w:strike w:val="0"/>
                <w:dstrike w:val="0"/>
                <w:color w:val="auto"/>
                <w:sz w:val="24"/>
                <w:highlight w:val="none"/>
              </w:rPr>
              <w:t>、柴油2000</w:t>
            </w:r>
            <w:r>
              <w:rPr>
                <w:rFonts w:eastAsia="TimesNewRomanPSMT"/>
                <w:strike w:val="0"/>
                <w:dstrike w:val="0"/>
                <w:color w:val="auto"/>
                <w:sz w:val="24"/>
                <w:highlight w:val="none"/>
              </w:rPr>
              <w:t>t</w:t>
            </w:r>
            <w:r>
              <w:rPr>
                <w:strike w:val="0"/>
                <w:dstrike w:val="0"/>
                <w:color w:val="auto"/>
                <w:sz w:val="24"/>
                <w:highlight w:val="none"/>
              </w:rPr>
              <w:t>，</w:t>
            </w:r>
            <w:r>
              <w:rPr>
                <w:strike w:val="0"/>
                <w:dstrike w:val="0"/>
                <w:color w:val="auto"/>
                <w:sz w:val="24"/>
                <w:szCs w:val="32"/>
                <w:highlight w:val="none"/>
              </w:rPr>
              <w:t>项目投产后非甲烷总烃产生、削减及排放情况见下表</w:t>
            </w:r>
            <w:r>
              <w:rPr>
                <w:rFonts w:eastAsia="TimesNewRomanPSMT"/>
                <w:strike w:val="0"/>
                <w:dstrike w:val="0"/>
                <w:color w:val="auto"/>
                <w:sz w:val="24"/>
                <w:szCs w:val="32"/>
                <w:highlight w:val="none"/>
              </w:rPr>
              <w:t>4</w:t>
            </w:r>
            <w:r>
              <w:rPr>
                <w:strike w:val="0"/>
                <w:dstrike w:val="0"/>
                <w:color w:val="auto"/>
                <w:sz w:val="24"/>
                <w:szCs w:val="32"/>
                <w:highlight w:val="none"/>
              </w:rPr>
              <w:t>.2</w:t>
            </w:r>
            <w:r>
              <w:rPr>
                <w:rFonts w:eastAsia="TimesNewRomanPSMT"/>
                <w:strike w:val="0"/>
                <w:dstrike w:val="0"/>
                <w:color w:val="auto"/>
                <w:sz w:val="24"/>
                <w:szCs w:val="32"/>
                <w:highlight w:val="none"/>
              </w:rPr>
              <w:t>-</w:t>
            </w:r>
            <w:r>
              <w:rPr>
                <w:rFonts w:hint="eastAsia" w:eastAsia="TimesNewRomanPSMT"/>
                <w:strike w:val="0"/>
                <w:dstrike w:val="0"/>
                <w:color w:val="auto"/>
                <w:sz w:val="24"/>
                <w:szCs w:val="32"/>
                <w:highlight w:val="none"/>
                <w:lang w:val="en-US" w:eastAsia="zh-CN"/>
              </w:rPr>
              <w:t>4</w:t>
            </w:r>
            <w:r>
              <w:rPr>
                <w:strike w:val="0"/>
                <w:dstrike w:val="0"/>
                <w:color w:val="auto"/>
                <w:sz w:val="24"/>
                <w:szCs w:val="32"/>
                <w:highlight w:val="none"/>
              </w:rPr>
              <w:t>。</w:t>
            </w:r>
          </w:p>
          <w:p w14:paraId="32D9103C">
            <w:pPr>
              <w:spacing w:line="360" w:lineRule="auto"/>
              <w:jc w:val="center"/>
              <w:rPr>
                <w:b/>
                <w:bCs/>
                <w:strike w:val="0"/>
                <w:dstrike w:val="0"/>
                <w:color w:val="auto"/>
                <w:sz w:val="24"/>
                <w:szCs w:val="32"/>
                <w:highlight w:val="none"/>
              </w:rPr>
            </w:pPr>
            <w:r>
              <w:rPr>
                <w:b/>
                <w:bCs/>
                <w:strike w:val="0"/>
                <w:dstrike w:val="0"/>
                <w:color w:val="auto"/>
                <w:sz w:val="24"/>
                <w:szCs w:val="32"/>
                <w:highlight w:val="none"/>
              </w:rPr>
              <w:t>表4.2-</w:t>
            </w:r>
            <w:r>
              <w:rPr>
                <w:rFonts w:hint="eastAsia"/>
                <w:b/>
                <w:bCs/>
                <w:strike w:val="0"/>
                <w:dstrike w:val="0"/>
                <w:color w:val="auto"/>
                <w:sz w:val="24"/>
                <w:szCs w:val="32"/>
                <w:highlight w:val="none"/>
                <w:lang w:val="en-US" w:eastAsia="zh-CN"/>
              </w:rPr>
              <w:t>4</w:t>
            </w:r>
            <w:r>
              <w:rPr>
                <w:b/>
                <w:bCs/>
                <w:strike w:val="0"/>
                <w:dstrike w:val="0"/>
                <w:color w:val="auto"/>
                <w:sz w:val="24"/>
                <w:szCs w:val="32"/>
                <w:highlight w:val="none"/>
              </w:rPr>
              <w:t xml:space="preserve">  非甲烷总烃产生、削减及排放情况一览表</w:t>
            </w:r>
          </w:p>
          <w:tbl>
            <w:tblPr>
              <w:tblStyle w:val="23"/>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101"/>
              <w:gridCol w:w="1090"/>
              <w:gridCol w:w="1814"/>
              <w:gridCol w:w="1118"/>
              <w:gridCol w:w="843"/>
              <w:gridCol w:w="1194"/>
            </w:tblGrid>
            <w:tr w14:paraId="39E9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93" w:type="dxa"/>
                  <w:vAlign w:val="center"/>
                </w:tcPr>
                <w:p w14:paraId="1FEDA585">
                  <w:pPr>
                    <w:pStyle w:val="43"/>
                    <w:kinsoku w:val="0"/>
                    <w:overflowPunct w:val="0"/>
                    <w:jc w:val="center"/>
                    <w:rPr>
                      <w:b/>
                      <w:bCs/>
                      <w:strike w:val="0"/>
                      <w:dstrike w:val="0"/>
                      <w:color w:val="auto"/>
                      <w:sz w:val="21"/>
                      <w:szCs w:val="21"/>
                      <w:highlight w:val="none"/>
                    </w:rPr>
                  </w:pPr>
                  <w:r>
                    <w:rPr>
                      <w:b/>
                      <w:bCs/>
                      <w:strike w:val="0"/>
                      <w:dstrike w:val="0"/>
                      <w:color w:val="auto"/>
                      <w:sz w:val="21"/>
                      <w:szCs w:val="21"/>
                      <w:highlight w:val="none"/>
                    </w:rPr>
                    <w:t>产生源</w:t>
                  </w:r>
                </w:p>
              </w:tc>
              <w:tc>
                <w:tcPr>
                  <w:tcW w:w="1101" w:type="dxa"/>
                  <w:vAlign w:val="center"/>
                </w:tcPr>
                <w:p w14:paraId="10019A7A">
                  <w:pPr>
                    <w:pStyle w:val="43"/>
                    <w:kinsoku w:val="0"/>
                    <w:overflowPunct w:val="0"/>
                    <w:jc w:val="center"/>
                    <w:rPr>
                      <w:b/>
                      <w:bCs/>
                      <w:strike w:val="0"/>
                      <w:dstrike w:val="0"/>
                      <w:color w:val="auto"/>
                      <w:sz w:val="21"/>
                      <w:szCs w:val="21"/>
                      <w:highlight w:val="none"/>
                    </w:rPr>
                  </w:pPr>
                  <w:r>
                    <w:rPr>
                      <w:b/>
                      <w:bCs/>
                      <w:strike w:val="0"/>
                      <w:dstrike w:val="0"/>
                      <w:color w:val="auto"/>
                      <w:sz w:val="21"/>
                      <w:szCs w:val="21"/>
                      <w:highlight w:val="none"/>
                    </w:rPr>
                    <w:t>产生源</w:t>
                  </w:r>
                </w:p>
              </w:tc>
              <w:tc>
                <w:tcPr>
                  <w:tcW w:w="1090" w:type="dxa"/>
                  <w:vAlign w:val="center"/>
                </w:tcPr>
                <w:p w14:paraId="708D5EAF">
                  <w:pPr>
                    <w:pStyle w:val="43"/>
                    <w:kinsoku w:val="0"/>
                    <w:overflowPunct w:val="0"/>
                    <w:jc w:val="center"/>
                    <w:rPr>
                      <w:b/>
                      <w:bCs/>
                      <w:strike w:val="0"/>
                      <w:dstrike w:val="0"/>
                      <w:color w:val="auto"/>
                      <w:sz w:val="21"/>
                      <w:szCs w:val="21"/>
                      <w:highlight w:val="none"/>
                    </w:rPr>
                  </w:pPr>
                  <w:r>
                    <w:rPr>
                      <w:b/>
                      <w:bCs/>
                      <w:strike w:val="0"/>
                      <w:dstrike w:val="0"/>
                      <w:color w:val="auto"/>
                      <w:sz w:val="21"/>
                      <w:szCs w:val="21"/>
                      <w:highlight w:val="none"/>
                    </w:rPr>
                    <w:t>产生量(t/a)</w:t>
                  </w:r>
                </w:p>
              </w:tc>
              <w:tc>
                <w:tcPr>
                  <w:tcW w:w="1814" w:type="dxa"/>
                  <w:vAlign w:val="center"/>
                </w:tcPr>
                <w:p w14:paraId="1ABB7957">
                  <w:pPr>
                    <w:pStyle w:val="43"/>
                    <w:kinsoku w:val="0"/>
                    <w:overflowPunct w:val="0"/>
                    <w:jc w:val="center"/>
                    <w:rPr>
                      <w:b/>
                      <w:bCs/>
                      <w:strike w:val="0"/>
                      <w:dstrike w:val="0"/>
                      <w:color w:val="auto"/>
                      <w:sz w:val="21"/>
                      <w:szCs w:val="21"/>
                      <w:highlight w:val="none"/>
                    </w:rPr>
                  </w:pPr>
                  <w:r>
                    <w:rPr>
                      <w:b/>
                      <w:bCs/>
                      <w:strike w:val="0"/>
                      <w:dstrike w:val="0"/>
                      <w:color w:val="auto"/>
                      <w:sz w:val="21"/>
                      <w:szCs w:val="21"/>
                      <w:highlight w:val="none"/>
                    </w:rPr>
                    <w:t>回收方式回收率</w:t>
                  </w:r>
                </w:p>
              </w:tc>
              <w:tc>
                <w:tcPr>
                  <w:tcW w:w="1118" w:type="dxa"/>
                  <w:vAlign w:val="center"/>
                </w:tcPr>
                <w:p w14:paraId="6F35764C">
                  <w:pPr>
                    <w:pStyle w:val="43"/>
                    <w:kinsoku w:val="0"/>
                    <w:overflowPunct w:val="0"/>
                    <w:jc w:val="center"/>
                    <w:rPr>
                      <w:b/>
                      <w:bCs/>
                      <w:strike w:val="0"/>
                      <w:dstrike w:val="0"/>
                      <w:color w:val="auto"/>
                      <w:sz w:val="21"/>
                      <w:szCs w:val="21"/>
                      <w:highlight w:val="none"/>
                    </w:rPr>
                  </w:pPr>
                  <w:r>
                    <w:rPr>
                      <w:b/>
                      <w:bCs/>
                      <w:strike w:val="0"/>
                      <w:dstrike w:val="0"/>
                      <w:color w:val="auto"/>
                      <w:sz w:val="21"/>
                      <w:szCs w:val="21"/>
                      <w:highlight w:val="none"/>
                    </w:rPr>
                    <w:t>回收后油品去向</w:t>
                  </w:r>
                </w:p>
              </w:tc>
              <w:tc>
                <w:tcPr>
                  <w:tcW w:w="843" w:type="dxa"/>
                  <w:vAlign w:val="center"/>
                </w:tcPr>
                <w:p w14:paraId="4BBAA441">
                  <w:pPr>
                    <w:pStyle w:val="43"/>
                    <w:kinsoku w:val="0"/>
                    <w:overflowPunct w:val="0"/>
                    <w:jc w:val="center"/>
                    <w:rPr>
                      <w:b/>
                      <w:bCs/>
                      <w:strike w:val="0"/>
                      <w:dstrike w:val="0"/>
                      <w:color w:val="auto"/>
                      <w:sz w:val="21"/>
                      <w:szCs w:val="21"/>
                      <w:highlight w:val="none"/>
                    </w:rPr>
                  </w:pPr>
                  <w:r>
                    <w:rPr>
                      <w:b/>
                      <w:bCs/>
                      <w:strike w:val="0"/>
                      <w:dstrike w:val="0"/>
                      <w:color w:val="auto"/>
                      <w:sz w:val="21"/>
                      <w:szCs w:val="21"/>
                      <w:highlight w:val="none"/>
                    </w:rPr>
                    <w:t>回收量(t/a)</w:t>
                  </w:r>
                </w:p>
              </w:tc>
              <w:tc>
                <w:tcPr>
                  <w:tcW w:w="1194" w:type="dxa"/>
                  <w:vAlign w:val="center"/>
                </w:tcPr>
                <w:p w14:paraId="253D799D">
                  <w:pPr>
                    <w:pStyle w:val="43"/>
                    <w:kinsoku w:val="0"/>
                    <w:overflowPunct w:val="0"/>
                    <w:jc w:val="center"/>
                    <w:rPr>
                      <w:b/>
                      <w:bCs/>
                      <w:strike w:val="0"/>
                      <w:dstrike w:val="0"/>
                      <w:color w:val="auto"/>
                      <w:sz w:val="21"/>
                      <w:szCs w:val="21"/>
                      <w:highlight w:val="none"/>
                    </w:rPr>
                  </w:pPr>
                  <w:r>
                    <w:rPr>
                      <w:b/>
                      <w:bCs/>
                      <w:strike w:val="0"/>
                      <w:dstrike w:val="0"/>
                      <w:color w:val="auto"/>
                      <w:sz w:val="21"/>
                      <w:szCs w:val="21"/>
                      <w:highlight w:val="none"/>
                    </w:rPr>
                    <w:t>排放量(t/a)</w:t>
                  </w:r>
                </w:p>
              </w:tc>
            </w:tr>
            <w:tr w14:paraId="4D0E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Merge w:val="restart"/>
                  <w:vAlign w:val="center"/>
                </w:tcPr>
                <w:p w14:paraId="3192EEF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地下油罐装料汽油、柴油蒸发</w:t>
                  </w:r>
                </w:p>
              </w:tc>
              <w:tc>
                <w:tcPr>
                  <w:tcW w:w="1101" w:type="dxa"/>
                  <w:vAlign w:val="center"/>
                </w:tcPr>
                <w:p w14:paraId="00CC9F4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汽油</w:t>
                  </w:r>
                </w:p>
              </w:tc>
              <w:tc>
                <w:tcPr>
                  <w:tcW w:w="1090" w:type="dxa"/>
                  <w:vAlign w:val="center"/>
                </w:tcPr>
                <w:p w14:paraId="44569C02">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4.60</w:t>
                  </w:r>
                </w:p>
              </w:tc>
              <w:tc>
                <w:tcPr>
                  <w:tcW w:w="1814" w:type="dxa"/>
                  <w:vAlign w:val="center"/>
                </w:tcPr>
                <w:p w14:paraId="08C1DA3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油罐车回收系统卸油油气回</w:t>
                  </w:r>
                  <w:r>
                    <w:rPr>
                      <w:rFonts w:hint="eastAsia"/>
                      <w:strike w:val="0"/>
                      <w:dstrike w:val="0"/>
                      <w:color w:val="auto"/>
                      <w:sz w:val="21"/>
                      <w:szCs w:val="21"/>
                      <w:highlight w:val="none"/>
                      <w:lang w:val="en-US" w:eastAsia="zh-CN"/>
                    </w:rPr>
                    <w:t>收</w:t>
                  </w:r>
                  <w:r>
                    <w:rPr>
                      <w:strike w:val="0"/>
                      <w:dstrike w:val="0"/>
                      <w:color w:val="auto"/>
                      <w:sz w:val="21"/>
                      <w:szCs w:val="21"/>
                      <w:highlight w:val="none"/>
                    </w:rPr>
                    <w:t>率为95%</w:t>
                  </w:r>
                </w:p>
              </w:tc>
              <w:tc>
                <w:tcPr>
                  <w:tcW w:w="1118" w:type="dxa"/>
                  <w:vAlign w:val="center"/>
                </w:tcPr>
                <w:p w14:paraId="589D1501">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油罐车运送至油库</w:t>
                  </w:r>
                </w:p>
              </w:tc>
              <w:tc>
                <w:tcPr>
                  <w:tcW w:w="843" w:type="dxa"/>
                  <w:vAlign w:val="center"/>
                </w:tcPr>
                <w:p w14:paraId="790BF01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4.37</w:t>
                  </w:r>
                </w:p>
              </w:tc>
              <w:tc>
                <w:tcPr>
                  <w:tcW w:w="1194" w:type="dxa"/>
                  <w:vAlign w:val="center"/>
                </w:tcPr>
                <w:p w14:paraId="3F2796E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0.23</w:t>
                  </w:r>
                </w:p>
              </w:tc>
            </w:tr>
            <w:tr w14:paraId="0AB2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Merge w:val="continue"/>
                  <w:vAlign w:val="center"/>
                </w:tcPr>
                <w:p w14:paraId="0E22BC3A">
                  <w:pPr>
                    <w:jc w:val="center"/>
                    <w:rPr>
                      <w:strike w:val="0"/>
                      <w:dstrike w:val="0"/>
                      <w:color w:val="auto"/>
                      <w:szCs w:val="21"/>
                      <w:highlight w:val="none"/>
                    </w:rPr>
                  </w:pPr>
                </w:p>
              </w:tc>
              <w:tc>
                <w:tcPr>
                  <w:tcW w:w="1101" w:type="dxa"/>
                  <w:vAlign w:val="center"/>
                </w:tcPr>
                <w:p w14:paraId="536BF7E7">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柴油</w:t>
                  </w:r>
                </w:p>
              </w:tc>
              <w:tc>
                <w:tcPr>
                  <w:tcW w:w="1090" w:type="dxa"/>
                  <w:vAlign w:val="center"/>
                </w:tcPr>
                <w:p w14:paraId="515932F0">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1.00</w:t>
                  </w:r>
                </w:p>
              </w:tc>
              <w:tc>
                <w:tcPr>
                  <w:tcW w:w="1814" w:type="dxa"/>
                  <w:vAlign w:val="center"/>
                </w:tcPr>
                <w:p w14:paraId="094AEB2D">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18" w:type="dxa"/>
                  <w:vAlign w:val="center"/>
                </w:tcPr>
                <w:p w14:paraId="262A7134">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843" w:type="dxa"/>
                  <w:vAlign w:val="center"/>
                </w:tcPr>
                <w:p w14:paraId="03CF0878">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94" w:type="dxa"/>
                  <w:vAlign w:val="center"/>
                </w:tcPr>
                <w:p w14:paraId="166441F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1.00</w:t>
                  </w:r>
                </w:p>
              </w:tc>
            </w:tr>
            <w:tr w14:paraId="64A0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Merge w:val="restart"/>
                  <w:vAlign w:val="center"/>
                </w:tcPr>
                <w:p w14:paraId="393C3D6A">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地下油罐呼吸排放</w:t>
                  </w:r>
                </w:p>
              </w:tc>
              <w:tc>
                <w:tcPr>
                  <w:tcW w:w="1101" w:type="dxa"/>
                  <w:vAlign w:val="center"/>
                </w:tcPr>
                <w:p w14:paraId="1AAC190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汽油</w:t>
                  </w:r>
                </w:p>
              </w:tc>
              <w:tc>
                <w:tcPr>
                  <w:tcW w:w="1090" w:type="dxa"/>
                  <w:vAlign w:val="center"/>
                </w:tcPr>
                <w:p w14:paraId="0B5DD430">
                  <w:pPr>
                    <w:widowControl/>
                    <w:jc w:val="center"/>
                    <w:textAlignment w:val="center"/>
                    <w:rPr>
                      <w:strike w:val="0"/>
                      <w:dstrike w:val="0"/>
                      <w:color w:val="auto"/>
                      <w:szCs w:val="21"/>
                      <w:highlight w:val="none"/>
                    </w:rPr>
                  </w:pPr>
                  <w:r>
                    <w:rPr>
                      <w:strike w:val="0"/>
                      <w:dstrike w:val="0"/>
                      <w:color w:val="auto"/>
                      <w:kern w:val="0"/>
                      <w:szCs w:val="21"/>
                      <w:highlight w:val="none"/>
                      <w:lang w:bidi="ar"/>
                    </w:rPr>
                    <w:t>0.20</w:t>
                  </w:r>
                </w:p>
              </w:tc>
              <w:tc>
                <w:tcPr>
                  <w:tcW w:w="1814" w:type="dxa"/>
                  <w:vAlign w:val="center"/>
                </w:tcPr>
                <w:p w14:paraId="42D3D710">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18" w:type="dxa"/>
                  <w:vAlign w:val="center"/>
                </w:tcPr>
                <w:p w14:paraId="3372B457">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843" w:type="dxa"/>
                  <w:vAlign w:val="center"/>
                </w:tcPr>
                <w:p w14:paraId="7E711259">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94" w:type="dxa"/>
                  <w:vAlign w:val="center"/>
                </w:tcPr>
                <w:p w14:paraId="65B2AAC3">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0.20</w:t>
                  </w:r>
                </w:p>
              </w:tc>
            </w:tr>
            <w:tr w14:paraId="517B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Merge w:val="continue"/>
                  <w:vAlign w:val="center"/>
                </w:tcPr>
                <w:p w14:paraId="74E00728">
                  <w:pPr>
                    <w:jc w:val="center"/>
                    <w:rPr>
                      <w:strike w:val="0"/>
                      <w:dstrike w:val="0"/>
                      <w:color w:val="auto"/>
                      <w:szCs w:val="21"/>
                      <w:highlight w:val="none"/>
                    </w:rPr>
                  </w:pPr>
                </w:p>
              </w:tc>
              <w:tc>
                <w:tcPr>
                  <w:tcW w:w="1101" w:type="dxa"/>
                  <w:vAlign w:val="center"/>
                </w:tcPr>
                <w:p w14:paraId="65ABB515">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柴油</w:t>
                  </w:r>
                </w:p>
              </w:tc>
              <w:tc>
                <w:tcPr>
                  <w:tcW w:w="1090" w:type="dxa"/>
                  <w:vAlign w:val="center"/>
                </w:tcPr>
                <w:p w14:paraId="1A7DD456">
                  <w:pPr>
                    <w:widowControl/>
                    <w:jc w:val="center"/>
                    <w:textAlignment w:val="center"/>
                    <w:rPr>
                      <w:strike w:val="0"/>
                      <w:dstrike w:val="0"/>
                      <w:color w:val="auto"/>
                      <w:szCs w:val="21"/>
                      <w:highlight w:val="none"/>
                    </w:rPr>
                  </w:pPr>
                  <w:r>
                    <w:rPr>
                      <w:strike w:val="0"/>
                      <w:dstrike w:val="0"/>
                      <w:color w:val="auto"/>
                      <w:kern w:val="0"/>
                      <w:szCs w:val="21"/>
                      <w:highlight w:val="none"/>
                      <w:lang w:bidi="ar"/>
                    </w:rPr>
                    <w:t>0.20</w:t>
                  </w:r>
                </w:p>
              </w:tc>
              <w:tc>
                <w:tcPr>
                  <w:tcW w:w="1814" w:type="dxa"/>
                  <w:vAlign w:val="center"/>
                </w:tcPr>
                <w:p w14:paraId="32BAB7A4">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18" w:type="dxa"/>
                  <w:vAlign w:val="center"/>
                </w:tcPr>
                <w:p w14:paraId="2054CBAB">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843" w:type="dxa"/>
                  <w:vAlign w:val="center"/>
                </w:tcPr>
                <w:p w14:paraId="78526A05">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94" w:type="dxa"/>
                  <w:vAlign w:val="center"/>
                </w:tcPr>
                <w:p w14:paraId="772B321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0.20</w:t>
                  </w:r>
                </w:p>
              </w:tc>
            </w:tr>
            <w:tr w14:paraId="6ABD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Merge w:val="restart"/>
                  <w:vAlign w:val="center"/>
                </w:tcPr>
                <w:p w14:paraId="78832FF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加油作业蒸发</w:t>
                  </w:r>
                </w:p>
              </w:tc>
              <w:tc>
                <w:tcPr>
                  <w:tcW w:w="1101" w:type="dxa"/>
                  <w:vAlign w:val="center"/>
                </w:tcPr>
                <w:p w14:paraId="3D8276D9">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汽油</w:t>
                  </w:r>
                </w:p>
              </w:tc>
              <w:tc>
                <w:tcPr>
                  <w:tcW w:w="1090" w:type="dxa"/>
                  <w:vAlign w:val="center"/>
                </w:tcPr>
                <w:p w14:paraId="1DB50296">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5.80</w:t>
                  </w:r>
                </w:p>
              </w:tc>
              <w:tc>
                <w:tcPr>
                  <w:tcW w:w="1814" w:type="dxa"/>
                  <w:vAlign w:val="center"/>
                </w:tcPr>
                <w:p w14:paraId="2AA4789B">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设油气回收装置，回收率 90%</w:t>
                  </w:r>
                </w:p>
              </w:tc>
              <w:tc>
                <w:tcPr>
                  <w:tcW w:w="1118" w:type="dxa"/>
                  <w:vAlign w:val="center"/>
                </w:tcPr>
                <w:p w14:paraId="2C4E7F08">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油罐</w:t>
                  </w:r>
                </w:p>
              </w:tc>
              <w:tc>
                <w:tcPr>
                  <w:tcW w:w="843" w:type="dxa"/>
                  <w:vAlign w:val="center"/>
                </w:tcPr>
                <w:p w14:paraId="54987814">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5.22</w:t>
                  </w:r>
                </w:p>
              </w:tc>
              <w:tc>
                <w:tcPr>
                  <w:tcW w:w="1194" w:type="dxa"/>
                  <w:vAlign w:val="center"/>
                </w:tcPr>
                <w:p w14:paraId="71B0D89D">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0.58</w:t>
                  </w:r>
                </w:p>
              </w:tc>
            </w:tr>
            <w:tr w14:paraId="1449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Merge w:val="continue"/>
                  <w:vAlign w:val="center"/>
                </w:tcPr>
                <w:p w14:paraId="2D54633E">
                  <w:pPr>
                    <w:jc w:val="center"/>
                    <w:rPr>
                      <w:strike w:val="0"/>
                      <w:dstrike w:val="0"/>
                      <w:color w:val="auto"/>
                      <w:szCs w:val="21"/>
                      <w:highlight w:val="none"/>
                    </w:rPr>
                  </w:pPr>
                </w:p>
              </w:tc>
              <w:tc>
                <w:tcPr>
                  <w:tcW w:w="1101" w:type="dxa"/>
                  <w:vAlign w:val="center"/>
                </w:tcPr>
                <w:p w14:paraId="68EC05D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柴油</w:t>
                  </w:r>
                </w:p>
              </w:tc>
              <w:tc>
                <w:tcPr>
                  <w:tcW w:w="1090" w:type="dxa"/>
                  <w:vAlign w:val="center"/>
                </w:tcPr>
                <w:p w14:paraId="41065D1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1.60</w:t>
                  </w:r>
                </w:p>
              </w:tc>
              <w:tc>
                <w:tcPr>
                  <w:tcW w:w="1814" w:type="dxa"/>
                  <w:vAlign w:val="center"/>
                </w:tcPr>
                <w:p w14:paraId="13961DA4">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18" w:type="dxa"/>
                  <w:vAlign w:val="center"/>
                </w:tcPr>
                <w:p w14:paraId="71D926D4">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843" w:type="dxa"/>
                  <w:vAlign w:val="center"/>
                </w:tcPr>
                <w:p w14:paraId="678CCE8C">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94" w:type="dxa"/>
                  <w:vAlign w:val="center"/>
                </w:tcPr>
                <w:p w14:paraId="7DF51A2A">
                  <w:pPr>
                    <w:pStyle w:val="43"/>
                    <w:kinsoku w:val="0"/>
                    <w:overflowPunct w:val="0"/>
                    <w:jc w:val="center"/>
                    <w:rPr>
                      <w:strike w:val="0"/>
                      <w:dstrike w:val="0"/>
                      <w:color w:val="auto"/>
                      <w:kern w:val="2"/>
                      <w:sz w:val="21"/>
                      <w:szCs w:val="21"/>
                      <w:highlight w:val="none"/>
                    </w:rPr>
                  </w:pPr>
                  <w:r>
                    <w:rPr>
                      <w:strike w:val="0"/>
                      <w:dstrike w:val="0"/>
                      <w:color w:val="auto"/>
                      <w:sz w:val="21"/>
                      <w:szCs w:val="21"/>
                      <w:highlight w:val="none"/>
                    </w:rPr>
                    <w:t>1.60</w:t>
                  </w:r>
                </w:p>
              </w:tc>
            </w:tr>
            <w:tr w14:paraId="1722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14:paraId="47EB162E">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合计</w:t>
                  </w:r>
                </w:p>
              </w:tc>
              <w:tc>
                <w:tcPr>
                  <w:tcW w:w="1101" w:type="dxa"/>
                  <w:vAlign w:val="center"/>
                </w:tcPr>
                <w:p w14:paraId="45FAA226">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090" w:type="dxa"/>
                  <w:vAlign w:val="center"/>
                </w:tcPr>
                <w:p w14:paraId="194E385E">
                  <w:pPr>
                    <w:widowControl/>
                    <w:jc w:val="center"/>
                    <w:textAlignment w:val="center"/>
                    <w:rPr>
                      <w:strike w:val="0"/>
                      <w:dstrike w:val="0"/>
                      <w:color w:val="auto"/>
                      <w:szCs w:val="21"/>
                      <w:highlight w:val="none"/>
                    </w:rPr>
                  </w:pPr>
                  <w:r>
                    <w:rPr>
                      <w:strike w:val="0"/>
                      <w:dstrike w:val="0"/>
                      <w:color w:val="auto"/>
                      <w:kern w:val="0"/>
                      <w:szCs w:val="21"/>
                      <w:highlight w:val="none"/>
                      <w:lang w:bidi="ar"/>
                    </w:rPr>
                    <w:t>13.40</w:t>
                  </w:r>
                </w:p>
              </w:tc>
              <w:tc>
                <w:tcPr>
                  <w:tcW w:w="1814" w:type="dxa"/>
                  <w:vAlign w:val="center"/>
                </w:tcPr>
                <w:p w14:paraId="579A1B7E">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1118" w:type="dxa"/>
                  <w:vAlign w:val="center"/>
                </w:tcPr>
                <w:p w14:paraId="198EBA15">
                  <w:pPr>
                    <w:pStyle w:val="43"/>
                    <w:kinsoku w:val="0"/>
                    <w:overflowPunct w:val="0"/>
                    <w:jc w:val="center"/>
                    <w:rPr>
                      <w:strike w:val="0"/>
                      <w:dstrike w:val="0"/>
                      <w:color w:val="auto"/>
                      <w:w w:val="99"/>
                      <w:sz w:val="21"/>
                      <w:szCs w:val="21"/>
                      <w:highlight w:val="none"/>
                    </w:rPr>
                  </w:pPr>
                  <w:r>
                    <w:rPr>
                      <w:strike w:val="0"/>
                      <w:dstrike w:val="0"/>
                      <w:color w:val="auto"/>
                      <w:w w:val="99"/>
                      <w:sz w:val="21"/>
                      <w:szCs w:val="21"/>
                      <w:highlight w:val="none"/>
                    </w:rPr>
                    <w:t>/</w:t>
                  </w:r>
                </w:p>
              </w:tc>
              <w:tc>
                <w:tcPr>
                  <w:tcW w:w="843" w:type="dxa"/>
                  <w:vAlign w:val="center"/>
                </w:tcPr>
                <w:p w14:paraId="00CCC0F3">
                  <w:pPr>
                    <w:pStyle w:val="43"/>
                    <w:kinsoku w:val="0"/>
                    <w:overflowPunct w:val="0"/>
                    <w:jc w:val="center"/>
                    <w:rPr>
                      <w:rFonts w:hint="default" w:eastAsia="宋体"/>
                      <w:strike w:val="0"/>
                      <w:dstrike w:val="0"/>
                      <w:color w:val="auto"/>
                      <w:w w:val="99"/>
                      <w:sz w:val="21"/>
                      <w:szCs w:val="21"/>
                      <w:highlight w:val="none"/>
                      <w:lang w:val="en-US" w:eastAsia="zh-CN"/>
                    </w:rPr>
                  </w:pPr>
                  <w:r>
                    <w:rPr>
                      <w:rFonts w:hint="eastAsia"/>
                      <w:strike w:val="0"/>
                      <w:dstrike w:val="0"/>
                      <w:color w:val="auto"/>
                      <w:w w:val="99"/>
                      <w:sz w:val="21"/>
                      <w:szCs w:val="21"/>
                      <w:highlight w:val="none"/>
                      <w:lang w:val="en-US" w:eastAsia="zh-CN"/>
                    </w:rPr>
                    <w:t>9.59</w:t>
                  </w:r>
                </w:p>
              </w:tc>
              <w:tc>
                <w:tcPr>
                  <w:tcW w:w="1194" w:type="dxa"/>
                  <w:vAlign w:val="center"/>
                </w:tcPr>
                <w:p w14:paraId="6CB9AA0C">
                  <w:pPr>
                    <w:widowControl/>
                    <w:jc w:val="center"/>
                    <w:textAlignment w:val="center"/>
                    <w:rPr>
                      <w:strike w:val="0"/>
                      <w:dstrike w:val="0"/>
                      <w:color w:val="auto"/>
                      <w:szCs w:val="21"/>
                      <w:highlight w:val="none"/>
                    </w:rPr>
                  </w:pPr>
                  <w:r>
                    <w:rPr>
                      <w:strike w:val="0"/>
                      <w:dstrike w:val="0"/>
                      <w:color w:val="auto"/>
                      <w:kern w:val="0"/>
                      <w:szCs w:val="21"/>
                      <w:highlight w:val="none"/>
                      <w:lang w:bidi="ar"/>
                    </w:rPr>
                    <w:t>3.81</w:t>
                  </w:r>
                </w:p>
              </w:tc>
            </w:tr>
          </w:tbl>
          <w:p w14:paraId="0878DEE3">
            <w:pPr>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4 \* GB2 \* MERGEFORMAT </w:instrText>
            </w:r>
            <w:r>
              <w:rPr>
                <w:b/>
                <w:bCs/>
                <w:strike w:val="0"/>
                <w:dstrike w:val="0"/>
                <w:color w:val="auto"/>
                <w:sz w:val="24"/>
                <w:highlight w:val="none"/>
              </w:rPr>
              <w:fldChar w:fldCharType="separate"/>
            </w:r>
            <w:r>
              <w:rPr>
                <w:b/>
                <w:bCs/>
                <w:strike w:val="0"/>
                <w:dstrike w:val="0"/>
                <w:color w:val="auto"/>
                <w:sz w:val="24"/>
                <w:highlight w:val="none"/>
              </w:rPr>
              <w:t>⑷</w:t>
            </w:r>
            <w:r>
              <w:rPr>
                <w:b/>
                <w:bCs/>
                <w:strike w:val="0"/>
                <w:dstrike w:val="0"/>
                <w:color w:val="auto"/>
                <w:sz w:val="24"/>
                <w:highlight w:val="none"/>
              </w:rPr>
              <w:fldChar w:fldCharType="end"/>
            </w:r>
            <w:r>
              <w:rPr>
                <w:b/>
                <w:bCs/>
                <w:strike w:val="0"/>
                <w:dstrike w:val="0"/>
                <w:color w:val="auto"/>
                <w:sz w:val="24"/>
                <w:highlight w:val="none"/>
              </w:rPr>
              <w:t>卸车废气G4</w:t>
            </w:r>
          </w:p>
          <w:p w14:paraId="3D1A971E">
            <w:pPr>
              <w:snapToGrid w:val="0"/>
              <w:spacing w:line="360" w:lineRule="auto"/>
              <w:ind w:firstLine="480"/>
              <w:rPr>
                <w:b/>
                <w:bCs/>
                <w:strike w:val="0"/>
                <w:dstrike w:val="0"/>
                <w:color w:val="auto"/>
                <w:sz w:val="24"/>
                <w:highlight w:val="none"/>
              </w:rPr>
            </w:pPr>
            <w:r>
              <w:rPr>
                <w:strike w:val="0"/>
                <w:dstrike w:val="0"/>
                <w:color w:val="auto"/>
                <w:sz w:val="24"/>
                <w:highlight w:val="none"/>
              </w:rPr>
              <w:t>项目液化天然气从槽车进入储罐，再从储罐通过气化调压计量后进入用气点，整个工艺是在密闭系统内进行。由于液化天然气在高压时才能成为液态，项目储罐必须是密闭的高压容器，不能设置对外的排气口，因此不存在储罐的呼吸排气问题。LNG槽车卸车完毕后，由LNG槽车上带压力调节阀的卸车气管道，通过三通与总管连接，总管上设置截止阀和单向</w:t>
            </w:r>
            <w:bookmarkStart w:id="88" w:name="OfficeAI_Del_0_159"/>
            <w:r>
              <w:rPr>
                <w:strike w:val="0"/>
                <w:dstrike w:val="0"/>
                <w:color w:val="auto"/>
                <w:sz w:val="24"/>
                <w:highlight w:val="none"/>
              </w:rPr>
              <w:t>逆</w:t>
            </w:r>
            <w:bookmarkEnd w:id="88"/>
            <w:r>
              <w:rPr>
                <w:strike w:val="0"/>
                <w:dstrike w:val="0"/>
                <w:color w:val="auto"/>
                <w:sz w:val="24"/>
                <w:highlight w:val="none"/>
              </w:rPr>
              <w:t>止阀，在单向</w:t>
            </w:r>
            <w:bookmarkStart w:id="89" w:name="OfficeAI_Del_0_167"/>
            <w:r>
              <w:rPr>
                <w:strike w:val="0"/>
                <w:dstrike w:val="0"/>
                <w:color w:val="auto"/>
                <w:sz w:val="24"/>
                <w:highlight w:val="none"/>
              </w:rPr>
              <w:t>逆</w:t>
            </w:r>
            <w:bookmarkEnd w:id="89"/>
            <w:r>
              <w:rPr>
                <w:strike w:val="0"/>
                <w:dstrike w:val="0"/>
                <w:color w:val="auto"/>
                <w:sz w:val="24"/>
                <w:highlight w:val="none"/>
              </w:rPr>
              <w:t>止阀后面并联设置EAG空温式加热器，产生的卸车LNG气体进入EAG加热器收集，经气化后</w:t>
            </w:r>
            <w:r>
              <w:rPr>
                <w:strike w:val="0"/>
                <w:dstrike w:val="0"/>
                <w:color w:val="auto"/>
                <w:kern w:val="0"/>
                <w:sz w:val="24"/>
                <w:highlight w:val="none"/>
                <w:lang w:bidi="ar"/>
              </w:rPr>
              <w:t>可通过气相管线将槽车中的气相天然气进行放散，也可让槽车拉回LNG生产厂家进行回收</w:t>
            </w:r>
            <w:r>
              <w:rPr>
                <w:strike w:val="0"/>
                <w:dstrike w:val="0"/>
                <w:color w:val="auto"/>
                <w:sz w:val="24"/>
                <w:highlight w:val="none"/>
              </w:rPr>
              <w:t>。</w:t>
            </w:r>
          </w:p>
          <w:p w14:paraId="04F85CEA">
            <w:pPr>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5 \* GB2 \* MERGEFORMAT </w:instrText>
            </w:r>
            <w:r>
              <w:rPr>
                <w:b/>
                <w:bCs/>
                <w:strike w:val="0"/>
                <w:dstrike w:val="0"/>
                <w:color w:val="auto"/>
                <w:sz w:val="24"/>
                <w:highlight w:val="none"/>
              </w:rPr>
              <w:fldChar w:fldCharType="separate"/>
            </w:r>
            <w:r>
              <w:rPr>
                <w:b/>
                <w:bCs/>
                <w:strike w:val="0"/>
                <w:dstrike w:val="0"/>
                <w:color w:val="auto"/>
                <w:sz w:val="24"/>
                <w:highlight w:val="none"/>
              </w:rPr>
              <w:t>⑸</w:t>
            </w:r>
            <w:r>
              <w:rPr>
                <w:b/>
                <w:bCs/>
                <w:strike w:val="0"/>
                <w:dstrike w:val="0"/>
                <w:color w:val="auto"/>
                <w:sz w:val="24"/>
                <w:highlight w:val="none"/>
              </w:rPr>
              <w:fldChar w:fldCharType="end"/>
            </w:r>
            <w:r>
              <w:rPr>
                <w:rFonts w:hint="eastAsia"/>
                <w:b/>
                <w:bCs/>
                <w:strike w:val="0"/>
                <w:dstrike w:val="0"/>
                <w:color w:val="auto"/>
                <w:kern w:val="0"/>
                <w:sz w:val="24"/>
                <w:highlight w:val="none"/>
                <w:lang w:bidi="ar"/>
              </w:rPr>
              <w:t>安全放散废气</w:t>
            </w:r>
            <w:r>
              <w:rPr>
                <w:rFonts w:hint="eastAsia"/>
                <w:b/>
                <w:bCs/>
                <w:strike w:val="0"/>
                <w:dstrike w:val="0"/>
                <w:color w:val="auto"/>
                <w:sz w:val="24"/>
                <w:highlight w:val="none"/>
              </w:rPr>
              <w:t>G5</w:t>
            </w:r>
          </w:p>
          <w:p w14:paraId="4BB1F5DE">
            <w:pPr>
              <w:snapToGrid w:val="0"/>
              <w:spacing w:line="360" w:lineRule="auto"/>
              <w:ind w:firstLine="480"/>
              <w:rPr>
                <w:strike w:val="0"/>
                <w:dstrike w:val="0"/>
                <w:color w:val="auto"/>
                <w:sz w:val="24"/>
                <w:highlight w:val="none"/>
              </w:rPr>
            </w:pPr>
            <w:r>
              <w:rPr>
                <w:strike w:val="0"/>
                <w:dstrike w:val="0"/>
                <w:color w:val="auto"/>
                <w:sz w:val="24"/>
                <w:highlight w:val="none"/>
              </w:rPr>
              <w:t>LNG槽车卸车过程</w:t>
            </w:r>
            <w:bookmarkStart w:id="90" w:name="OfficeAI_Add_0_10"/>
            <w:r>
              <w:rPr>
                <w:rFonts w:hint="eastAsia"/>
                <w:strike w:val="0"/>
                <w:dstrike w:val="0"/>
                <w:color w:val="auto"/>
                <w:sz w:val="24"/>
                <w:highlight w:val="none"/>
                <w:lang w:eastAsia="zh-CN"/>
              </w:rPr>
              <w:t>中，</w:t>
            </w:r>
            <w:bookmarkEnd w:id="90"/>
            <w:r>
              <w:rPr>
                <w:strike w:val="0"/>
                <w:dstrike w:val="0"/>
                <w:color w:val="auto"/>
                <w:sz w:val="24"/>
                <w:highlight w:val="none"/>
              </w:rPr>
              <w:t>LNG储罐蒸发气会进入EAG加热</w:t>
            </w:r>
            <w:r>
              <w:rPr>
                <w:rFonts w:hint="eastAsia"/>
                <w:strike w:val="0"/>
                <w:dstrike w:val="0"/>
                <w:color w:val="auto"/>
                <w:sz w:val="24"/>
                <w:highlight w:val="none"/>
              </w:rPr>
              <w:t>器</w:t>
            </w:r>
            <w:r>
              <w:rPr>
                <w:strike w:val="0"/>
                <w:dstrike w:val="0"/>
                <w:color w:val="auto"/>
                <w:sz w:val="24"/>
                <w:highlight w:val="none"/>
              </w:rPr>
              <w:t>，最终经气相管线将槽车中的气相天然气进行放散。</w:t>
            </w:r>
            <w:r>
              <w:rPr>
                <w:rFonts w:hint="eastAsia"/>
                <w:strike w:val="0"/>
                <w:dstrike w:val="0"/>
                <w:color w:val="auto"/>
                <w:sz w:val="24"/>
                <w:highlight w:val="none"/>
              </w:rPr>
              <w:t>在正常运行过程中，低温储罐</w:t>
            </w:r>
            <w:r>
              <w:rPr>
                <w:strike w:val="0"/>
                <w:dstrike w:val="0"/>
                <w:color w:val="auto"/>
                <w:sz w:val="24"/>
                <w:highlight w:val="none"/>
              </w:rPr>
              <w:t>LNG</w:t>
            </w:r>
            <w:r>
              <w:rPr>
                <w:rFonts w:hint="eastAsia"/>
                <w:strike w:val="0"/>
                <w:dstrike w:val="0"/>
                <w:color w:val="auto"/>
                <w:sz w:val="24"/>
                <w:highlight w:val="none"/>
              </w:rPr>
              <w:t>随着外界温度变化，会产生一定的液化天然气闪蒸气</w:t>
            </w:r>
            <w:r>
              <w:rPr>
                <w:strike w:val="0"/>
                <w:dstrike w:val="0"/>
                <w:color w:val="auto"/>
                <w:sz w:val="24"/>
                <w:highlight w:val="none"/>
              </w:rPr>
              <w:t>BOG</w:t>
            </w:r>
            <w:r>
              <w:rPr>
                <w:rFonts w:hint="eastAsia"/>
                <w:strike w:val="0"/>
                <w:dstrike w:val="0"/>
                <w:color w:val="auto"/>
                <w:sz w:val="24"/>
                <w:highlight w:val="none"/>
              </w:rPr>
              <w:t>，</w:t>
            </w:r>
            <w:bookmarkStart w:id="91" w:name="OfficeAI_Add_0_95"/>
            <w:r>
              <w:rPr>
                <w:rFonts w:hint="eastAsia"/>
                <w:strike w:val="0"/>
                <w:dstrike w:val="0"/>
                <w:color w:val="auto"/>
                <w:sz w:val="24"/>
                <w:highlight w:val="none"/>
                <w:lang w:eastAsia="zh-CN"/>
              </w:rPr>
              <w:t>其</w:t>
            </w:r>
            <w:bookmarkEnd w:id="91"/>
            <w:r>
              <w:rPr>
                <w:rFonts w:hint="eastAsia"/>
                <w:strike w:val="0"/>
                <w:dstrike w:val="0"/>
                <w:color w:val="auto"/>
                <w:sz w:val="24"/>
                <w:highlight w:val="none"/>
              </w:rPr>
              <w:t>主要成分为天然气，采用</w:t>
            </w:r>
            <w:r>
              <w:rPr>
                <w:strike w:val="0"/>
                <w:dstrike w:val="0"/>
                <w:color w:val="auto"/>
                <w:sz w:val="24"/>
                <w:highlight w:val="none"/>
              </w:rPr>
              <w:t>BOG</w:t>
            </w:r>
            <w:r>
              <w:rPr>
                <w:rFonts w:hint="eastAsia"/>
                <w:strike w:val="0"/>
                <w:dstrike w:val="0"/>
                <w:color w:val="auto"/>
                <w:sz w:val="24"/>
                <w:highlight w:val="none"/>
              </w:rPr>
              <w:t>冷凝回收系统回收，未能回收的气体（天然气，主要成分为甲烷、少量非甲烷总烃），经</w:t>
            </w:r>
            <w:r>
              <w:rPr>
                <w:strike w:val="0"/>
                <w:dstrike w:val="0"/>
                <w:color w:val="auto"/>
                <w:sz w:val="24"/>
                <w:highlight w:val="none"/>
              </w:rPr>
              <w:t>EAG</w:t>
            </w:r>
            <w:r>
              <w:rPr>
                <w:rFonts w:hint="eastAsia"/>
                <w:strike w:val="0"/>
                <w:dstrike w:val="0"/>
                <w:color w:val="auto"/>
                <w:sz w:val="24"/>
                <w:highlight w:val="none"/>
              </w:rPr>
              <w:t>加热器加热气化后，经</w:t>
            </w:r>
            <w:r>
              <w:rPr>
                <w:strike w:val="0"/>
                <w:dstrike w:val="0"/>
                <w:color w:val="auto"/>
                <w:sz w:val="24"/>
                <w:highlight w:val="none"/>
              </w:rPr>
              <w:t>1</w:t>
            </w:r>
            <w:r>
              <w:rPr>
                <w:rFonts w:hint="eastAsia"/>
                <w:strike w:val="0"/>
                <w:dstrike w:val="0"/>
                <w:color w:val="auto"/>
                <w:sz w:val="24"/>
                <w:highlight w:val="none"/>
              </w:rPr>
              <w:t>根</w:t>
            </w:r>
            <w:r>
              <w:rPr>
                <w:strike w:val="0"/>
                <w:dstrike w:val="0"/>
                <w:color w:val="auto"/>
                <w:sz w:val="24"/>
                <w:highlight w:val="none"/>
              </w:rPr>
              <w:t>5m</w:t>
            </w:r>
            <w:r>
              <w:rPr>
                <w:rFonts w:hint="eastAsia"/>
                <w:strike w:val="0"/>
                <w:dstrike w:val="0"/>
                <w:color w:val="auto"/>
                <w:sz w:val="24"/>
                <w:highlight w:val="none"/>
              </w:rPr>
              <w:t>的</w:t>
            </w:r>
            <w:r>
              <w:rPr>
                <w:rFonts w:hint="eastAsia"/>
                <w:strike w:val="0"/>
                <w:dstrike w:val="0"/>
                <w:color w:val="auto"/>
                <w:sz w:val="24"/>
                <w:highlight w:val="none"/>
                <w:lang w:val="en-US" w:eastAsia="zh-CN"/>
              </w:rPr>
              <w:t>放散管</w:t>
            </w:r>
            <w:r>
              <w:rPr>
                <w:rFonts w:hint="eastAsia"/>
                <w:strike w:val="0"/>
                <w:dstrike w:val="0"/>
                <w:color w:val="auto"/>
                <w:sz w:val="24"/>
                <w:highlight w:val="none"/>
              </w:rPr>
              <w:t>无组织排放。</w:t>
            </w:r>
            <w:r>
              <w:rPr>
                <w:strike w:val="0"/>
                <w:dstrike w:val="0"/>
                <w:color w:val="auto"/>
                <w:sz w:val="24"/>
                <w:highlight w:val="none"/>
              </w:rPr>
              <w:t>BOG</w:t>
            </w:r>
            <w:r>
              <w:rPr>
                <w:rFonts w:hint="eastAsia"/>
                <w:strike w:val="0"/>
                <w:dstrike w:val="0"/>
                <w:color w:val="auto"/>
                <w:sz w:val="24"/>
                <w:highlight w:val="none"/>
              </w:rPr>
              <w:t>回收系统回收效率取</w:t>
            </w:r>
            <w:r>
              <w:rPr>
                <w:strike w:val="0"/>
                <w:dstrike w:val="0"/>
                <w:color w:val="auto"/>
                <w:sz w:val="24"/>
                <w:highlight w:val="none"/>
              </w:rPr>
              <w:t>80%</w:t>
            </w:r>
            <w:r>
              <w:rPr>
                <w:rFonts w:hint="eastAsia"/>
                <w:strike w:val="0"/>
                <w:dstrike w:val="0"/>
                <w:color w:val="auto"/>
                <w:sz w:val="24"/>
                <w:highlight w:val="none"/>
              </w:rPr>
              <w:t>。</w:t>
            </w:r>
          </w:p>
          <w:p w14:paraId="57724784">
            <w:pPr>
              <w:jc w:val="center"/>
              <w:rPr>
                <w:strike w:val="0"/>
                <w:dstrike w:val="0"/>
                <w:color w:val="auto"/>
                <w:highlight w:val="none"/>
              </w:rPr>
            </w:pPr>
            <w:r>
              <w:rPr>
                <w:strike w:val="0"/>
                <w:dstrike w:val="0"/>
                <w:color w:val="auto"/>
                <w:highlight w:val="none"/>
              </w:rPr>
              <w:drawing>
                <wp:inline distT="0" distB="0" distL="114300" distR="114300">
                  <wp:extent cx="1133475" cy="685800"/>
                  <wp:effectExtent l="0" t="0" r="9525"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0"/>
                          <a:stretch>
                            <a:fillRect/>
                          </a:stretch>
                        </pic:blipFill>
                        <pic:spPr>
                          <a:xfrm>
                            <a:off x="0" y="0"/>
                            <a:ext cx="1133475" cy="685800"/>
                          </a:xfrm>
                          <a:prstGeom prst="rect">
                            <a:avLst/>
                          </a:prstGeom>
                          <a:noFill/>
                          <a:ln>
                            <a:noFill/>
                          </a:ln>
                        </pic:spPr>
                      </pic:pic>
                    </a:graphicData>
                  </a:graphic>
                </wp:inline>
              </w:drawing>
            </w:r>
          </w:p>
          <w:p w14:paraId="4B1248E7">
            <w:pPr>
              <w:widowControl/>
              <w:spacing w:line="360" w:lineRule="auto"/>
              <w:ind w:firstLine="480" w:firstLineChars="200"/>
              <w:jc w:val="left"/>
              <w:rPr>
                <w:rFonts w:hint="eastAsia" w:ascii="宋体" w:hAnsi="宋体" w:cs="宋体"/>
                <w:strike w:val="0"/>
                <w:dstrike w:val="0"/>
                <w:color w:val="auto"/>
                <w:kern w:val="0"/>
                <w:sz w:val="24"/>
                <w:highlight w:val="none"/>
                <w:lang w:bidi="ar"/>
              </w:rPr>
            </w:pPr>
            <w:r>
              <w:rPr>
                <w:rFonts w:hint="eastAsia" w:ascii="宋体" w:hAnsi="宋体" w:cs="宋体"/>
                <w:strike w:val="0"/>
                <w:dstrike w:val="0"/>
                <w:color w:val="auto"/>
                <w:kern w:val="0"/>
                <w:sz w:val="24"/>
                <w:highlight w:val="none"/>
                <w:lang w:bidi="ar"/>
              </w:rPr>
              <w:t>式中：</w:t>
            </w:r>
            <w:r>
              <w:rPr>
                <w:strike w:val="0"/>
                <w:dstrike w:val="0"/>
                <w:color w:val="auto"/>
                <w:kern w:val="0"/>
                <w:sz w:val="24"/>
                <w:highlight w:val="none"/>
                <w:lang w:bidi="ar"/>
              </w:rPr>
              <w:t>Gr</w:t>
            </w:r>
            <w:r>
              <w:rPr>
                <w:rFonts w:hint="eastAsia" w:ascii="宋体" w:hAnsi="宋体" w:cs="宋体"/>
                <w:strike w:val="0"/>
                <w:dstrike w:val="0"/>
                <w:color w:val="auto"/>
                <w:kern w:val="0"/>
                <w:sz w:val="24"/>
                <w:highlight w:val="none"/>
                <w:lang w:bidi="ar"/>
              </w:rPr>
              <w:t>是指储罐因外界传热产生的</w:t>
            </w:r>
            <w:r>
              <w:rPr>
                <w:strike w:val="0"/>
                <w:dstrike w:val="0"/>
                <w:color w:val="auto"/>
                <w:kern w:val="0"/>
                <w:sz w:val="24"/>
                <w:highlight w:val="none"/>
                <w:lang w:bidi="ar"/>
              </w:rPr>
              <w:t>B0G</w:t>
            </w:r>
            <w:r>
              <w:rPr>
                <w:rFonts w:hint="eastAsia" w:ascii="宋体" w:hAnsi="宋体" w:cs="宋体"/>
                <w:strike w:val="0"/>
                <w:dstrike w:val="0"/>
                <w:color w:val="auto"/>
                <w:kern w:val="0"/>
                <w:sz w:val="24"/>
                <w:highlight w:val="none"/>
                <w:lang w:bidi="ar"/>
              </w:rPr>
              <w:t>量，</w:t>
            </w:r>
            <w:r>
              <w:rPr>
                <w:strike w:val="0"/>
                <w:dstrike w:val="0"/>
                <w:color w:val="auto"/>
                <w:kern w:val="0"/>
                <w:sz w:val="24"/>
                <w:highlight w:val="none"/>
                <w:lang w:bidi="ar"/>
              </w:rPr>
              <w:t>kg/h</w:t>
            </w:r>
            <w:r>
              <w:rPr>
                <w:rFonts w:hint="eastAsia" w:ascii="宋体" w:hAnsi="宋体" w:cs="宋体"/>
                <w:strike w:val="0"/>
                <w:dstrike w:val="0"/>
                <w:color w:val="auto"/>
                <w:kern w:val="0"/>
                <w:sz w:val="24"/>
                <w:highlight w:val="none"/>
                <w:lang w:bidi="ar"/>
              </w:rPr>
              <w:t>；</w:t>
            </w:r>
          </w:p>
          <w:p w14:paraId="1658FFF6">
            <w:pPr>
              <w:widowControl/>
              <w:spacing w:line="360" w:lineRule="auto"/>
              <w:ind w:firstLine="960" w:firstLineChars="400"/>
              <w:jc w:val="left"/>
              <w:rPr>
                <w:rFonts w:hint="eastAsia" w:ascii="宋体" w:hAnsi="宋体" w:cs="宋体"/>
                <w:strike w:val="0"/>
                <w:dstrike w:val="0"/>
                <w:color w:val="auto"/>
                <w:kern w:val="0"/>
                <w:sz w:val="24"/>
                <w:highlight w:val="none"/>
                <w:lang w:bidi="ar"/>
              </w:rPr>
            </w:pPr>
            <w:r>
              <w:rPr>
                <w:strike w:val="0"/>
                <w:dstrike w:val="0"/>
                <w:color w:val="auto"/>
                <w:kern w:val="0"/>
                <w:sz w:val="24"/>
                <w:highlight w:val="none"/>
                <w:lang w:bidi="ar"/>
              </w:rPr>
              <w:t>η</w:t>
            </w:r>
            <w:r>
              <w:rPr>
                <w:rFonts w:hint="eastAsia" w:ascii="宋体" w:hAnsi="宋体" w:cs="宋体"/>
                <w:strike w:val="0"/>
                <w:dstrike w:val="0"/>
                <w:color w:val="auto"/>
                <w:kern w:val="0"/>
                <w:sz w:val="24"/>
                <w:highlight w:val="none"/>
                <w:lang w:bidi="ar"/>
              </w:rPr>
              <w:t>是指储罐日蒸发率，根据设备参数取</w:t>
            </w:r>
            <w:r>
              <w:rPr>
                <w:strike w:val="0"/>
                <w:dstrike w:val="0"/>
                <w:color w:val="auto"/>
                <w:kern w:val="0"/>
                <w:sz w:val="24"/>
                <w:highlight w:val="none"/>
                <w:lang w:bidi="ar"/>
              </w:rPr>
              <w:t>0.08%</w:t>
            </w:r>
            <w:r>
              <w:rPr>
                <w:rFonts w:hint="eastAsia" w:ascii="宋体" w:hAnsi="宋体" w:cs="宋体"/>
                <w:strike w:val="0"/>
                <w:dstrike w:val="0"/>
                <w:color w:val="auto"/>
                <w:kern w:val="0"/>
                <w:sz w:val="24"/>
                <w:highlight w:val="none"/>
                <w:lang w:bidi="ar"/>
              </w:rPr>
              <w:t>；</w:t>
            </w:r>
          </w:p>
          <w:p w14:paraId="26D8CADC">
            <w:pPr>
              <w:widowControl/>
              <w:spacing w:line="360" w:lineRule="auto"/>
              <w:ind w:firstLine="960" w:firstLineChars="400"/>
              <w:jc w:val="left"/>
              <w:rPr>
                <w:rFonts w:hint="eastAsia" w:ascii="宋体" w:hAnsi="宋体" w:cs="宋体"/>
                <w:strike w:val="0"/>
                <w:dstrike w:val="0"/>
                <w:color w:val="auto"/>
                <w:kern w:val="0"/>
                <w:sz w:val="24"/>
                <w:highlight w:val="none"/>
                <w:lang w:bidi="ar"/>
              </w:rPr>
            </w:pPr>
            <w:r>
              <w:rPr>
                <w:strike w:val="0"/>
                <w:dstrike w:val="0"/>
                <w:color w:val="auto"/>
                <w:kern w:val="0"/>
                <w:sz w:val="24"/>
                <w:highlight w:val="none"/>
                <w:lang w:bidi="ar"/>
              </w:rPr>
              <w:t>ε</w:t>
            </w:r>
            <w:r>
              <w:rPr>
                <w:rFonts w:hint="eastAsia" w:ascii="宋体" w:hAnsi="宋体" w:cs="宋体"/>
                <w:strike w:val="0"/>
                <w:dstrike w:val="0"/>
                <w:color w:val="auto"/>
                <w:kern w:val="0"/>
                <w:sz w:val="24"/>
                <w:highlight w:val="none"/>
                <w:lang w:bidi="ar"/>
              </w:rPr>
              <w:t>是指储罐充装率，取</w:t>
            </w:r>
            <w:r>
              <w:rPr>
                <w:strike w:val="0"/>
                <w:dstrike w:val="0"/>
                <w:color w:val="auto"/>
                <w:kern w:val="0"/>
                <w:sz w:val="24"/>
                <w:highlight w:val="none"/>
                <w:lang w:bidi="ar"/>
              </w:rPr>
              <w:t>90%</w:t>
            </w:r>
            <w:r>
              <w:rPr>
                <w:rFonts w:hint="eastAsia" w:ascii="宋体" w:hAnsi="宋体" w:cs="宋体"/>
                <w:strike w:val="0"/>
                <w:dstrike w:val="0"/>
                <w:color w:val="auto"/>
                <w:kern w:val="0"/>
                <w:sz w:val="24"/>
                <w:highlight w:val="none"/>
                <w:lang w:bidi="ar"/>
              </w:rPr>
              <w:t>；</w:t>
            </w:r>
          </w:p>
          <w:p w14:paraId="311EB990">
            <w:pPr>
              <w:widowControl/>
              <w:spacing w:line="360" w:lineRule="auto"/>
              <w:ind w:firstLine="960" w:firstLineChars="400"/>
              <w:jc w:val="left"/>
              <w:rPr>
                <w:rFonts w:hint="eastAsia" w:ascii="宋体" w:hAnsi="宋体" w:cs="宋体"/>
                <w:strike w:val="0"/>
                <w:dstrike w:val="0"/>
                <w:color w:val="auto"/>
                <w:kern w:val="0"/>
                <w:sz w:val="24"/>
                <w:highlight w:val="none"/>
                <w:lang w:bidi="ar"/>
              </w:rPr>
            </w:pPr>
            <w:r>
              <w:rPr>
                <w:strike w:val="0"/>
                <w:dstrike w:val="0"/>
                <w:color w:val="auto"/>
                <w:kern w:val="0"/>
                <w:sz w:val="24"/>
                <w:highlight w:val="none"/>
                <w:lang w:bidi="ar"/>
              </w:rPr>
              <w:t>ρ</w:t>
            </w:r>
            <w:r>
              <w:rPr>
                <w:rFonts w:hint="eastAsia" w:ascii="宋体" w:hAnsi="宋体" w:cs="宋体"/>
                <w:strike w:val="0"/>
                <w:dstrike w:val="0"/>
                <w:color w:val="auto"/>
                <w:kern w:val="0"/>
                <w:sz w:val="24"/>
                <w:highlight w:val="none"/>
                <w:lang w:bidi="ar"/>
              </w:rPr>
              <w:t>是指</w:t>
            </w:r>
            <w:r>
              <w:rPr>
                <w:strike w:val="0"/>
                <w:dstrike w:val="0"/>
                <w:color w:val="auto"/>
                <w:kern w:val="0"/>
                <w:sz w:val="24"/>
                <w:highlight w:val="none"/>
                <w:lang w:bidi="ar"/>
              </w:rPr>
              <w:t>LNG</w:t>
            </w:r>
            <w:r>
              <w:rPr>
                <w:rFonts w:hint="eastAsia" w:ascii="宋体" w:hAnsi="宋体" w:cs="宋体"/>
                <w:strike w:val="0"/>
                <w:dstrike w:val="0"/>
                <w:color w:val="auto"/>
                <w:kern w:val="0"/>
                <w:sz w:val="24"/>
                <w:highlight w:val="none"/>
                <w:lang w:bidi="ar"/>
              </w:rPr>
              <w:t>液体密度，</w:t>
            </w:r>
            <w:r>
              <w:rPr>
                <w:strike w:val="0"/>
                <w:dstrike w:val="0"/>
                <w:color w:val="auto"/>
                <w:kern w:val="0"/>
                <w:sz w:val="24"/>
                <w:highlight w:val="none"/>
                <w:lang w:bidi="ar"/>
              </w:rPr>
              <w:t>kg/m</w:t>
            </w:r>
            <w:r>
              <w:rPr>
                <w:rFonts w:hint="eastAsia"/>
                <w:strike w:val="0"/>
                <w:dstrike w:val="0"/>
                <w:color w:val="auto"/>
                <w:kern w:val="0"/>
                <w:sz w:val="24"/>
                <w:highlight w:val="none"/>
                <w:vertAlign w:val="superscript"/>
                <w:lang w:bidi="ar"/>
              </w:rPr>
              <w:t>3</w:t>
            </w:r>
            <w:r>
              <w:rPr>
                <w:rFonts w:hint="eastAsia" w:ascii="宋体" w:hAnsi="宋体" w:cs="宋体"/>
                <w:strike w:val="0"/>
                <w:dstrike w:val="0"/>
                <w:color w:val="auto"/>
                <w:kern w:val="0"/>
                <w:sz w:val="24"/>
                <w:highlight w:val="none"/>
                <w:lang w:bidi="ar"/>
              </w:rPr>
              <w:t>，取</w:t>
            </w:r>
            <w:r>
              <w:rPr>
                <w:strike w:val="0"/>
                <w:dstrike w:val="0"/>
                <w:color w:val="auto"/>
                <w:kern w:val="0"/>
                <w:sz w:val="24"/>
                <w:highlight w:val="none"/>
                <w:lang w:bidi="ar"/>
              </w:rPr>
              <w:t>4</w:t>
            </w:r>
            <w:r>
              <w:rPr>
                <w:rFonts w:hint="eastAsia"/>
                <w:strike w:val="0"/>
                <w:dstrike w:val="0"/>
                <w:color w:val="auto"/>
                <w:kern w:val="0"/>
                <w:sz w:val="24"/>
                <w:highlight w:val="none"/>
                <w:lang w:bidi="ar"/>
              </w:rPr>
              <w:t>5</w:t>
            </w:r>
            <w:r>
              <w:rPr>
                <w:strike w:val="0"/>
                <w:dstrike w:val="0"/>
                <w:color w:val="auto"/>
                <w:kern w:val="0"/>
                <w:sz w:val="24"/>
                <w:highlight w:val="none"/>
                <w:lang w:bidi="ar"/>
              </w:rPr>
              <w:t>0kg/m</w:t>
            </w:r>
            <w:r>
              <w:rPr>
                <w:rFonts w:hint="eastAsia"/>
                <w:strike w:val="0"/>
                <w:dstrike w:val="0"/>
                <w:color w:val="auto"/>
                <w:kern w:val="0"/>
                <w:sz w:val="24"/>
                <w:highlight w:val="none"/>
                <w:vertAlign w:val="superscript"/>
                <w:lang w:bidi="ar"/>
              </w:rPr>
              <w:t>3</w:t>
            </w:r>
            <w:r>
              <w:rPr>
                <w:rFonts w:hint="eastAsia" w:ascii="宋体" w:hAnsi="宋体" w:cs="宋体"/>
                <w:strike w:val="0"/>
                <w:dstrike w:val="0"/>
                <w:color w:val="auto"/>
                <w:kern w:val="0"/>
                <w:sz w:val="24"/>
                <w:highlight w:val="none"/>
                <w:lang w:bidi="ar"/>
              </w:rPr>
              <w:t>；</w:t>
            </w:r>
          </w:p>
          <w:p w14:paraId="389AABB6">
            <w:pPr>
              <w:widowControl/>
              <w:spacing w:line="360" w:lineRule="auto"/>
              <w:ind w:firstLine="960" w:firstLineChars="400"/>
              <w:jc w:val="left"/>
              <w:rPr>
                <w:rFonts w:hint="eastAsia" w:ascii="宋体" w:hAnsi="宋体" w:cs="宋体"/>
                <w:strike w:val="0"/>
                <w:dstrike w:val="0"/>
                <w:color w:val="auto"/>
                <w:kern w:val="0"/>
                <w:sz w:val="24"/>
                <w:highlight w:val="none"/>
                <w:lang w:bidi="ar"/>
              </w:rPr>
            </w:pPr>
            <w:r>
              <w:rPr>
                <w:strike w:val="0"/>
                <w:dstrike w:val="0"/>
                <w:color w:val="auto"/>
                <w:kern w:val="0"/>
                <w:sz w:val="24"/>
                <w:highlight w:val="none"/>
                <w:lang w:bidi="ar"/>
              </w:rPr>
              <w:t>V</w:t>
            </w:r>
            <w:r>
              <w:rPr>
                <w:rFonts w:hint="eastAsia" w:ascii="宋体" w:hAnsi="宋体" w:cs="宋体"/>
                <w:strike w:val="0"/>
                <w:dstrike w:val="0"/>
                <w:color w:val="auto"/>
                <w:kern w:val="0"/>
                <w:sz w:val="24"/>
                <w:highlight w:val="none"/>
                <w:lang w:bidi="ar"/>
              </w:rPr>
              <w:t>是指</w:t>
            </w:r>
            <w:r>
              <w:rPr>
                <w:strike w:val="0"/>
                <w:dstrike w:val="0"/>
                <w:color w:val="auto"/>
                <w:kern w:val="0"/>
                <w:sz w:val="24"/>
                <w:highlight w:val="none"/>
                <w:lang w:bidi="ar"/>
              </w:rPr>
              <w:t>LNG</w:t>
            </w:r>
            <w:r>
              <w:rPr>
                <w:rFonts w:hint="eastAsia" w:ascii="宋体" w:hAnsi="宋体" w:cs="宋体"/>
                <w:strike w:val="0"/>
                <w:dstrike w:val="0"/>
                <w:color w:val="auto"/>
                <w:kern w:val="0"/>
                <w:sz w:val="24"/>
                <w:highlight w:val="none"/>
                <w:lang w:bidi="ar"/>
              </w:rPr>
              <w:t>储罐有效容积，为</w:t>
            </w:r>
            <w:r>
              <w:rPr>
                <w:strike w:val="0"/>
                <w:dstrike w:val="0"/>
                <w:color w:val="auto"/>
                <w:kern w:val="0"/>
                <w:sz w:val="24"/>
                <w:highlight w:val="none"/>
                <w:lang w:bidi="ar"/>
              </w:rPr>
              <w:t>60m</w:t>
            </w:r>
            <w:r>
              <w:rPr>
                <w:rFonts w:hint="eastAsia"/>
                <w:strike w:val="0"/>
                <w:dstrike w:val="0"/>
                <w:color w:val="auto"/>
                <w:kern w:val="0"/>
                <w:sz w:val="24"/>
                <w:highlight w:val="none"/>
                <w:vertAlign w:val="superscript"/>
                <w:lang w:bidi="ar"/>
              </w:rPr>
              <w:t>3</w:t>
            </w:r>
            <w:r>
              <w:rPr>
                <w:rFonts w:hint="eastAsia" w:ascii="宋体" w:hAnsi="宋体" w:cs="宋体"/>
                <w:strike w:val="0"/>
                <w:dstrike w:val="0"/>
                <w:color w:val="auto"/>
                <w:kern w:val="0"/>
                <w:sz w:val="24"/>
                <w:highlight w:val="none"/>
                <w:lang w:bidi="ar"/>
              </w:rPr>
              <w:t>。</w:t>
            </w:r>
          </w:p>
          <w:p w14:paraId="52D06B49">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Gr=90%*0.08%*4</w:t>
            </w:r>
            <w:r>
              <w:rPr>
                <w:rFonts w:hint="eastAsia"/>
                <w:strike w:val="0"/>
                <w:dstrike w:val="0"/>
                <w:color w:val="auto"/>
                <w:kern w:val="0"/>
                <w:sz w:val="24"/>
                <w:highlight w:val="none"/>
                <w:lang w:bidi="ar"/>
              </w:rPr>
              <w:t>50</w:t>
            </w:r>
            <w:r>
              <w:rPr>
                <w:strike w:val="0"/>
                <w:dstrike w:val="0"/>
                <w:color w:val="auto"/>
                <w:kern w:val="0"/>
                <w:sz w:val="24"/>
                <w:highlight w:val="none"/>
                <w:lang w:bidi="ar"/>
              </w:rPr>
              <w:t>*60/24=</w:t>
            </w:r>
            <w:r>
              <w:rPr>
                <w:rFonts w:hint="eastAsia"/>
                <w:strike w:val="0"/>
                <w:dstrike w:val="0"/>
                <w:color w:val="auto"/>
                <w:kern w:val="0"/>
                <w:sz w:val="24"/>
                <w:highlight w:val="none"/>
                <w:lang w:bidi="ar"/>
              </w:rPr>
              <w:t>0.81</w:t>
            </w:r>
            <w:r>
              <w:rPr>
                <w:strike w:val="0"/>
                <w:dstrike w:val="0"/>
                <w:color w:val="auto"/>
                <w:kern w:val="0"/>
                <w:sz w:val="24"/>
                <w:highlight w:val="none"/>
                <w:lang w:bidi="ar"/>
              </w:rPr>
              <w:t>kg/h</w:t>
            </w:r>
          </w:p>
          <w:p w14:paraId="61625E50">
            <w:pPr>
              <w:widowControl/>
              <w:spacing w:line="360" w:lineRule="auto"/>
              <w:ind w:firstLine="480" w:firstLineChars="200"/>
              <w:jc w:val="left"/>
              <w:rPr>
                <w:strike w:val="0"/>
                <w:dstrike w:val="0"/>
                <w:color w:val="auto"/>
                <w:sz w:val="24"/>
                <w:highlight w:val="none"/>
              </w:rPr>
            </w:pPr>
            <w:r>
              <w:rPr>
                <w:rFonts w:hint="eastAsia" w:ascii="宋体" w:hAnsi="宋体" w:cs="宋体"/>
                <w:strike w:val="0"/>
                <w:dstrike w:val="0"/>
                <w:color w:val="auto"/>
                <w:kern w:val="0"/>
                <w:sz w:val="24"/>
                <w:highlight w:val="none"/>
                <w:lang w:bidi="ar"/>
              </w:rPr>
              <w:t>根据计算，</w:t>
            </w:r>
            <w:r>
              <w:rPr>
                <w:strike w:val="0"/>
                <w:dstrike w:val="0"/>
                <w:color w:val="auto"/>
                <w:kern w:val="0"/>
                <w:sz w:val="24"/>
                <w:highlight w:val="none"/>
                <w:lang w:bidi="ar"/>
              </w:rPr>
              <w:t>BOG</w:t>
            </w:r>
            <w:r>
              <w:rPr>
                <w:rFonts w:hint="eastAsia" w:ascii="宋体" w:hAnsi="宋体" w:cs="宋体"/>
                <w:strike w:val="0"/>
                <w:dstrike w:val="0"/>
                <w:color w:val="auto"/>
                <w:kern w:val="0"/>
                <w:sz w:val="24"/>
                <w:highlight w:val="none"/>
                <w:lang w:bidi="ar"/>
              </w:rPr>
              <w:t>产生速率为</w:t>
            </w:r>
            <w:r>
              <w:rPr>
                <w:rFonts w:hint="eastAsia"/>
                <w:strike w:val="0"/>
                <w:dstrike w:val="0"/>
                <w:color w:val="auto"/>
                <w:kern w:val="0"/>
                <w:sz w:val="24"/>
                <w:highlight w:val="none"/>
                <w:lang w:bidi="ar"/>
              </w:rPr>
              <w:t>0.81</w:t>
            </w:r>
            <w:r>
              <w:rPr>
                <w:strike w:val="0"/>
                <w:dstrike w:val="0"/>
                <w:color w:val="auto"/>
                <w:kern w:val="0"/>
                <w:sz w:val="24"/>
                <w:highlight w:val="none"/>
                <w:lang w:bidi="ar"/>
              </w:rPr>
              <w:t>kg/h</w:t>
            </w:r>
            <w:r>
              <w:rPr>
                <w:rFonts w:hint="eastAsia" w:ascii="宋体" w:hAnsi="宋体" w:cs="宋体"/>
                <w:strike w:val="0"/>
                <w:dstrike w:val="0"/>
                <w:color w:val="auto"/>
                <w:kern w:val="0"/>
                <w:sz w:val="24"/>
                <w:highlight w:val="none"/>
                <w:lang w:bidi="ar"/>
              </w:rPr>
              <w:t>，年产生量为</w:t>
            </w:r>
            <w:r>
              <w:rPr>
                <w:rFonts w:hint="eastAsia"/>
                <w:strike w:val="0"/>
                <w:dstrike w:val="0"/>
                <w:color w:val="auto"/>
                <w:kern w:val="0"/>
                <w:sz w:val="24"/>
                <w:highlight w:val="none"/>
                <w:lang w:bidi="ar"/>
              </w:rPr>
              <w:t>7.1</w:t>
            </w:r>
            <w:r>
              <w:rPr>
                <w:strike w:val="0"/>
                <w:dstrike w:val="0"/>
                <w:color w:val="auto"/>
                <w:kern w:val="0"/>
                <w:sz w:val="24"/>
                <w:highlight w:val="none"/>
                <w:lang w:bidi="ar"/>
              </w:rPr>
              <w:t>t/a</w:t>
            </w:r>
            <w:r>
              <w:rPr>
                <w:rFonts w:hint="eastAsia" w:ascii="宋体" w:hAnsi="宋体" w:cs="宋体"/>
                <w:strike w:val="0"/>
                <w:dstrike w:val="0"/>
                <w:color w:val="auto"/>
                <w:kern w:val="0"/>
                <w:sz w:val="24"/>
                <w:highlight w:val="none"/>
                <w:lang w:bidi="ar"/>
              </w:rPr>
              <w:t>，</w:t>
            </w:r>
            <w:r>
              <w:rPr>
                <w:strike w:val="0"/>
                <w:dstrike w:val="0"/>
                <w:color w:val="auto"/>
                <w:kern w:val="0"/>
                <w:sz w:val="24"/>
                <w:highlight w:val="none"/>
                <w:lang w:bidi="ar"/>
              </w:rPr>
              <w:t>BOG</w:t>
            </w:r>
            <w:r>
              <w:rPr>
                <w:rFonts w:hint="eastAsia" w:ascii="宋体" w:hAnsi="宋体" w:cs="宋体"/>
                <w:strike w:val="0"/>
                <w:dstrike w:val="0"/>
                <w:color w:val="auto"/>
                <w:kern w:val="0"/>
                <w:sz w:val="24"/>
                <w:highlight w:val="none"/>
                <w:lang w:bidi="ar"/>
              </w:rPr>
              <w:t>回收系统回收效率为</w:t>
            </w:r>
            <w:r>
              <w:rPr>
                <w:strike w:val="0"/>
                <w:dstrike w:val="0"/>
                <w:color w:val="auto"/>
                <w:kern w:val="0"/>
                <w:sz w:val="24"/>
                <w:highlight w:val="none"/>
                <w:lang w:bidi="ar"/>
              </w:rPr>
              <w:t>80%</w:t>
            </w:r>
            <w:r>
              <w:rPr>
                <w:rFonts w:hint="eastAsia" w:ascii="宋体" w:hAnsi="宋体" w:cs="宋体"/>
                <w:strike w:val="0"/>
                <w:dstrike w:val="0"/>
                <w:color w:val="auto"/>
                <w:kern w:val="0"/>
                <w:sz w:val="24"/>
                <w:highlight w:val="none"/>
                <w:lang w:bidi="ar"/>
              </w:rPr>
              <w:t>，放散气排放</w:t>
            </w:r>
            <w:r>
              <w:rPr>
                <w:strike w:val="0"/>
                <w:dstrike w:val="0"/>
                <w:color w:val="auto"/>
                <w:kern w:val="0"/>
                <w:sz w:val="24"/>
                <w:highlight w:val="none"/>
                <w:lang w:bidi="ar"/>
              </w:rPr>
              <w:t>量为1.42t/a，排放速率为0.16kg/h</w:t>
            </w:r>
            <w:r>
              <w:rPr>
                <w:rFonts w:hint="eastAsia" w:ascii="宋体" w:hAnsi="宋体" w:cs="宋体"/>
                <w:strike w:val="0"/>
                <w:dstrike w:val="0"/>
                <w:color w:val="auto"/>
                <w:kern w:val="0"/>
                <w:sz w:val="24"/>
                <w:highlight w:val="none"/>
                <w:lang w:bidi="ar"/>
              </w:rPr>
              <w:t>。</w:t>
            </w:r>
            <w:r>
              <w:rPr>
                <w:strike w:val="0"/>
                <w:dstrike w:val="0"/>
                <w:color w:val="auto"/>
                <w:sz w:val="24"/>
                <w:highlight w:val="none"/>
              </w:rPr>
              <w:t>根据组分表中各物质占天然气的成分(甲烷占95.97%，NMHC占3.065%)</w:t>
            </w:r>
            <w:r>
              <w:rPr>
                <w:rFonts w:hint="eastAsia" w:ascii="宋体" w:hAnsi="宋体" w:cs="宋体"/>
                <w:strike w:val="0"/>
                <w:dstrike w:val="0"/>
                <w:color w:val="auto"/>
                <w:kern w:val="0"/>
                <w:sz w:val="24"/>
                <w:highlight w:val="none"/>
                <w:lang w:bidi="ar"/>
              </w:rPr>
              <w:t>，则非甲烷总烃排放量为</w:t>
            </w:r>
            <w:r>
              <w:rPr>
                <w:rFonts w:hint="eastAsia"/>
                <w:strike w:val="0"/>
                <w:dstrike w:val="0"/>
                <w:color w:val="auto"/>
                <w:kern w:val="0"/>
                <w:sz w:val="24"/>
                <w:highlight w:val="none"/>
                <w:lang w:bidi="ar"/>
              </w:rPr>
              <w:t>0.044</w:t>
            </w:r>
            <w:r>
              <w:rPr>
                <w:strike w:val="0"/>
                <w:dstrike w:val="0"/>
                <w:color w:val="auto"/>
                <w:kern w:val="0"/>
                <w:sz w:val="24"/>
                <w:highlight w:val="none"/>
                <w:lang w:bidi="ar"/>
              </w:rPr>
              <w:t>t/a</w:t>
            </w:r>
            <w:r>
              <w:rPr>
                <w:rFonts w:hint="eastAsia" w:ascii="宋体" w:hAnsi="宋体" w:cs="宋体"/>
                <w:strike w:val="0"/>
                <w:dstrike w:val="0"/>
                <w:color w:val="auto"/>
                <w:kern w:val="0"/>
                <w:sz w:val="24"/>
                <w:highlight w:val="none"/>
                <w:lang w:bidi="ar"/>
              </w:rPr>
              <w:t>，排放速率为</w:t>
            </w:r>
            <w:r>
              <w:rPr>
                <w:strike w:val="0"/>
                <w:dstrike w:val="0"/>
                <w:color w:val="auto"/>
                <w:kern w:val="0"/>
                <w:sz w:val="24"/>
                <w:highlight w:val="none"/>
                <w:lang w:bidi="ar"/>
              </w:rPr>
              <w:t>0.00</w:t>
            </w:r>
            <w:r>
              <w:rPr>
                <w:rFonts w:hint="eastAsia"/>
                <w:strike w:val="0"/>
                <w:dstrike w:val="0"/>
                <w:color w:val="auto"/>
                <w:kern w:val="0"/>
                <w:sz w:val="24"/>
                <w:highlight w:val="none"/>
                <w:lang w:bidi="ar"/>
              </w:rPr>
              <w:t>5</w:t>
            </w:r>
            <w:r>
              <w:rPr>
                <w:strike w:val="0"/>
                <w:dstrike w:val="0"/>
                <w:color w:val="auto"/>
                <w:kern w:val="0"/>
                <w:sz w:val="24"/>
                <w:highlight w:val="none"/>
                <w:lang w:bidi="ar"/>
              </w:rPr>
              <w:t>kg/h</w:t>
            </w:r>
            <w:r>
              <w:rPr>
                <w:rFonts w:hint="eastAsia" w:ascii="宋体" w:hAnsi="宋体" w:cs="宋体"/>
                <w:strike w:val="0"/>
                <w:dstrike w:val="0"/>
                <w:color w:val="auto"/>
                <w:kern w:val="0"/>
                <w:sz w:val="24"/>
                <w:highlight w:val="none"/>
                <w:lang w:bidi="ar"/>
              </w:rPr>
              <w:t>。</w:t>
            </w:r>
          </w:p>
          <w:p w14:paraId="7C14D841">
            <w:pPr>
              <w:spacing w:line="360" w:lineRule="auto"/>
              <w:ind w:firstLine="482" w:firstLine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6 \* GB2 \* MERGEFORMAT </w:instrText>
            </w:r>
            <w:r>
              <w:rPr>
                <w:b/>
                <w:bCs/>
                <w:strike w:val="0"/>
                <w:dstrike w:val="0"/>
                <w:color w:val="auto"/>
                <w:sz w:val="24"/>
                <w:highlight w:val="none"/>
              </w:rPr>
              <w:fldChar w:fldCharType="separate"/>
            </w:r>
            <w:r>
              <w:rPr>
                <w:b/>
                <w:bCs/>
                <w:strike w:val="0"/>
                <w:dstrike w:val="0"/>
                <w:color w:val="auto"/>
                <w:sz w:val="24"/>
                <w:highlight w:val="none"/>
              </w:rPr>
              <w:t>⑹</w:t>
            </w:r>
            <w:r>
              <w:rPr>
                <w:b/>
                <w:bCs/>
                <w:strike w:val="0"/>
                <w:dstrike w:val="0"/>
                <w:color w:val="auto"/>
                <w:sz w:val="24"/>
                <w:highlight w:val="none"/>
              </w:rPr>
              <w:fldChar w:fldCharType="end"/>
            </w:r>
            <w:r>
              <w:rPr>
                <w:b/>
                <w:bCs/>
                <w:strike w:val="0"/>
                <w:dstrike w:val="0"/>
                <w:color w:val="auto"/>
                <w:sz w:val="24"/>
                <w:highlight w:val="none"/>
              </w:rPr>
              <w:t>系统超压排放天然气</w:t>
            </w:r>
            <w:r>
              <w:rPr>
                <w:rFonts w:hint="eastAsia"/>
                <w:b/>
                <w:bCs/>
                <w:strike w:val="0"/>
                <w:dstrike w:val="0"/>
                <w:color w:val="auto"/>
                <w:sz w:val="24"/>
                <w:highlight w:val="none"/>
              </w:rPr>
              <w:t>G6</w:t>
            </w:r>
          </w:p>
          <w:p w14:paraId="286B8724">
            <w:pPr>
              <w:snapToGrid w:val="0"/>
              <w:spacing w:line="360" w:lineRule="auto"/>
              <w:ind w:firstLine="480"/>
              <w:rPr>
                <w:strike w:val="0"/>
                <w:dstrike w:val="0"/>
                <w:color w:val="auto"/>
                <w:sz w:val="24"/>
                <w:highlight w:val="none"/>
              </w:rPr>
            </w:pPr>
            <w:r>
              <w:rPr>
                <w:strike w:val="0"/>
                <w:dstrike w:val="0"/>
                <w:color w:val="auto"/>
                <w:sz w:val="24"/>
                <w:highlight w:val="none"/>
              </w:rPr>
              <w:t>当夏季气温过高时，会出现LNG储罐、LNG储罐</w:t>
            </w:r>
            <w:r>
              <w:rPr>
                <w:rFonts w:hint="eastAsia"/>
                <w:strike w:val="0"/>
                <w:dstrike w:val="0"/>
                <w:color w:val="auto"/>
                <w:sz w:val="24"/>
                <w:highlight w:val="none"/>
              </w:rPr>
              <w:t>增压器</w:t>
            </w:r>
            <w:r>
              <w:rPr>
                <w:strike w:val="0"/>
                <w:dstrike w:val="0"/>
                <w:color w:val="auto"/>
                <w:sz w:val="24"/>
                <w:highlight w:val="none"/>
              </w:rPr>
              <w:t>发生非正常超压</w:t>
            </w:r>
            <w:bookmarkStart w:id="92" w:name="OfficeAI_Add_0_33"/>
            <w:r>
              <w:rPr>
                <w:rFonts w:hint="eastAsia"/>
                <w:strike w:val="0"/>
                <w:dstrike w:val="0"/>
                <w:color w:val="auto"/>
                <w:sz w:val="24"/>
                <w:highlight w:val="none"/>
                <w:lang w:eastAsia="zh-CN"/>
              </w:rPr>
              <w:t>的情况</w:t>
            </w:r>
            <w:bookmarkEnd w:id="92"/>
            <w:r>
              <w:rPr>
                <w:strike w:val="0"/>
                <w:dstrike w:val="0"/>
                <w:color w:val="auto"/>
                <w:sz w:val="24"/>
                <w:highlight w:val="none"/>
              </w:rPr>
              <w:t>，为维持LNG储罐、LNG储罐</w:t>
            </w:r>
            <w:r>
              <w:rPr>
                <w:rFonts w:hint="eastAsia"/>
                <w:strike w:val="0"/>
                <w:dstrike w:val="0"/>
                <w:color w:val="auto"/>
                <w:sz w:val="24"/>
                <w:highlight w:val="none"/>
              </w:rPr>
              <w:t>增压器</w:t>
            </w:r>
            <w:r>
              <w:rPr>
                <w:strike w:val="0"/>
                <w:dstrike w:val="0"/>
                <w:color w:val="auto"/>
                <w:sz w:val="24"/>
                <w:highlight w:val="none"/>
              </w:rPr>
              <w:t>压力，LNG储罐、LNG储罐</w:t>
            </w:r>
            <w:r>
              <w:rPr>
                <w:rFonts w:hint="eastAsia"/>
                <w:strike w:val="0"/>
                <w:dstrike w:val="0"/>
                <w:color w:val="auto"/>
                <w:sz w:val="24"/>
                <w:highlight w:val="none"/>
              </w:rPr>
              <w:t>增压器</w:t>
            </w:r>
            <w:r>
              <w:rPr>
                <w:strike w:val="0"/>
                <w:dstrike w:val="0"/>
                <w:color w:val="auto"/>
                <w:sz w:val="24"/>
                <w:highlight w:val="none"/>
              </w:rPr>
              <w:t>设置的低温安全阀启动，通过释放一定的LNG气体维持压力平衡，释放的气体通过</w:t>
            </w:r>
            <w:r>
              <w:rPr>
                <w:rFonts w:hint="eastAsia"/>
                <w:strike w:val="0"/>
                <w:dstrike w:val="0"/>
                <w:color w:val="auto"/>
                <w:sz w:val="24"/>
                <w:highlight w:val="none"/>
                <w:lang w:val="en-US" w:eastAsia="zh-CN"/>
              </w:rPr>
              <w:t>放散管</w:t>
            </w:r>
            <w:r>
              <w:rPr>
                <w:strike w:val="0"/>
                <w:dstrike w:val="0"/>
                <w:color w:val="auto"/>
                <w:sz w:val="24"/>
                <w:highlight w:val="none"/>
              </w:rPr>
              <w:t>排放。项目各工序均有较完善的自动化控制系统，一般情况下，当LNG储罐及LNG储罐</w:t>
            </w:r>
            <w:r>
              <w:rPr>
                <w:rFonts w:hint="eastAsia"/>
                <w:strike w:val="0"/>
                <w:dstrike w:val="0"/>
                <w:color w:val="auto"/>
                <w:sz w:val="24"/>
                <w:highlight w:val="none"/>
              </w:rPr>
              <w:t>增压器</w:t>
            </w:r>
            <w:bookmarkStart w:id="93" w:name="OfficeAI_Add_0_157"/>
            <w:r>
              <w:rPr>
                <w:rFonts w:hint="eastAsia"/>
                <w:strike w:val="0"/>
                <w:dstrike w:val="0"/>
                <w:color w:val="auto"/>
                <w:sz w:val="24"/>
                <w:highlight w:val="none"/>
                <w:lang w:eastAsia="zh-CN"/>
              </w:rPr>
              <w:t>在</w:t>
            </w:r>
            <w:bookmarkEnd w:id="93"/>
            <w:r>
              <w:rPr>
                <w:strike w:val="0"/>
                <w:dstrike w:val="0"/>
                <w:color w:val="auto"/>
                <w:sz w:val="24"/>
                <w:highlight w:val="none"/>
              </w:rPr>
              <w:t>收发、存储、气化过程中出现压力增大情况</w:t>
            </w:r>
            <w:bookmarkStart w:id="94" w:name="OfficeAI_Add_0_178"/>
            <w:r>
              <w:rPr>
                <w:rFonts w:hint="eastAsia"/>
                <w:strike w:val="0"/>
                <w:dstrike w:val="0"/>
                <w:color w:val="auto"/>
                <w:sz w:val="24"/>
                <w:highlight w:val="none"/>
                <w:lang w:eastAsia="zh-CN"/>
              </w:rPr>
              <w:t>时</w:t>
            </w:r>
            <w:bookmarkEnd w:id="94"/>
            <w:r>
              <w:rPr>
                <w:strike w:val="0"/>
                <w:dstrike w:val="0"/>
                <w:color w:val="auto"/>
                <w:sz w:val="24"/>
                <w:highlight w:val="none"/>
              </w:rPr>
              <w:t>，可通过LNG储罐及LNG储罐</w:t>
            </w:r>
            <w:r>
              <w:rPr>
                <w:rFonts w:hint="eastAsia"/>
                <w:strike w:val="0"/>
                <w:dstrike w:val="0"/>
                <w:color w:val="auto"/>
                <w:sz w:val="24"/>
                <w:highlight w:val="none"/>
              </w:rPr>
              <w:t>增压器</w:t>
            </w:r>
            <w:r>
              <w:rPr>
                <w:strike w:val="0"/>
                <w:dstrike w:val="0"/>
                <w:color w:val="auto"/>
                <w:sz w:val="24"/>
                <w:highlight w:val="none"/>
              </w:rPr>
              <w:t>降压调节阀经EAG气体加热器回收，只有当储罐压力突然增大超过降压调节阀的调节能力时，LNG储罐及LNG储罐</w:t>
            </w:r>
            <w:r>
              <w:rPr>
                <w:rFonts w:hint="eastAsia"/>
                <w:strike w:val="0"/>
                <w:dstrike w:val="0"/>
                <w:color w:val="auto"/>
                <w:sz w:val="24"/>
                <w:highlight w:val="none"/>
              </w:rPr>
              <w:t>增压器</w:t>
            </w:r>
            <w:r>
              <w:rPr>
                <w:strike w:val="0"/>
                <w:dstrike w:val="0"/>
                <w:color w:val="auto"/>
                <w:sz w:val="24"/>
                <w:highlight w:val="none"/>
              </w:rPr>
              <w:t>低温安全阀才会启动排出低温气体，但上述情况发生的频率较低，根据建设单位其它项目运行经验，以及同类项目的运行情况，LNG气化站系统超压排放一般为每年3次，本次环评按LNG储罐及LNG储罐</w:t>
            </w:r>
            <w:r>
              <w:rPr>
                <w:rFonts w:hint="eastAsia"/>
                <w:strike w:val="0"/>
                <w:dstrike w:val="0"/>
                <w:color w:val="auto"/>
                <w:sz w:val="24"/>
                <w:highlight w:val="none"/>
              </w:rPr>
              <w:t>增压器</w:t>
            </w:r>
            <w:r>
              <w:rPr>
                <w:strike w:val="0"/>
                <w:dstrike w:val="0"/>
                <w:color w:val="auto"/>
                <w:sz w:val="24"/>
                <w:highlight w:val="none"/>
              </w:rPr>
              <w:t>各3次/年考虑，每次排放5min，按EAG最大流量200Nm</w:t>
            </w:r>
            <w:r>
              <w:rPr>
                <w:strike w:val="0"/>
                <w:dstrike w:val="0"/>
                <w:color w:val="auto"/>
                <w:sz w:val="24"/>
                <w:highlight w:val="none"/>
                <w:vertAlign w:val="superscript"/>
              </w:rPr>
              <w:t>3</w:t>
            </w:r>
            <w:r>
              <w:rPr>
                <w:strike w:val="0"/>
                <w:dstrike w:val="0"/>
                <w:color w:val="auto"/>
                <w:sz w:val="24"/>
                <w:highlight w:val="none"/>
              </w:rPr>
              <w:t>/h考虑，则项目LNG储罐及LNG储罐</w:t>
            </w:r>
            <w:r>
              <w:rPr>
                <w:rFonts w:hint="eastAsia"/>
                <w:strike w:val="0"/>
                <w:dstrike w:val="0"/>
                <w:color w:val="auto"/>
                <w:sz w:val="24"/>
                <w:highlight w:val="none"/>
              </w:rPr>
              <w:t>增压器</w:t>
            </w:r>
            <w:r>
              <w:rPr>
                <w:strike w:val="0"/>
                <w:dstrike w:val="0"/>
                <w:color w:val="auto"/>
                <w:sz w:val="24"/>
                <w:highlight w:val="none"/>
              </w:rPr>
              <w:t>气体排放量为100Nm</w:t>
            </w:r>
            <w:r>
              <w:rPr>
                <w:strike w:val="0"/>
                <w:dstrike w:val="0"/>
                <w:color w:val="auto"/>
                <w:sz w:val="24"/>
                <w:highlight w:val="none"/>
                <w:vertAlign w:val="superscript"/>
              </w:rPr>
              <w:t>3</w:t>
            </w:r>
            <w:r>
              <w:rPr>
                <w:strike w:val="0"/>
                <w:dstrike w:val="0"/>
                <w:color w:val="auto"/>
                <w:sz w:val="24"/>
                <w:highlight w:val="none"/>
              </w:rPr>
              <w:t>（1个LNG储罐</w:t>
            </w:r>
            <w:r>
              <w:rPr>
                <w:rFonts w:hint="eastAsia"/>
                <w:strike w:val="0"/>
                <w:dstrike w:val="0"/>
                <w:color w:val="auto"/>
                <w:sz w:val="24"/>
                <w:highlight w:val="none"/>
                <w:lang w:eastAsia="zh-CN"/>
              </w:rPr>
              <w:t>、</w:t>
            </w:r>
            <w:r>
              <w:rPr>
                <w:rFonts w:hint="eastAsia"/>
                <w:strike w:val="0"/>
                <w:dstrike w:val="0"/>
                <w:color w:val="auto"/>
                <w:sz w:val="24"/>
                <w:highlight w:val="none"/>
                <w:lang w:val="en-US" w:eastAsia="zh-CN"/>
              </w:rPr>
              <w:t>1</w:t>
            </w:r>
            <w:r>
              <w:rPr>
                <w:strike w:val="0"/>
                <w:dstrike w:val="0"/>
                <w:color w:val="auto"/>
                <w:sz w:val="24"/>
                <w:highlight w:val="none"/>
              </w:rPr>
              <w:t>个LNG储罐</w:t>
            </w:r>
            <w:r>
              <w:rPr>
                <w:rFonts w:hint="eastAsia"/>
                <w:strike w:val="0"/>
                <w:dstrike w:val="0"/>
                <w:color w:val="auto"/>
                <w:sz w:val="24"/>
                <w:highlight w:val="none"/>
              </w:rPr>
              <w:t>增压器</w:t>
            </w:r>
            <w:r>
              <w:rPr>
                <w:strike w:val="0"/>
                <w:dstrike w:val="0"/>
                <w:color w:val="auto"/>
                <w:sz w:val="24"/>
                <w:highlight w:val="none"/>
              </w:rPr>
              <w:t>每年共放散6次，共30分钟），天然气密度为0.7212kg/m</w:t>
            </w:r>
            <w:r>
              <w:rPr>
                <w:strike w:val="0"/>
                <w:dstrike w:val="0"/>
                <w:color w:val="auto"/>
                <w:sz w:val="24"/>
                <w:highlight w:val="none"/>
                <w:vertAlign w:val="superscript"/>
              </w:rPr>
              <w:t>3</w:t>
            </w:r>
            <w:r>
              <w:rPr>
                <w:strike w:val="0"/>
                <w:dstrike w:val="0"/>
                <w:color w:val="auto"/>
                <w:sz w:val="24"/>
                <w:highlight w:val="none"/>
              </w:rPr>
              <w:t>，天然气产生量为72.12kg/a，根据组分表中各物质占天然气的成分(甲烷占95.97%，NMHC占3.065%)，甲烷产生量为69.21kg/a</w:t>
            </w:r>
            <w:bookmarkStart w:id="95" w:name="OfficeAI_Add_0_538"/>
            <w:r>
              <w:rPr>
                <w:rFonts w:hint="eastAsia"/>
                <w:strike w:val="0"/>
                <w:dstrike w:val="0"/>
                <w:color w:val="auto"/>
                <w:sz w:val="24"/>
                <w:highlight w:val="none"/>
                <w:lang w:eastAsia="zh-CN"/>
              </w:rPr>
              <w:t>，</w:t>
            </w:r>
            <w:bookmarkEnd w:id="95"/>
            <w:r>
              <w:rPr>
                <w:strike w:val="0"/>
                <w:dstrike w:val="0"/>
                <w:color w:val="auto"/>
                <w:sz w:val="24"/>
                <w:highlight w:val="none"/>
              </w:rPr>
              <w:t>非甲烷总烃的排放量为2.21kg/a。该非正常情况下产生的超压排放废气经</w:t>
            </w:r>
            <w:r>
              <w:rPr>
                <w:rFonts w:hint="eastAsia"/>
                <w:strike w:val="0"/>
                <w:dstrike w:val="0"/>
                <w:color w:val="auto"/>
                <w:sz w:val="24"/>
                <w:highlight w:val="none"/>
                <w:lang w:val="en-US" w:eastAsia="zh-CN"/>
              </w:rPr>
              <w:t>放散管</w:t>
            </w:r>
            <w:r>
              <w:rPr>
                <w:strike w:val="0"/>
                <w:dstrike w:val="0"/>
                <w:color w:val="auto"/>
                <w:sz w:val="24"/>
                <w:highlight w:val="none"/>
              </w:rPr>
              <w:t>排放。</w:t>
            </w:r>
          </w:p>
          <w:p w14:paraId="2D0E22A8">
            <w:pPr>
              <w:spacing w:line="360" w:lineRule="auto"/>
              <w:ind w:left="420" w:left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7 \* GB2 \* MERGEFORMAT </w:instrText>
            </w:r>
            <w:r>
              <w:rPr>
                <w:b/>
                <w:bCs/>
                <w:strike w:val="0"/>
                <w:dstrike w:val="0"/>
                <w:color w:val="auto"/>
                <w:sz w:val="24"/>
                <w:highlight w:val="none"/>
              </w:rPr>
              <w:fldChar w:fldCharType="separate"/>
            </w:r>
            <w:r>
              <w:rPr>
                <w:b/>
                <w:bCs/>
                <w:strike w:val="0"/>
                <w:dstrike w:val="0"/>
                <w:color w:val="auto"/>
                <w:sz w:val="24"/>
                <w:highlight w:val="none"/>
              </w:rPr>
              <w:t>⑺</w:t>
            </w:r>
            <w:r>
              <w:rPr>
                <w:b/>
                <w:bCs/>
                <w:strike w:val="0"/>
                <w:dstrike w:val="0"/>
                <w:color w:val="auto"/>
                <w:sz w:val="24"/>
                <w:highlight w:val="none"/>
              </w:rPr>
              <w:fldChar w:fldCharType="end"/>
            </w:r>
            <w:r>
              <w:rPr>
                <w:b/>
                <w:bCs/>
                <w:strike w:val="0"/>
                <w:dstrike w:val="0"/>
                <w:color w:val="auto"/>
                <w:sz w:val="24"/>
                <w:highlight w:val="none"/>
              </w:rPr>
              <w:t>设备检修废气</w:t>
            </w:r>
            <w:r>
              <w:rPr>
                <w:rFonts w:hint="eastAsia"/>
                <w:b/>
                <w:bCs/>
                <w:strike w:val="0"/>
                <w:dstrike w:val="0"/>
                <w:color w:val="auto"/>
                <w:sz w:val="24"/>
                <w:highlight w:val="none"/>
              </w:rPr>
              <w:t>G7</w:t>
            </w:r>
          </w:p>
          <w:p w14:paraId="4014874D">
            <w:pPr>
              <w:spacing w:line="360" w:lineRule="auto"/>
              <w:ind w:firstLine="480" w:firstLineChars="200"/>
              <w:jc w:val="left"/>
              <w:rPr>
                <w:b/>
                <w:bCs/>
                <w:strike w:val="0"/>
                <w:dstrike w:val="0"/>
                <w:color w:val="auto"/>
                <w:sz w:val="24"/>
                <w:highlight w:val="none"/>
              </w:rPr>
            </w:pPr>
            <w:r>
              <w:rPr>
                <w:strike w:val="0"/>
                <w:dstrike w:val="0"/>
                <w:color w:val="auto"/>
                <w:sz w:val="24"/>
                <w:highlight w:val="none"/>
              </w:rPr>
              <w:t>站内设备每1个月检修一次，每次约60分钟，天然气排放量约1m</w:t>
            </w:r>
            <w:bookmarkStart w:id="96" w:name="OfficeAI_Del_0_30"/>
            <w:r>
              <w:rPr>
                <w:strike w:val="0"/>
                <w:dstrike w:val="0"/>
                <w:color w:val="auto"/>
                <w:sz w:val="24"/>
                <w:highlight w:val="none"/>
                <w:vertAlign w:val="superscript"/>
              </w:rPr>
              <w:t>3</w:t>
            </w:r>
            <w:bookmarkEnd w:id="96"/>
            <w:bookmarkStart w:id="97" w:name="OfficeAI_Add_0_31"/>
            <w:r>
              <w:rPr>
                <w:rFonts w:hint="eastAsia"/>
                <w:strike w:val="0"/>
                <w:dstrike w:val="0"/>
                <w:color w:val="auto"/>
                <w:sz w:val="24"/>
                <w:highlight w:val="none"/>
                <w:vertAlign w:val="superscript"/>
                <w:lang w:eastAsia="zh-CN"/>
              </w:rPr>
              <w:t>³</w:t>
            </w:r>
            <w:bookmarkEnd w:id="97"/>
            <w:r>
              <w:rPr>
                <w:strike w:val="0"/>
                <w:dstrike w:val="0"/>
                <w:color w:val="auto"/>
                <w:sz w:val="24"/>
                <w:highlight w:val="none"/>
              </w:rPr>
              <w:t>，天然气密度以0.7212kg/m</w:t>
            </w:r>
            <w:bookmarkStart w:id="98" w:name="OfficeAI_Del_0_49"/>
            <w:r>
              <w:rPr>
                <w:strike w:val="0"/>
                <w:dstrike w:val="0"/>
                <w:color w:val="auto"/>
                <w:sz w:val="24"/>
                <w:highlight w:val="none"/>
                <w:vertAlign w:val="superscript"/>
              </w:rPr>
              <w:t>3</w:t>
            </w:r>
            <w:bookmarkEnd w:id="98"/>
            <w:bookmarkStart w:id="99" w:name="OfficeAI_Add_0_50"/>
            <w:r>
              <w:rPr>
                <w:rFonts w:hint="eastAsia"/>
                <w:strike w:val="0"/>
                <w:dstrike w:val="0"/>
                <w:color w:val="auto"/>
                <w:sz w:val="24"/>
                <w:highlight w:val="none"/>
                <w:vertAlign w:val="superscript"/>
                <w:lang w:eastAsia="zh-CN"/>
              </w:rPr>
              <w:t>³</w:t>
            </w:r>
            <w:bookmarkEnd w:id="99"/>
            <w:r>
              <w:rPr>
                <w:strike w:val="0"/>
                <w:dstrike w:val="0"/>
                <w:color w:val="auto"/>
                <w:sz w:val="24"/>
                <w:highlight w:val="none"/>
              </w:rPr>
              <w:t>计，单次天然气排放量为0.7212kg/次，根据组分表中各物质占天然气的成分(甲烷占95.97%，NMHC占3.065%)，甲烷年排放量为8.31kg/a，非甲烷总烃年排放总量为0.27kg/a，检修LNG气化站的废气由</w:t>
            </w:r>
            <w:r>
              <w:rPr>
                <w:rFonts w:hint="eastAsia"/>
                <w:strike w:val="0"/>
                <w:dstrike w:val="0"/>
                <w:color w:val="auto"/>
                <w:sz w:val="24"/>
                <w:highlight w:val="none"/>
              </w:rPr>
              <w:t>5m高的</w:t>
            </w:r>
            <w:r>
              <w:rPr>
                <w:rFonts w:hint="eastAsia"/>
                <w:strike w:val="0"/>
                <w:dstrike w:val="0"/>
                <w:color w:val="auto"/>
                <w:sz w:val="24"/>
                <w:highlight w:val="none"/>
                <w:lang w:val="en-US" w:eastAsia="zh-CN"/>
              </w:rPr>
              <w:t>放散管</w:t>
            </w:r>
            <w:r>
              <w:rPr>
                <w:strike w:val="0"/>
                <w:dstrike w:val="0"/>
                <w:color w:val="auto"/>
                <w:sz w:val="24"/>
                <w:highlight w:val="none"/>
              </w:rPr>
              <w:t>排放。</w:t>
            </w:r>
          </w:p>
          <w:p w14:paraId="7B2E7168">
            <w:pPr>
              <w:spacing w:line="360" w:lineRule="auto"/>
              <w:ind w:left="420" w:leftChars="200"/>
              <w:jc w:val="left"/>
              <w:rPr>
                <w:b/>
                <w:bCs/>
                <w:strike w:val="0"/>
                <w:dstrike w:val="0"/>
                <w:color w:val="auto"/>
                <w:sz w:val="24"/>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8 \* GB2 \* MERGEFORMAT </w:instrText>
            </w:r>
            <w:r>
              <w:rPr>
                <w:b/>
                <w:bCs/>
                <w:strike w:val="0"/>
                <w:dstrike w:val="0"/>
                <w:color w:val="auto"/>
                <w:sz w:val="24"/>
                <w:highlight w:val="none"/>
              </w:rPr>
              <w:fldChar w:fldCharType="separate"/>
            </w:r>
            <w:r>
              <w:rPr>
                <w:b/>
                <w:bCs/>
                <w:strike w:val="0"/>
                <w:dstrike w:val="0"/>
                <w:color w:val="auto"/>
                <w:sz w:val="24"/>
                <w:highlight w:val="none"/>
              </w:rPr>
              <w:t>⑻</w:t>
            </w:r>
            <w:r>
              <w:rPr>
                <w:b/>
                <w:bCs/>
                <w:strike w:val="0"/>
                <w:dstrike w:val="0"/>
                <w:color w:val="auto"/>
                <w:sz w:val="24"/>
                <w:highlight w:val="none"/>
              </w:rPr>
              <w:fldChar w:fldCharType="end"/>
            </w:r>
            <w:r>
              <w:rPr>
                <w:rStyle w:val="29"/>
                <w:b/>
                <w:bCs/>
                <w:strike w:val="0"/>
                <w:dstrike w:val="0"/>
                <w:color w:val="auto"/>
                <w:kern w:val="0"/>
                <w:sz w:val="24"/>
                <w:highlight w:val="none"/>
              </w:rPr>
              <w:t>生化池臭气</w:t>
            </w:r>
            <w:r>
              <w:rPr>
                <w:rFonts w:hint="eastAsia"/>
                <w:b/>
                <w:bCs/>
                <w:strike w:val="0"/>
                <w:dstrike w:val="0"/>
                <w:color w:val="auto"/>
                <w:sz w:val="24"/>
                <w:highlight w:val="none"/>
              </w:rPr>
              <w:t>G8</w:t>
            </w:r>
          </w:p>
          <w:p w14:paraId="0A7EDE8B">
            <w:pPr>
              <w:spacing w:line="360" w:lineRule="auto"/>
              <w:ind w:firstLine="480" w:firstLineChars="200"/>
              <w:jc w:val="left"/>
              <w:rPr>
                <w:b/>
                <w:bCs/>
                <w:strike w:val="0"/>
                <w:dstrike w:val="0"/>
                <w:color w:val="auto"/>
                <w:sz w:val="24"/>
                <w:highlight w:val="none"/>
              </w:rPr>
            </w:pPr>
            <w:r>
              <w:rPr>
                <w:strike w:val="0"/>
                <w:dstrike w:val="0"/>
                <w:color w:val="auto"/>
                <w:sz w:val="24"/>
                <w:highlight w:val="none"/>
              </w:rPr>
              <w:t>项目生化池将产生一定量臭气，其主要成分为H</w:t>
            </w:r>
            <w:r>
              <w:rPr>
                <w:strike w:val="0"/>
                <w:dstrike w:val="0"/>
                <w:color w:val="auto"/>
                <w:sz w:val="24"/>
                <w:highlight w:val="none"/>
                <w:vertAlign w:val="subscript"/>
              </w:rPr>
              <w:t>2</w:t>
            </w:r>
            <w:r>
              <w:rPr>
                <w:strike w:val="0"/>
                <w:dstrike w:val="0"/>
                <w:color w:val="auto"/>
                <w:sz w:val="24"/>
                <w:highlight w:val="none"/>
              </w:rPr>
              <w:t>S、NH</w:t>
            </w:r>
            <w:r>
              <w:rPr>
                <w:strike w:val="0"/>
                <w:dstrike w:val="0"/>
                <w:color w:val="auto"/>
                <w:sz w:val="24"/>
                <w:highlight w:val="none"/>
                <w:vertAlign w:val="subscript"/>
              </w:rPr>
              <w:t>3</w:t>
            </w:r>
            <w:r>
              <w:rPr>
                <w:strike w:val="0"/>
                <w:dstrike w:val="0"/>
                <w:color w:val="auto"/>
                <w:sz w:val="24"/>
                <w:highlight w:val="none"/>
              </w:rPr>
              <w:t>等，若处理不当会对周边环境造成一定的负面影响。项目的生化池为地埋式，平时封闭管理，可通过加强周边绿化</w:t>
            </w:r>
            <w:bookmarkStart w:id="100" w:name="OfficeAI_Add_0_78"/>
            <w:r>
              <w:rPr>
                <w:rFonts w:hint="eastAsia"/>
                <w:strike w:val="0"/>
                <w:dstrike w:val="0"/>
                <w:color w:val="auto"/>
                <w:sz w:val="24"/>
                <w:highlight w:val="none"/>
                <w:lang w:eastAsia="zh-CN"/>
              </w:rPr>
              <w:t>、</w:t>
            </w:r>
            <w:bookmarkEnd w:id="100"/>
            <w:r>
              <w:rPr>
                <w:strike w:val="0"/>
                <w:dstrike w:val="0"/>
                <w:color w:val="auto"/>
                <w:sz w:val="24"/>
                <w:highlight w:val="none"/>
              </w:rPr>
              <w:t>臭气经专用管道收集后排放来降低臭气影响。</w:t>
            </w:r>
          </w:p>
          <w:p w14:paraId="7B4B1434">
            <w:pPr>
              <w:spacing w:line="360" w:lineRule="auto"/>
              <w:ind w:left="420" w:leftChars="200"/>
              <w:jc w:val="left"/>
              <w:rPr>
                <w:b/>
                <w:bCs/>
                <w:strike w:val="0"/>
                <w:dstrike w:val="0"/>
                <w:color w:val="auto"/>
                <w:sz w:val="24"/>
                <w:highlight w:val="none"/>
              </w:rPr>
            </w:pPr>
            <w:r>
              <w:rPr>
                <w:rStyle w:val="29"/>
                <w:b/>
                <w:bCs/>
                <w:strike w:val="0"/>
                <w:dstrike w:val="0"/>
                <w:color w:val="auto"/>
                <w:kern w:val="0"/>
                <w:sz w:val="24"/>
                <w:highlight w:val="none"/>
              </w:rPr>
              <w:fldChar w:fldCharType="begin"/>
            </w:r>
            <w:r>
              <w:rPr>
                <w:rStyle w:val="29"/>
                <w:b/>
                <w:bCs/>
                <w:strike w:val="0"/>
                <w:dstrike w:val="0"/>
                <w:color w:val="auto"/>
                <w:kern w:val="0"/>
                <w:sz w:val="24"/>
                <w:highlight w:val="none"/>
              </w:rPr>
              <w:instrText xml:space="preserve"> = 9 \* GB2 \* MERGEFORMAT </w:instrText>
            </w:r>
            <w:r>
              <w:rPr>
                <w:rStyle w:val="29"/>
                <w:b/>
                <w:bCs/>
                <w:strike w:val="0"/>
                <w:dstrike w:val="0"/>
                <w:color w:val="auto"/>
                <w:kern w:val="0"/>
                <w:sz w:val="24"/>
                <w:highlight w:val="none"/>
              </w:rPr>
              <w:fldChar w:fldCharType="separate"/>
            </w:r>
            <w:r>
              <w:rPr>
                <w:b/>
                <w:bCs/>
                <w:strike w:val="0"/>
                <w:dstrike w:val="0"/>
                <w:color w:val="auto"/>
                <w:sz w:val="24"/>
                <w:highlight w:val="none"/>
              </w:rPr>
              <w:t>⑼</w:t>
            </w:r>
            <w:r>
              <w:rPr>
                <w:rStyle w:val="29"/>
                <w:b/>
                <w:bCs/>
                <w:strike w:val="0"/>
                <w:dstrike w:val="0"/>
                <w:color w:val="auto"/>
                <w:kern w:val="0"/>
                <w:sz w:val="24"/>
                <w:highlight w:val="none"/>
              </w:rPr>
              <w:fldChar w:fldCharType="end"/>
            </w:r>
            <w:r>
              <w:rPr>
                <w:b/>
                <w:bCs/>
                <w:strike w:val="0"/>
                <w:dstrike w:val="0"/>
                <w:color w:val="auto"/>
                <w:sz w:val="24"/>
                <w:highlight w:val="none"/>
              </w:rPr>
              <w:t>汽车尾气</w:t>
            </w:r>
            <w:r>
              <w:rPr>
                <w:rFonts w:hint="eastAsia"/>
                <w:b/>
                <w:bCs/>
                <w:strike w:val="0"/>
                <w:dstrike w:val="0"/>
                <w:color w:val="auto"/>
                <w:sz w:val="24"/>
                <w:highlight w:val="none"/>
              </w:rPr>
              <w:t>G9</w:t>
            </w:r>
          </w:p>
          <w:p w14:paraId="22E286DF">
            <w:pPr>
              <w:widowControl/>
              <w:spacing w:line="360" w:lineRule="auto"/>
              <w:ind w:firstLine="480" w:firstLineChars="200"/>
              <w:jc w:val="left"/>
              <w:rPr>
                <w:b/>
                <w:bCs/>
                <w:strike w:val="0"/>
                <w:dstrike w:val="0"/>
                <w:color w:val="auto"/>
                <w:sz w:val="24"/>
                <w:highlight w:val="none"/>
              </w:rPr>
            </w:pPr>
            <w:r>
              <w:rPr>
                <w:strike w:val="0"/>
                <w:dstrike w:val="0"/>
                <w:color w:val="auto"/>
                <w:kern w:val="0"/>
                <w:sz w:val="24"/>
                <w:highlight w:val="none"/>
                <w:lang w:bidi="ar"/>
              </w:rPr>
              <w:t>本项目营运期进出车辆排放的尾气，其污染物主要为</w:t>
            </w:r>
            <w:r>
              <w:rPr>
                <w:rFonts w:eastAsia="TimesNewRomanPSMT"/>
                <w:strike w:val="0"/>
                <w:dstrike w:val="0"/>
                <w:color w:val="auto"/>
                <w:sz w:val="24"/>
                <w:highlight w:val="none"/>
              </w:rPr>
              <w:t>CO</w:t>
            </w:r>
            <w:r>
              <w:rPr>
                <w:strike w:val="0"/>
                <w:dstrike w:val="0"/>
                <w:color w:val="auto"/>
                <w:sz w:val="24"/>
                <w:highlight w:val="none"/>
              </w:rPr>
              <w:t>、</w:t>
            </w:r>
            <w:r>
              <w:rPr>
                <w:rFonts w:eastAsia="TimesNewRomanPSMT"/>
                <w:strike w:val="0"/>
                <w:dstrike w:val="0"/>
                <w:color w:val="auto"/>
                <w:sz w:val="24"/>
                <w:highlight w:val="none"/>
              </w:rPr>
              <w:t>THC</w:t>
            </w:r>
            <w:r>
              <w:rPr>
                <w:strike w:val="0"/>
                <w:dstrike w:val="0"/>
                <w:color w:val="auto"/>
                <w:sz w:val="24"/>
                <w:highlight w:val="none"/>
              </w:rPr>
              <w:t>、</w:t>
            </w:r>
            <w:r>
              <w:rPr>
                <w:rFonts w:eastAsia="TimesNewRomanPSMT"/>
                <w:strike w:val="0"/>
                <w:dstrike w:val="0"/>
                <w:color w:val="auto"/>
                <w:sz w:val="24"/>
                <w:highlight w:val="none"/>
              </w:rPr>
              <w:t>NO</w:t>
            </w:r>
            <w:r>
              <w:rPr>
                <w:rFonts w:eastAsia="TimesNewRomanPSMT"/>
                <w:strike w:val="0"/>
                <w:dstrike w:val="0"/>
                <w:color w:val="auto"/>
                <w:sz w:val="24"/>
                <w:highlight w:val="none"/>
                <w:vertAlign w:val="subscript"/>
              </w:rPr>
              <w:t>X</w:t>
            </w:r>
            <w:r>
              <w:rPr>
                <w:strike w:val="0"/>
                <w:dstrike w:val="0"/>
                <w:color w:val="auto"/>
                <w:kern w:val="0"/>
                <w:sz w:val="24"/>
                <w:highlight w:val="none"/>
                <w:lang w:bidi="ar"/>
              </w:rPr>
              <w:t>，汽车尾气排放量较少，无组织排放。</w:t>
            </w:r>
          </w:p>
          <w:p w14:paraId="28B93F2F">
            <w:pPr>
              <w:pStyle w:val="66"/>
              <w:spacing w:line="360" w:lineRule="auto"/>
              <w:ind w:firstLine="482" w:firstLineChars="200"/>
              <w:rPr>
                <w:rFonts w:ascii="Times New Roman" w:cs="Times New Roman"/>
                <w:b/>
                <w:strike w:val="0"/>
                <w:dstrike w:val="0"/>
                <w:color w:val="auto"/>
                <w:highlight w:val="none"/>
              </w:rPr>
            </w:pPr>
            <w:r>
              <w:rPr>
                <w:b/>
                <w:bCs/>
                <w:strike w:val="0"/>
                <w:dstrike w:val="0"/>
                <w:color w:val="auto"/>
                <w:sz w:val="24"/>
                <w:highlight w:val="none"/>
              </w:rPr>
              <w:fldChar w:fldCharType="begin"/>
            </w:r>
            <w:r>
              <w:rPr>
                <w:b/>
                <w:bCs/>
                <w:strike w:val="0"/>
                <w:dstrike w:val="0"/>
                <w:color w:val="auto"/>
                <w:sz w:val="24"/>
                <w:highlight w:val="none"/>
              </w:rPr>
              <w:instrText xml:space="preserve"> = 10 \* GB2 \* MERGEFORMAT </w:instrText>
            </w:r>
            <w:r>
              <w:rPr>
                <w:b/>
                <w:bCs/>
                <w:strike w:val="0"/>
                <w:dstrike w:val="0"/>
                <w:color w:val="auto"/>
                <w:sz w:val="24"/>
                <w:highlight w:val="none"/>
              </w:rPr>
              <w:fldChar w:fldCharType="separate"/>
            </w:r>
            <w:r>
              <w:rPr>
                <w:b/>
                <w:bCs/>
                <w:strike w:val="0"/>
                <w:dstrike w:val="0"/>
                <w:color w:val="auto"/>
                <w:sz w:val="24"/>
                <w:highlight w:val="none"/>
              </w:rPr>
              <w:t>⑽</w:t>
            </w:r>
            <w:r>
              <w:rPr>
                <w:b/>
                <w:bCs/>
                <w:strike w:val="0"/>
                <w:dstrike w:val="0"/>
                <w:color w:val="auto"/>
                <w:sz w:val="24"/>
                <w:highlight w:val="none"/>
              </w:rPr>
              <w:fldChar w:fldCharType="end"/>
            </w:r>
            <w:r>
              <w:rPr>
                <w:rFonts w:ascii="Times New Roman" w:cs="Times New Roman"/>
                <w:b/>
                <w:bCs/>
                <w:strike w:val="0"/>
                <w:dstrike w:val="0"/>
                <w:color w:val="auto"/>
                <w:highlight w:val="none"/>
              </w:rPr>
              <w:t>废气排放</w:t>
            </w:r>
            <w:r>
              <w:rPr>
                <w:rFonts w:ascii="Times New Roman" w:cs="Times New Roman"/>
                <w:b/>
                <w:strike w:val="0"/>
                <w:dstrike w:val="0"/>
                <w:color w:val="auto"/>
                <w:highlight w:val="none"/>
              </w:rPr>
              <w:t>情况小结</w:t>
            </w:r>
          </w:p>
          <w:p w14:paraId="2FB8A279">
            <w:pPr>
              <w:pStyle w:val="66"/>
              <w:spacing w:line="360" w:lineRule="auto"/>
              <w:ind w:firstLine="480" w:firstLineChars="200"/>
              <w:rPr>
                <w:rFonts w:ascii="Times New Roman" w:cs="Times New Roman"/>
                <w:strike w:val="0"/>
                <w:dstrike w:val="0"/>
                <w:color w:val="auto"/>
                <w:highlight w:val="none"/>
              </w:rPr>
            </w:pPr>
            <w:r>
              <w:rPr>
                <w:rFonts w:ascii="Times New Roman" w:cs="Times New Roman"/>
                <w:strike w:val="0"/>
                <w:dstrike w:val="0"/>
                <w:color w:val="auto"/>
                <w:highlight w:val="none"/>
              </w:rPr>
              <w:t>本项目正常工况废气情况详见表4.2-</w:t>
            </w:r>
            <w:r>
              <w:rPr>
                <w:rFonts w:hint="eastAsia" w:ascii="Times New Roman" w:cs="Times New Roman"/>
                <w:strike w:val="0"/>
                <w:dstrike w:val="0"/>
                <w:color w:val="auto"/>
                <w:highlight w:val="none"/>
                <w:lang w:val="en-US" w:eastAsia="zh-CN"/>
              </w:rPr>
              <w:t>5</w:t>
            </w:r>
            <w:r>
              <w:rPr>
                <w:rFonts w:ascii="Times New Roman" w:cs="Times New Roman"/>
                <w:strike w:val="0"/>
                <w:dstrike w:val="0"/>
                <w:color w:val="auto"/>
                <w:highlight w:val="none"/>
              </w:rPr>
              <w:t>。本项目非正常工况排放核算表详见表4.2-</w:t>
            </w:r>
            <w:r>
              <w:rPr>
                <w:rFonts w:hint="eastAsia" w:ascii="Times New Roman" w:cs="Times New Roman"/>
                <w:strike w:val="0"/>
                <w:dstrike w:val="0"/>
                <w:color w:val="auto"/>
                <w:highlight w:val="none"/>
                <w:lang w:val="en-US" w:eastAsia="zh-CN"/>
              </w:rPr>
              <w:t>6</w:t>
            </w:r>
            <w:r>
              <w:rPr>
                <w:rFonts w:ascii="Times New Roman" w:cs="Times New Roman"/>
                <w:strike w:val="0"/>
                <w:dstrike w:val="0"/>
                <w:color w:val="auto"/>
                <w:highlight w:val="none"/>
              </w:rPr>
              <w:t>。</w:t>
            </w:r>
          </w:p>
          <w:p w14:paraId="2957CE6E">
            <w:pPr>
              <w:pStyle w:val="66"/>
              <w:spacing w:line="360" w:lineRule="auto"/>
              <w:ind w:firstLine="480" w:firstLineChars="200"/>
              <w:rPr>
                <w:rFonts w:ascii="Times New Roman" w:cs="Times New Roman"/>
                <w:strike w:val="0"/>
                <w:dstrike w:val="0"/>
                <w:color w:val="auto"/>
                <w:highlight w:val="none"/>
              </w:rPr>
            </w:pPr>
          </w:p>
          <w:p w14:paraId="0381914D">
            <w:pPr>
              <w:pStyle w:val="66"/>
              <w:spacing w:line="360" w:lineRule="auto"/>
              <w:ind w:firstLine="480" w:firstLineChars="200"/>
              <w:rPr>
                <w:rFonts w:ascii="Times New Roman" w:cs="Times New Roman"/>
                <w:strike w:val="0"/>
                <w:dstrike w:val="0"/>
                <w:color w:val="auto"/>
                <w:highlight w:val="none"/>
              </w:rPr>
            </w:pPr>
          </w:p>
          <w:p w14:paraId="5EC1251E">
            <w:pPr>
              <w:pStyle w:val="66"/>
              <w:spacing w:line="360" w:lineRule="auto"/>
              <w:ind w:firstLine="480" w:firstLineChars="200"/>
              <w:rPr>
                <w:rFonts w:ascii="Times New Roman" w:cs="Times New Roman"/>
                <w:strike w:val="0"/>
                <w:dstrike w:val="0"/>
                <w:color w:val="auto"/>
                <w:highlight w:val="none"/>
              </w:rPr>
            </w:pPr>
          </w:p>
          <w:p w14:paraId="6B570533">
            <w:pPr>
              <w:pStyle w:val="66"/>
              <w:spacing w:line="360" w:lineRule="auto"/>
              <w:ind w:firstLine="480" w:firstLineChars="200"/>
              <w:rPr>
                <w:rFonts w:ascii="Times New Roman" w:cs="Times New Roman"/>
                <w:strike w:val="0"/>
                <w:dstrike w:val="0"/>
                <w:color w:val="auto"/>
                <w:highlight w:val="none"/>
              </w:rPr>
            </w:pPr>
          </w:p>
          <w:p w14:paraId="3A3F5DF2">
            <w:pPr>
              <w:pStyle w:val="66"/>
              <w:spacing w:line="360" w:lineRule="auto"/>
              <w:ind w:firstLine="480" w:firstLineChars="200"/>
              <w:rPr>
                <w:rFonts w:ascii="Times New Roman" w:cs="Times New Roman"/>
                <w:strike w:val="0"/>
                <w:dstrike w:val="0"/>
                <w:color w:val="auto"/>
                <w:highlight w:val="none"/>
              </w:rPr>
            </w:pPr>
          </w:p>
          <w:p w14:paraId="3EAEE9AD">
            <w:pPr>
              <w:pStyle w:val="66"/>
              <w:spacing w:line="360" w:lineRule="auto"/>
              <w:ind w:firstLine="480" w:firstLineChars="200"/>
              <w:rPr>
                <w:rFonts w:ascii="Times New Roman" w:cs="Times New Roman"/>
                <w:strike w:val="0"/>
                <w:dstrike w:val="0"/>
                <w:color w:val="auto"/>
                <w:highlight w:val="none"/>
              </w:rPr>
            </w:pPr>
          </w:p>
          <w:p w14:paraId="64B13B75">
            <w:pPr>
              <w:pStyle w:val="66"/>
              <w:spacing w:line="360" w:lineRule="auto"/>
              <w:ind w:firstLine="480" w:firstLineChars="200"/>
              <w:rPr>
                <w:rFonts w:ascii="Times New Roman" w:cs="Times New Roman"/>
                <w:strike w:val="0"/>
                <w:dstrike w:val="0"/>
                <w:color w:val="auto"/>
                <w:highlight w:val="none"/>
              </w:rPr>
            </w:pPr>
          </w:p>
          <w:p w14:paraId="1070BCC2">
            <w:pPr>
              <w:pStyle w:val="66"/>
              <w:spacing w:line="360" w:lineRule="auto"/>
              <w:ind w:firstLine="480" w:firstLineChars="200"/>
              <w:rPr>
                <w:rFonts w:ascii="Times New Roman" w:cs="Times New Roman"/>
                <w:strike w:val="0"/>
                <w:dstrike w:val="0"/>
                <w:color w:val="auto"/>
                <w:highlight w:val="none"/>
              </w:rPr>
            </w:pPr>
          </w:p>
          <w:p w14:paraId="7DAE1B7D">
            <w:pPr>
              <w:pStyle w:val="66"/>
              <w:spacing w:line="360" w:lineRule="auto"/>
              <w:ind w:firstLine="480" w:firstLineChars="200"/>
              <w:rPr>
                <w:rFonts w:ascii="Times New Roman" w:cs="Times New Roman"/>
                <w:strike w:val="0"/>
                <w:dstrike w:val="0"/>
                <w:color w:val="auto"/>
                <w:highlight w:val="none"/>
              </w:rPr>
            </w:pPr>
          </w:p>
          <w:p w14:paraId="5D0E188B">
            <w:pPr>
              <w:pStyle w:val="66"/>
              <w:spacing w:line="360" w:lineRule="auto"/>
              <w:ind w:firstLine="480" w:firstLineChars="200"/>
              <w:rPr>
                <w:rFonts w:ascii="Times New Roman" w:cs="Times New Roman"/>
                <w:strike w:val="0"/>
                <w:dstrike w:val="0"/>
                <w:color w:val="auto"/>
                <w:highlight w:val="none"/>
              </w:rPr>
            </w:pPr>
          </w:p>
          <w:p w14:paraId="01150A96">
            <w:pPr>
              <w:pStyle w:val="66"/>
              <w:spacing w:line="360" w:lineRule="auto"/>
              <w:ind w:firstLine="480" w:firstLineChars="200"/>
              <w:rPr>
                <w:rFonts w:ascii="Times New Roman" w:cs="Times New Roman"/>
                <w:strike w:val="0"/>
                <w:dstrike w:val="0"/>
                <w:color w:val="auto"/>
                <w:highlight w:val="none"/>
              </w:rPr>
            </w:pPr>
          </w:p>
          <w:p w14:paraId="23194690">
            <w:pPr>
              <w:pStyle w:val="66"/>
              <w:spacing w:line="360" w:lineRule="auto"/>
              <w:ind w:firstLine="480" w:firstLineChars="200"/>
              <w:rPr>
                <w:rFonts w:ascii="Times New Roman" w:cs="Times New Roman"/>
                <w:strike w:val="0"/>
                <w:dstrike w:val="0"/>
                <w:color w:val="auto"/>
                <w:highlight w:val="none"/>
              </w:rPr>
            </w:pPr>
          </w:p>
          <w:p w14:paraId="14BC4511">
            <w:pPr>
              <w:pStyle w:val="66"/>
              <w:spacing w:line="360" w:lineRule="auto"/>
              <w:ind w:firstLine="480" w:firstLineChars="200"/>
              <w:rPr>
                <w:rFonts w:ascii="Times New Roman" w:cs="Times New Roman"/>
                <w:strike w:val="0"/>
                <w:dstrike w:val="0"/>
                <w:color w:val="auto"/>
                <w:highlight w:val="none"/>
              </w:rPr>
            </w:pPr>
          </w:p>
          <w:p w14:paraId="09752EFF">
            <w:pPr>
              <w:pStyle w:val="66"/>
              <w:spacing w:line="360" w:lineRule="auto"/>
              <w:ind w:firstLine="480" w:firstLineChars="200"/>
              <w:rPr>
                <w:rFonts w:ascii="Times New Roman" w:cs="Times New Roman"/>
                <w:strike w:val="0"/>
                <w:dstrike w:val="0"/>
                <w:color w:val="auto"/>
                <w:highlight w:val="none"/>
              </w:rPr>
            </w:pPr>
          </w:p>
          <w:p w14:paraId="36451131">
            <w:pPr>
              <w:pStyle w:val="66"/>
              <w:spacing w:line="360" w:lineRule="auto"/>
              <w:ind w:firstLine="480" w:firstLineChars="200"/>
              <w:rPr>
                <w:rFonts w:ascii="Times New Roman" w:cs="Times New Roman"/>
                <w:strike w:val="0"/>
                <w:dstrike w:val="0"/>
                <w:color w:val="auto"/>
                <w:highlight w:val="none"/>
              </w:rPr>
            </w:pPr>
          </w:p>
          <w:p w14:paraId="19434439">
            <w:pPr>
              <w:pStyle w:val="66"/>
              <w:spacing w:line="360" w:lineRule="auto"/>
              <w:ind w:firstLine="480" w:firstLineChars="200"/>
              <w:rPr>
                <w:rFonts w:ascii="Times New Roman" w:cs="Times New Roman"/>
                <w:strike w:val="0"/>
                <w:dstrike w:val="0"/>
                <w:color w:val="auto"/>
                <w:highlight w:val="none"/>
              </w:rPr>
            </w:pPr>
          </w:p>
          <w:p w14:paraId="600986C3">
            <w:pPr>
              <w:pStyle w:val="66"/>
              <w:spacing w:line="360" w:lineRule="auto"/>
              <w:ind w:firstLine="480" w:firstLineChars="200"/>
              <w:rPr>
                <w:rFonts w:ascii="Times New Roman" w:cs="Times New Roman"/>
                <w:strike w:val="0"/>
                <w:dstrike w:val="0"/>
                <w:color w:val="auto"/>
                <w:highlight w:val="none"/>
              </w:rPr>
            </w:pPr>
          </w:p>
          <w:p w14:paraId="7FF67C6C">
            <w:pPr>
              <w:pStyle w:val="66"/>
              <w:spacing w:line="360" w:lineRule="auto"/>
              <w:ind w:firstLine="480" w:firstLineChars="200"/>
              <w:rPr>
                <w:rFonts w:ascii="Times New Roman" w:cs="Times New Roman"/>
                <w:strike w:val="0"/>
                <w:dstrike w:val="0"/>
                <w:color w:val="auto"/>
                <w:highlight w:val="none"/>
              </w:rPr>
            </w:pPr>
          </w:p>
          <w:p w14:paraId="65BE335E">
            <w:pPr>
              <w:pStyle w:val="66"/>
              <w:spacing w:line="360" w:lineRule="auto"/>
              <w:ind w:firstLine="480" w:firstLineChars="200"/>
              <w:rPr>
                <w:rFonts w:ascii="Times New Roman" w:cs="Times New Roman"/>
                <w:strike w:val="0"/>
                <w:dstrike w:val="0"/>
                <w:color w:val="auto"/>
                <w:highlight w:val="none"/>
              </w:rPr>
            </w:pPr>
          </w:p>
          <w:p w14:paraId="4B70008A">
            <w:pPr>
              <w:pStyle w:val="66"/>
              <w:spacing w:line="360" w:lineRule="auto"/>
              <w:ind w:firstLine="480" w:firstLineChars="200"/>
              <w:rPr>
                <w:rFonts w:ascii="Times New Roman" w:cs="Times New Roman"/>
                <w:strike w:val="0"/>
                <w:dstrike w:val="0"/>
                <w:color w:val="auto"/>
                <w:highlight w:val="none"/>
              </w:rPr>
            </w:pPr>
          </w:p>
          <w:p w14:paraId="07DC597B">
            <w:pPr>
              <w:pStyle w:val="66"/>
              <w:spacing w:line="360" w:lineRule="auto"/>
              <w:ind w:firstLine="480" w:firstLineChars="200"/>
              <w:rPr>
                <w:rFonts w:ascii="Times New Roman" w:cs="Times New Roman"/>
                <w:strike w:val="0"/>
                <w:dstrike w:val="0"/>
                <w:color w:val="auto"/>
                <w:highlight w:val="none"/>
              </w:rPr>
            </w:pPr>
          </w:p>
          <w:p w14:paraId="554E9125">
            <w:pPr>
              <w:pStyle w:val="66"/>
              <w:spacing w:line="360" w:lineRule="auto"/>
              <w:ind w:firstLine="480" w:firstLineChars="200"/>
              <w:rPr>
                <w:rFonts w:ascii="Times New Roman" w:cs="Times New Roman"/>
                <w:strike w:val="0"/>
                <w:dstrike w:val="0"/>
                <w:color w:val="auto"/>
                <w:highlight w:val="none"/>
              </w:rPr>
            </w:pPr>
          </w:p>
          <w:p w14:paraId="11F9F087">
            <w:pPr>
              <w:pStyle w:val="66"/>
              <w:spacing w:line="360" w:lineRule="auto"/>
              <w:ind w:firstLine="480" w:firstLineChars="200"/>
              <w:rPr>
                <w:rFonts w:ascii="Times New Roman" w:cs="Times New Roman"/>
                <w:strike w:val="0"/>
                <w:dstrike w:val="0"/>
                <w:color w:val="auto"/>
                <w:highlight w:val="none"/>
              </w:rPr>
            </w:pPr>
          </w:p>
          <w:p w14:paraId="5B0C4D12">
            <w:pPr>
              <w:pStyle w:val="66"/>
              <w:spacing w:line="360" w:lineRule="auto"/>
              <w:ind w:firstLine="480" w:firstLineChars="200"/>
              <w:rPr>
                <w:rFonts w:ascii="Times New Roman" w:cs="Times New Roman"/>
                <w:strike w:val="0"/>
                <w:dstrike w:val="0"/>
                <w:color w:val="auto"/>
                <w:highlight w:val="none"/>
              </w:rPr>
            </w:pPr>
          </w:p>
          <w:p w14:paraId="16A06FAD">
            <w:pPr>
              <w:pStyle w:val="66"/>
              <w:spacing w:line="360" w:lineRule="auto"/>
              <w:ind w:firstLine="480" w:firstLineChars="200"/>
              <w:rPr>
                <w:rFonts w:ascii="Times New Roman" w:cs="Times New Roman"/>
                <w:strike w:val="0"/>
                <w:dstrike w:val="0"/>
                <w:color w:val="auto"/>
                <w:highlight w:val="none"/>
              </w:rPr>
            </w:pPr>
          </w:p>
          <w:p w14:paraId="44C5445D">
            <w:pPr>
              <w:pStyle w:val="66"/>
              <w:spacing w:line="360" w:lineRule="auto"/>
              <w:ind w:firstLine="480" w:firstLineChars="200"/>
              <w:rPr>
                <w:rFonts w:ascii="Times New Roman" w:cs="Times New Roman"/>
                <w:strike w:val="0"/>
                <w:dstrike w:val="0"/>
                <w:color w:val="auto"/>
                <w:highlight w:val="none"/>
              </w:rPr>
            </w:pPr>
          </w:p>
          <w:p w14:paraId="462F61AE">
            <w:pPr>
              <w:pStyle w:val="66"/>
              <w:spacing w:line="360" w:lineRule="auto"/>
              <w:ind w:firstLine="480" w:firstLineChars="200"/>
              <w:rPr>
                <w:rFonts w:ascii="Times New Roman" w:cs="Times New Roman"/>
                <w:strike w:val="0"/>
                <w:dstrike w:val="0"/>
                <w:color w:val="auto"/>
                <w:highlight w:val="none"/>
              </w:rPr>
            </w:pPr>
          </w:p>
          <w:p w14:paraId="7EE1E745">
            <w:pPr>
              <w:spacing w:line="360" w:lineRule="auto"/>
              <w:jc w:val="left"/>
              <w:rPr>
                <w:bCs/>
                <w:strike w:val="0"/>
                <w:dstrike w:val="0"/>
                <w:color w:val="auto"/>
                <w:sz w:val="24"/>
                <w:highlight w:val="none"/>
              </w:rPr>
            </w:pPr>
          </w:p>
        </w:tc>
      </w:tr>
    </w:tbl>
    <w:p w14:paraId="52FA6BA6">
      <w:pPr>
        <w:rPr>
          <w:strike w:val="0"/>
          <w:dstrike w:val="0"/>
          <w:color w:val="auto"/>
          <w:highlight w:val="none"/>
        </w:rPr>
        <w:sectPr>
          <w:footerReference r:id="rId5" w:type="default"/>
          <w:pgSz w:w="11906" w:h="16838"/>
          <w:pgMar w:top="1440" w:right="1800" w:bottom="1440" w:left="1800" w:header="851" w:footer="992" w:gutter="0"/>
          <w:pgNumType w:fmt="numberInDash" w:start="1"/>
          <w:cols w:space="720" w:num="1"/>
          <w:docGrid w:type="lines" w:linePitch="312" w:charSpace="0"/>
        </w:sectPr>
      </w:pPr>
    </w:p>
    <w:p w14:paraId="2159319D">
      <w:pPr>
        <w:widowControl/>
        <w:jc w:val="center"/>
        <w:rPr>
          <w:b/>
          <w:bCs/>
          <w:strike w:val="0"/>
          <w:dstrike w:val="0"/>
          <w:color w:val="auto"/>
          <w:kern w:val="0"/>
          <w:sz w:val="24"/>
          <w:highlight w:val="none"/>
        </w:rPr>
      </w:pPr>
      <w:r>
        <w:rPr>
          <w:b/>
          <w:bCs/>
          <w:strike w:val="0"/>
          <w:dstrike w:val="0"/>
          <w:color w:val="auto"/>
          <w:kern w:val="0"/>
          <w:sz w:val="24"/>
          <w:highlight w:val="none"/>
        </w:rPr>
        <w:t>表4.2-</w:t>
      </w:r>
      <w:r>
        <w:rPr>
          <w:rFonts w:hint="eastAsia"/>
          <w:b/>
          <w:bCs/>
          <w:strike w:val="0"/>
          <w:dstrike w:val="0"/>
          <w:color w:val="auto"/>
          <w:kern w:val="0"/>
          <w:sz w:val="24"/>
          <w:highlight w:val="none"/>
          <w:lang w:val="en-US" w:eastAsia="zh-CN"/>
        </w:rPr>
        <w:t>5</w:t>
      </w:r>
      <w:r>
        <w:rPr>
          <w:b/>
          <w:bCs/>
          <w:strike w:val="0"/>
          <w:dstrike w:val="0"/>
          <w:color w:val="auto"/>
          <w:kern w:val="0"/>
          <w:sz w:val="24"/>
          <w:highlight w:val="none"/>
        </w:rPr>
        <w:t xml:space="preserve">  本项目正常工况废气污染物产生及排放汇总表</w:t>
      </w:r>
    </w:p>
    <w:tbl>
      <w:tblPr>
        <w:tblStyle w:val="23"/>
        <w:tblW w:w="14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908"/>
        <w:gridCol w:w="1124"/>
        <w:gridCol w:w="915"/>
        <w:gridCol w:w="1140"/>
        <w:gridCol w:w="1005"/>
        <w:gridCol w:w="915"/>
        <w:gridCol w:w="1635"/>
        <w:gridCol w:w="1095"/>
        <w:gridCol w:w="840"/>
        <w:gridCol w:w="1140"/>
        <w:gridCol w:w="920"/>
        <w:gridCol w:w="943"/>
        <w:gridCol w:w="751"/>
      </w:tblGrid>
      <w:tr w14:paraId="2C42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2" w:type="dxa"/>
            <w:gridSpan w:val="2"/>
            <w:vMerge w:val="restart"/>
            <w:vAlign w:val="center"/>
          </w:tcPr>
          <w:p w14:paraId="0BA0A1D8">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产污环节</w:t>
            </w:r>
          </w:p>
        </w:tc>
        <w:tc>
          <w:tcPr>
            <w:tcW w:w="1124" w:type="dxa"/>
            <w:vMerge w:val="restart"/>
            <w:vAlign w:val="center"/>
          </w:tcPr>
          <w:p w14:paraId="70D70A1D">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污染物种类</w:t>
            </w:r>
          </w:p>
        </w:tc>
        <w:tc>
          <w:tcPr>
            <w:tcW w:w="3060" w:type="dxa"/>
            <w:gridSpan w:val="3"/>
            <w:vAlign w:val="center"/>
          </w:tcPr>
          <w:p w14:paraId="24214E34">
            <w:pPr>
              <w:adjustRightInd w:val="0"/>
              <w:snapToGrid w:val="0"/>
              <w:jc w:val="center"/>
              <w:rPr>
                <w:strike w:val="0"/>
                <w:dstrike w:val="0"/>
                <w:color w:val="auto"/>
                <w:szCs w:val="21"/>
                <w:highlight w:val="none"/>
              </w:rPr>
            </w:pPr>
            <w:r>
              <w:rPr>
                <w:b/>
                <w:strike w:val="0"/>
                <w:dstrike w:val="0"/>
                <w:color w:val="auto"/>
                <w:spacing w:val="-10"/>
                <w:szCs w:val="21"/>
                <w:highlight w:val="none"/>
              </w:rPr>
              <w:t>产生情况</w:t>
            </w:r>
          </w:p>
        </w:tc>
        <w:tc>
          <w:tcPr>
            <w:tcW w:w="915" w:type="dxa"/>
            <w:vMerge w:val="restart"/>
            <w:vAlign w:val="center"/>
          </w:tcPr>
          <w:p w14:paraId="1E3A3D2E">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排放形式</w:t>
            </w:r>
          </w:p>
        </w:tc>
        <w:tc>
          <w:tcPr>
            <w:tcW w:w="3570" w:type="dxa"/>
            <w:gridSpan w:val="3"/>
            <w:vAlign w:val="center"/>
          </w:tcPr>
          <w:p w14:paraId="6C417572">
            <w:pPr>
              <w:jc w:val="center"/>
              <w:rPr>
                <w:b/>
                <w:strike w:val="0"/>
                <w:dstrike w:val="0"/>
                <w:color w:val="auto"/>
                <w:spacing w:val="-10"/>
                <w:szCs w:val="21"/>
                <w:highlight w:val="none"/>
              </w:rPr>
            </w:pPr>
            <w:r>
              <w:rPr>
                <w:b/>
                <w:strike w:val="0"/>
                <w:dstrike w:val="0"/>
                <w:color w:val="auto"/>
                <w:spacing w:val="-10"/>
                <w:szCs w:val="21"/>
                <w:highlight w:val="none"/>
              </w:rPr>
              <w:t>污染治理</w:t>
            </w:r>
          </w:p>
        </w:tc>
        <w:tc>
          <w:tcPr>
            <w:tcW w:w="3003" w:type="dxa"/>
            <w:gridSpan w:val="3"/>
            <w:vAlign w:val="center"/>
          </w:tcPr>
          <w:p w14:paraId="7E52928E">
            <w:pPr>
              <w:jc w:val="center"/>
              <w:rPr>
                <w:strike w:val="0"/>
                <w:dstrike w:val="0"/>
                <w:color w:val="auto"/>
                <w:szCs w:val="21"/>
                <w:highlight w:val="none"/>
              </w:rPr>
            </w:pPr>
            <w:r>
              <w:rPr>
                <w:b/>
                <w:strike w:val="0"/>
                <w:dstrike w:val="0"/>
                <w:color w:val="auto"/>
                <w:spacing w:val="-10"/>
                <w:szCs w:val="21"/>
                <w:highlight w:val="none"/>
              </w:rPr>
              <w:t>排放情况</w:t>
            </w:r>
          </w:p>
        </w:tc>
        <w:tc>
          <w:tcPr>
            <w:tcW w:w="751" w:type="dxa"/>
            <w:vMerge w:val="restart"/>
            <w:vAlign w:val="center"/>
          </w:tcPr>
          <w:p w14:paraId="19D5ECCF">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排放时间（h/a）</w:t>
            </w:r>
          </w:p>
        </w:tc>
      </w:tr>
      <w:tr w14:paraId="6D75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2" w:type="dxa"/>
            <w:gridSpan w:val="2"/>
            <w:vMerge w:val="continue"/>
            <w:vAlign w:val="center"/>
          </w:tcPr>
          <w:p w14:paraId="3CF59307">
            <w:pPr>
              <w:jc w:val="center"/>
              <w:rPr>
                <w:strike w:val="0"/>
                <w:dstrike w:val="0"/>
                <w:color w:val="auto"/>
                <w:szCs w:val="21"/>
                <w:highlight w:val="none"/>
              </w:rPr>
            </w:pPr>
          </w:p>
        </w:tc>
        <w:tc>
          <w:tcPr>
            <w:tcW w:w="1124" w:type="dxa"/>
            <w:vMerge w:val="continue"/>
            <w:vAlign w:val="center"/>
          </w:tcPr>
          <w:p w14:paraId="20B4BD0A">
            <w:pPr>
              <w:jc w:val="center"/>
              <w:rPr>
                <w:strike w:val="0"/>
                <w:dstrike w:val="0"/>
                <w:color w:val="auto"/>
                <w:szCs w:val="21"/>
                <w:highlight w:val="none"/>
              </w:rPr>
            </w:pPr>
          </w:p>
        </w:tc>
        <w:tc>
          <w:tcPr>
            <w:tcW w:w="915" w:type="dxa"/>
            <w:vAlign w:val="center"/>
          </w:tcPr>
          <w:p w14:paraId="5084D62E">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产生量(t/a)</w:t>
            </w:r>
          </w:p>
        </w:tc>
        <w:tc>
          <w:tcPr>
            <w:tcW w:w="1140" w:type="dxa"/>
            <w:vAlign w:val="center"/>
          </w:tcPr>
          <w:p w14:paraId="7A32F034">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产生浓度（mg/m</w:t>
            </w:r>
            <w:r>
              <w:rPr>
                <w:b/>
                <w:strike w:val="0"/>
                <w:dstrike w:val="0"/>
                <w:color w:val="auto"/>
                <w:spacing w:val="-10"/>
                <w:szCs w:val="21"/>
                <w:highlight w:val="none"/>
                <w:vertAlign w:val="superscript"/>
              </w:rPr>
              <w:t>3</w:t>
            </w:r>
            <w:r>
              <w:rPr>
                <w:b/>
                <w:strike w:val="0"/>
                <w:dstrike w:val="0"/>
                <w:color w:val="auto"/>
                <w:spacing w:val="-10"/>
                <w:szCs w:val="21"/>
                <w:highlight w:val="none"/>
              </w:rPr>
              <w:t>）</w:t>
            </w:r>
          </w:p>
        </w:tc>
        <w:tc>
          <w:tcPr>
            <w:tcW w:w="1005" w:type="dxa"/>
            <w:vAlign w:val="center"/>
          </w:tcPr>
          <w:p w14:paraId="51D9A2A5">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产生速率（kg/h）</w:t>
            </w:r>
          </w:p>
        </w:tc>
        <w:tc>
          <w:tcPr>
            <w:tcW w:w="915" w:type="dxa"/>
            <w:vMerge w:val="continue"/>
            <w:vAlign w:val="center"/>
          </w:tcPr>
          <w:p w14:paraId="524C9688">
            <w:pPr>
              <w:adjustRightInd w:val="0"/>
              <w:snapToGrid w:val="0"/>
              <w:jc w:val="center"/>
              <w:rPr>
                <w:b/>
                <w:strike w:val="0"/>
                <w:dstrike w:val="0"/>
                <w:color w:val="auto"/>
                <w:spacing w:val="-10"/>
                <w:szCs w:val="21"/>
                <w:highlight w:val="none"/>
              </w:rPr>
            </w:pPr>
          </w:p>
        </w:tc>
        <w:tc>
          <w:tcPr>
            <w:tcW w:w="1635" w:type="dxa"/>
            <w:vAlign w:val="center"/>
          </w:tcPr>
          <w:p w14:paraId="01C18502">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治理措施</w:t>
            </w:r>
          </w:p>
        </w:tc>
        <w:tc>
          <w:tcPr>
            <w:tcW w:w="1095" w:type="dxa"/>
            <w:vAlign w:val="center"/>
          </w:tcPr>
          <w:p w14:paraId="169F4B62">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回收效率（%）</w:t>
            </w:r>
          </w:p>
        </w:tc>
        <w:tc>
          <w:tcPr>
            <w:tcW w:w="840" w:type="dxa"/>
            <w:vAlign w:val="center"/>
          </w:tcPr>
          <w:p w14:paraId="7A666E6D">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是否为可行技术</w:t>
            </w:r>
          </w:p>
        </w:tc>
        <w:tc>
          <w:tcPr>
            <w:tcW w:w="1140" w:type="dxa"/>
            <w:vAlign w:val="center"/>
          </w:tcPr>
          <w:p w14:paraId="21593ED5">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排放浓度（mg/m</w:t>
            </w:r>
            <w:r>
              <w:rPr>
                <w:b/>
                <w:strike w:val="0"/>
                <w:dstrike w:val="0"/>
                <w:color w:val="auto"/>
                <w:spacing w:val="-10"/>
                <w:szCs w:val="21"/>
                <w:highlight w:val="none"/>
                <w:vertAlign w:val="superscript"/>
              </w:rPr>
              <w:t>3</w:t>
            </w:r>
            <w:r>
              <w:rPr>
                <w:b/>
                <w:strike w:val="0"/>
                <w:dstrike w:val="0"/>
                <w:color w:val="auto"/>
                <w:spacing w:val="-10"/>
                <w:szCs w:val="21"/>
                <w:highlight w:val="none"/>
              </w:rPr>
              <w:t>）</w:t>
            </w:r>
          </w:p>
        </w:tc>
        <w:tc>
          <w:tcPr>
            <w:tcW w:w="920" w:type="dxa"/>
            <w:vAlign w:val="center"/>
          </w:tcPr>
          <w:p w14:paraId="49CD327B">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排放速率（kg/h）</w:t>
            </w:r>
          </w:p>
        </w:tc>
        <w:tc>
          <w:tcPr>
            <w:tcW w:w="943" w:type="dxa"/>
            <w:vAlign w:val="center"/>
          </w:tcPr>
          <w:p w14:paraId="5B7A2D13">
            <w:pPr>
              <w:adjustRightInd w:val="0"/>
              <w:snapToGrid w:val="0"/>
              <w:jc w:val="center"/>
              <w:rPr>
                <w:b/>
                <w:strike w:val="0"/>
                <w:dstrike w:val="0"/>
                <w:color w:val="auto"/>
                <w:spacing w:val="-10"/>
                <w:szCs w:val="21"/>
                <w:highlight w:val="none"/>
              </w:rPr>
            </w:pPr>
            <w:r>
              <w:rPr>
                <w:b/>
                <w:strike w:val="0"/>
                <w:dstrike w:val="0"/>
                <w:color w:val="auto"/>
                <w:spacing w:val="-10"/>
                <w:szCs w:val="21"/>
                <w:highlight w:val="none"/>
              </w:rPr>
              <w:t>排放量(t/a)</w:t>
            </w:r>
          </w:p>
        </w:tc>
        <w:tc>
          <w:tcPr>
            <w:tcW w:w="751" w:type="dxa"/>
            <w:vMerge w:val="continue"/>
            <w:vAlign w:val="center"/>
          </w:tcPr>
          <w:p w14:paraId="5B7AC5AA">
            <w:pPr>
              <w:jc w:val="center"/>
              <w:rPr>
                <w:strike w:val="0"/>
                <w:dstrike w:val="0"/>
                <w:color w:val="auto"/>
                <w:szCs w:val="21"/>
                <w:highlight w:val="none"/>
              </w:rPr>
            </w:pPr>
          </w:p>
        </w:tc>
      </w:tr>
      <w:tr w14:paraId="17BC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17292E18">
            <w:pPr>
              <w:widowControl/>
              <w:jc w:val="center"/>
              <w:rPr>
                <w:strike w:val="0"/>
                <w:dstrike w:val="0"/>
                <w:color w:val="auto"/>
                <w:kern w:val="0"/>
                <w:szCs w:val="21"/>
                <w:highlight w:val="none"/>
              </w:rPr>
            </w:pPr>
            <w:r>
              <w:rPr>
                <w:strike w:val="0"/>
                <w:dstrike w:val="0"/>
                <w:color w:val="auto"/>
                <w:kern w:val="0"/>
                <w:szCs w:val="21"/>
                <w:highlight w:val="none"/>
              </w:rPr>
              <w:t>G1-1</w:t>
            </w:r>
          </w:p>
        </w:tc>
        <w:tc>
          <w:tcPr>
            <w:tcW w:w="908" w:type="dxa"/>
            <w:vAlign w:val="center"/>
          </w:tcPr>
          <w:p w14:paraId="5068DAAA">
            <w:pPr>
              <w:widowControl/>
              <w:jc w:val="center"/>
              <w:rPr>
                <w:strike w:val="0"/>
                <w:dstrike w:val="0"/>
                <w:color w:val="auto"/>
                <w:kern w:val="0"/>
                <w:szCs w:val="21"/>
                <w:highlight w:val="none"/>
              </w:rPr>
            </w:pPr>
            <w:r>
              <w:rPr>
                <w:strike w:val="0"/>
                <w:dstrike w:val="0"/>
                <w:color w:val="auto"/>
                <w:kern w:val="0"/>
                <w:szCs w:val="21"/>
                <w:highlight w:val="none"/>
              </w:rPr>
              <w:t>柴油卸油废气</w:t>
            </w:r>
          </w:p>
        </w:tc>
        <w:tc>
          <w:tcPr>
            <w:tcW w:w="1124" w:type="dxa"/>
            <w:vAlign w:val="center"/>
          </w:tcPr>
          <w:p w14:paraId="1CEE24ED">
            <w:pPr>
              <w:widowControl/>
              <w:jc w:val="center"/>
              <w:rPr>
                <w:strike w:val="0"/>
                <w:dstrike w:val="0"/>
                <w:color w:val="auto"/>
                <w:kern w:val="0"/>
                <w:szCs w:val="21"/>
                <w:highlight w:val="none"/>
              </w:rPr>
            </w:pPr>
            <w:r>
              <w:rPr>
                <w:strike w:val="0"/>
                <w:dstrike w:val="0"/>
                <w:color w:val="auto"/>
                <w:szCs w:val="21"/>
                <w:highlight w:val="none"/>
              </w:rPr>
              <w:t>非甲烷总烃</w:t>
            </w:r>
          </w:p>
        </w:tc>
        <w:tc>
          <w:tcPr>
            <w:tcW w:w="915" w:type="dxa"/>
            <w:shd w:val="clear" w:color="auto" w:fill="auto"/>
            <w:vAlign w:val="center"/>
          </w:tcPr>
          <w:p w14:paraId="6AB5DD36">
            <w:pPr>
              <w:widowControl/>
              <w:jc w:val="center"/>
              <w:textAlignment w:val="center"/>
              <w:rPr>
                <w:strike w:val="0"/>
                <w:dstrike w:val="0"/>
                <w:color w:val="auto"/>
                <w:szCs w:val="21"/>
                <w:highlight w:val="none"/>
              </w:rPr>
            </w:pPr>
            <w:r>
              <w:rPr>
                <w:strike w:val="0"/>
                <w:dstrike w:val="0"/>
                <w:color w:val="auto"/>
                <w:kern w:val="0"/>
                <w:szCs w:val="21"/>
                <w:highlight w:val="none"/>
                <w:lang w:bidi="ar"/>
              </w:rPr>
              <w:t>1.00</w:t>
            </w:r>
          </w:p>
        </w:tc>
        <w:tc>
          <w:tcPr>
            <w:tcW w:w="1140" w:type="dxa"/>
            <w:vAlign w:val="center"/>
          </w:tcPr>
          <w:p w14:paraId="5C887B2D">
            <w:pPr>
              <w:jc w:val="center"/>
              <w:rPr>
                <w:strike w:val="0"/>
                <w:dstrike w:val="0"/>
                <w:color w:val="auto"/>
                <w:szCs w:val="21"/>
                <w:highlight w:val="none"/>
              </w:rPr>
            </w:pPr>
            <w:r>
              <w:rPr>
                <w:strike w:val="0"/>
                <w:dstrike w:val="0"/>
                <w:color w:val="auto"/>
                <w:kern w:val="0"/>
                <w:szCs w:val="21"/>
                <w:highlight w:val="none"/>
              </w:rPr>
              <w:t>/</w:t>
            </w:r>
          </w:p>
        </w:tc>
        <w:tc>
          <w:tcPr>
            <w:tcW w:w="1005" w:type="dxa"/>
            <w:vAlign w:val="center"/>
          </w:tcPr>
          <w:p w14:paraId="41C8FE74">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0.114 </w:t>
            </w:r>
          </w:p>
        </w:tc>
        <w:tc>
          <w:tcPr>
            <w:tcW w:w="915" w:type="dxa"/>
            <w:vAlign w:val="center"/>
          </w:tcPr>
          <w:p w14:paraId="0E652929">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5DCD94C4">
            <w:pPr>
              <w:jc w:val="center"/>
              <w:rPr>
                <w:strike w:val="0"/>
                <w:dstrike w:val="0"/>
                <w:color w:val="auto"/>
                <w:kern w:val="0"/>
                <w:szCs w:val="21"/>
                <w:highlight w:val="none"/>
              </w:rPr>
            </w:pPr>
            <w:r>
              <w:rPr>
                <w:strike w:val="0"/>
                <w:dstrike w:val="0"/>
                <w:color w:val="auto"/>
                <w:kern w:val="0"/>
                <w:szCs w:val="21"/>
                <w:highlight w:val="none"/>
              </w:rPr>
              <w:t>/</w:t>
            </w:r>
          </w:p>
        </w:tc>
        <w:tc>
          <w:tcPr>
            <w:tcW w:w="1095" w:type="dxa"/>
            <w:vAlign w:val="center"/>
          </w:tcPr>
          <w:p w14:paraId="2265F513">
            <w:pPr>
              <w:jc w:val="center"/>
              <w:rPr>
                <w:strike w:val="0"/>
                <w:dstrike w:val="0"/>
                <w:color w:val="auto"/>
                <w:kern w:val="0"/>
                <w:szCs w:val="21"/>
                <w:highlight w:val="none"/>
              </w:rPr>
            </w:pPr>
            <w:r>
              <w:rPr>
                <w:strike w:val="0"/>
                <w:dstrike w:val="0"/>
                <w:color w:val="auto"/>
                <w:kern w:val="0"/>
                <w:szCs w:val="21"/>
                <w:highlight w:val="none"/>
              </w:rPr>
              <w:t>/</w:t>
            </w:r>
          </w:p>
        </w:tc>
        <w:tc>
          <w:tcPr>
            <w:tcW w:w="840" w:type="dxa"/>
            <w:vAlign w:val="center"/>
          </w:tcPr>
          <w:p w14:paraId="45C7DBE5">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0AF1494E">
            <w:pPr>
              <w:jc w:val="center"/>
              <w:rPr>
                <w:strike w:val="0"/>
                <w:dstrike w:val="0"/>
                <w:color w:val="auto"/>
                <w:szCs w:val="21"/>
                <w:highlight w:val="none"/>
              </w:rPr>
            </w:pPr>
            <w:r>
              <w:rPr>
                <w:strike w:val="0"/>
                <w:dstrike w:val="0"/>
                <w:color w:val="auto"/>
                <w:kern w:val="0"/>
                <w:szCs w:val="21"/>
                <w:highlight w:val="none"/>
              </w:rPr>
              <w:t>/</w:t>
            </w:r>
          </w:p>
        </w:tc>
        <w:tc>
          <w:tcPr>
            <w:tcW w:w="920" w:type="dxa"/>
            <w:vAlign w:val="center"/>
          </w:tcPr>
          <w:p w14:paraId="4DF633C3">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0.114 </w:t>
            </w:r>
          </w:p>
        </w:tc>
        <w:tc>
          <w:tcPr>
            <w:tcW w:w="943" w:type="dxa"/>
            <w:shd w:val="clear" w:color="auto" w:fill="auto"/>
            <w:vAlign w:val="center"/>
          </w:tcPr>
          <w:p w14:paraId="36F854FF">
            <w:pPr>
              <w:pStyle w:val="43"/>
              <w:kinsoku w:val="0"/>
              <w:overflowPunct w:val="0"/>
              <w:jc w:val="center"/>
              <w:rPr>
                <w:strike w:val="0"/>
                <w:dstrike w:val="0"/>
                <w:color w:val="auto"/>
                <w:sz w:val="21"/>
                <w:szCs w:val="21"/>
                <w:highlight w:val="none"/>
              </w:rPr>
            </w:pPr>
            <w:r>
              <w:rPr>
                <w:strike w:val="0"/>
                <w:dstrike w:val="0"/>
                <w:color w:val="auto"/>
                <w:sz w:val="21"/>
                <w:szCs w:val="21"/>
                <w:highlight w:val="none"/>
              </w:rPr>
              <w:t>1.00</w:t>
            </w:r>
          </w:p>
        </w:tc>
        <w:tc>
          <w:tcPr>
            <w:tcW w:w="751" w:type="dxa"/>
            <w:vMerge w:val="restart"/>
            <w:vAlign w:val="center"/>
          </w:tcPr>
          <w:p w14:paraId="04C3022F">
            <w:pPr>
              <w:jc w:val="center"/>
              <w:rPr>
                <w:strike w:val="0"/>
                <w:dstrike w:val="0"/>
                <w:color w:val="auto"/>
                <w:szCs w:val="21"/>
                <w:highlight w:val="none"/>
              </w:rPr>
            </w:pPr>
            <w:r>
              <w:rPr>
                <w:strike w:val="0"/>
                <w:dstrike w:val="0"/>
                <w:color w:val="auto"/>
                <w:kern w:val="0"/>
                <w:szCs w:val="21"/>
                <w:highlight w:val="none"/>
              </w:rPr>
              <w:t>8760</w:t>
            </w:r>
          </w:p>
        </w:tc>
      </w:tr>
      <w:tr w14:paraId="29F6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624BBA5F">
            <w:pPr>
              <w:widowControl/>
              <w:jc w:val="center"/>
              <w:rPr>
                <w:strike w:val="0"/>
                <w:dstrike w:val="0"/>
                <w:color w:val="auto"/>
                <w:kern w:val="0"/>
                <w:szCs w:val="21"/>
                <w:highlight w:val="none"/>
              </w:rPr>
            </w:pPr>
            <w:r>
              <w:rPr>
                <w:strike w:val="0"/>
                <w:dstrike w:val="0"/>
                <w:color w:val="auto"/>
                <w:kern w:val="0"/>
                <w:szCs w:val="21"/>
                <w:highlight w:val="none"/>
              </w:rPr>
              <w:t>G1-2</w:t>
            </w:r>
          </w:p>
        </w:tc>
        <w:tc>
          <w:tcPr>
            <w:tcW w:w="908" w:type="dxa"/>
            <w:vAlign w:val="center"/>
          </w:tcPr>
          <w:p w14:paraId="26922D84">
            <w:pPr>
              <w:widowControl/>
              <w:jc w:val="center"/>
              <w:rPr>
                <w:strike w:val="0"/>
                <w:dstrike w:val="0"/>
                <w:color w:val="auto"/>
                <w:kern w:val="0"/>
                <w:szCs w:val="21"/>
                <w:highlight w:val="none"/>
              </w:rPr>
            </w:pPr>
            <w:r>
              <w:rPr>
                <w:strike w:val="0"/>
                <w:dstrike w:val="0"/>
                <w:color w:val="auto"/>
                <w:kern w:val="0"/>
                <w:szCs w:val="21"/>
                <w:highlight w:val="none"/>
              </w:rPr>
              <w:t>汽油卸油废气</w:t>
            </w:r>
          </w:p>
        </w:tc>
        <w:tc>
          <w:tcPr>
            <w:tcW w:w="1124" w:type="dxa"/>
            <w:vAlign w:val="center"/>
          </w:tcPr>
          <w:p w14:paraId="4139C4DD">
            <w:pPr>
              <w:widowControl/>
              <w:jc w:val="center"/>
              <w:rPr>
                <w:strike w:val="0"/>
                <w:dstrike w:val="0"/>
                <w:color w:val="auto"/>
                <w:kern w:val="0"/>
                <w:szCs w:val="21"/>
                <w:highlight w:val="none"/>
              </w:rPr>
            </w:pPr>
            <w:r>
              <w:rPr>
                <w:strike w:val="0"/>
                <w:dstrike w:val="0"/>
                <w:color w:val="auto"/>
                <w:szCs w:val="21"/>
                <w:highlight w:val="none"/>
              </w:rPr>
              <w:t>非甲烷总烃</w:t>
            </w:r>
          </w:p>
        </w:tc>
        <w:tc>
          <w:tcPr>
            <w:tcW w:w="915" w:type="dxa"/>
            <w:shd w:val="clear" w:color="auto" w:fill="auto"/>
            <w:vAlign w:val="center"/>
          </w:tcPr>
          <w:p w14:paraId="142E82CD">
            <w:pPr>
              <w:widowControl/>
              <w:jc w:val="center"/>
              <w:textAlignment w:val="center"/>
              <w:rPr>
                <w:strike w:val="0"/>
                <w:dstrike w:val="0"/>
                <w:color w:val="auto"/>
                <w:szCs w:val="21"/>
                <w:highlight w:val="none"/>
              </w:rPr>
            </w:pPr>
            <w:r>
              <w:rPr>
                <w:strike w:val="0"/>
                <w:dstrike w:val="0"/>
                <w:color w:val="auto"/>
                <w:kern w:val="0"/>
                <w:szCs w:val="21"/>
                <w:highlight w:val="none"/>
                <w:lang w:bidi="ar"/>
              </w:rPr>
              <w:t>4.60</w:t>
            </w:r>
          </w:p>
        </w:tc>
        <w:tc>
          <w:tcPr>
            <w:tcW w:w="1140" w:type="dxa"/>
            <w:vAlign w:val="center"/>
          </w:tcPr>
          <w:p w14:paraId="7B9D2737">
            <w:pPr>
              <w:jc w:val="center"/>
              <w:rPr>
                <w:strike w:val="0"/>
                <w:dstrike w:val="0"/>
                <w:color w:val="auto"/>
                <w:szCs w:val="21"/>
                <w:highlight w:val="none"/>
              </w:rPr>
            </w:pPr>
            <w:r>
              <w:rPr>
                <w:strike w:val="0"/>
                <w:dstrike w:val="0"/>
                <w:color w:val="auto"/>
                <w:kern w:val="0"/>
                <w:szCs w:val="21"/>
                <w:highlight w:val="none"/>
              </w:rPr>
              <w:t>/</w:t>
            </w:r>
          </w:p>
        </w:tc>
        <w:tc>
          <w:tcPr>
            <w:tcW w:w="1005" w:type="dxa"/>
            <w:vAlign w:val="center"/>
          </w:tcPr>
          <w:p w14:paraId="1C54F4DB">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0.525 </w:t>
            </w:r>
          </w:p>
        </w:tc>
        <w:tc>
          <w:tcPr>
            <w:tcW w:w="915" w:type="dxa"/>
            <w:vAlign w:val="center"/>
          </w:tcPr>
          <w:p w14:paraId="1B11D3A5">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7B9D17D7">
            <w:pPr>
              <w:widowControl/>
              <w:jc w:val="center"/>
              <w:rPr>
                <w:strike w:val="0"/>
                <w:dstrike w:val="0"/>
                <w:color w:val="auto"/>
                <w:kern w:val="0"/>
                <w:szCs w:val="21"/>
                <w:highlight w:val="none"/>
              </w:rPr>
            </w:pPr>
            <w:r>
              <w:rPr>
                <w:strike w:val="0"/>
                <w:dstrike w:val="0"/>
                <w:color w:val="auto"/>
                <w:kern w:val="0"/>
                <w:szCs w:val="21"/>
                <w:highlight w:val="none"/>
              </w:rPr>
              <w:t>油气回收系统（一</w:t>
            </w:r>
            <w:r>
              <w:rPr>
                <w:strike w:val="0"/>
                <w:dstrike w:val="0"/>
                <w:color w:val="auto"/>
                <w:szCs w:val="21"/>
                <w:highlight w:val="none"/>
              </w:rPr>
              <w:t>次油气回收系统</w:t>
            </w:r>
            <w:r>
              <w:rPr>
                <w:strike w:val="0"/>
                <w:dstrike w:val="0"/>
                <w:color w:val="auto"/>
                <w:kern w:val="0"/>
                <w:szCs w:val="21"/>
                <w:highlight w:val="none"/>
              </w:rPr>
              <w:t>）</w:t>
            </w:r>
          </w:p>
        </w:tc>
        <w:tc>
          <w:tcPr>
            <w:tcW w:w="1095" w:type="dxa"/>
            <w:vAlign w:val="center"/>
          </w:tcPr>
          <w:p w14:paraId="3E551EC7">
            <w:pPr>
              <w:jc w:val="center"/>
              <w:rPr>
                <w:strike w:val="0"/>
                <w:dstrike w:val="0"/>
                <w:color w:val="auto"/>
                <w:szCs w:val="21"/>
                <w:highlight w:val="none"/>
              </w:rPr>
            </w:pPr>
            <w:r>
              <w:rPr>
                <w:strike w:val="0"/>
                <w:dstrike w:val="0"/>
                <w:color w:val="auto"/>
                <w:szCs w:val="21"/>
                <w:highlight w:val="none"/>
              </w:rPr>
              <w:t>95</w:t>
            </w:r>
          </w:p>
        </w:tc>
        <w:tc>
          <w:tcPr>
            <w:tcW w:w="840" w:type="dxa"/>
            <w:vAlign w:val="center"/>
          </w:tcPr>
          <w:p w14:paraId="5860209F">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0916A1C5">
            <w:pPr>
              <w:jc w:val="center"/>
              <w:rPr>
                <w:strike w:val="0"/>
                <w:dstrike w:val="0"/>
                <w:color w:val="auto"/>
                <w:szCs w:val="21"/>
                <w:highlight w:val="none"/>
              </w:rPr>
            </w:pPr>
            <w:r>
              <w:rPr>
                <w:strike w:val="0"/>
                <w:dstrike w:val="0"/>
                <w:color w:val="auto"/>
                <w:kern w:val="0"/>
                <w:szCs w:val="21"/>
                <w:highlight w:val="none"/>
              </w:rPr>
              <w:t>/</w:t>
            </w:r>
          </w:p>
        </w:tc>
        <w:tc>
          <w:tcPr>
            <w:tcW w:w="920" w:type="dxa"/>
            <w:vAlign w:val="center"/>
          </w:tcPr>
          <w:p w14:paraId="53F6C5B6">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0.026 </w:t>
            </w:r>
          </w:p>
        </w:tc>
        <w:tc>
          <w:tcPr>
            <w:tcW w:w="943" w:type="dxa"/>
            <w:vAlign w:val="center"/>
          </w:tcPr>
          <w:p w14:paraId="3BF970A5">
            <w:pPr>
              <w:jc w:val="center"/>
              <w:rPr>
                <w:strike w:val="0"/>
                <w:dstrike w:val="0"/>
                <w:color w:val="auto"/>
                <w:szCs w:val="21"/>
                <w:highlight w:val="none"/>
              </w:rPr>
            </w:pPr>
            <w:r>
              <w:rPr>
                <w:strike w:val="0"/>
                <w:dstrike w:val="0"/>
                <w:color w:val="auto"/>
                <w:szCs w:val="21"/>
                <w:highlight w:val="none"/>
              </w:rPr>
              <w:t>0.23</w:t>
            </w:r>
          </w:p>
        </w:tc>
        <w:tc>
          <w:tcPr>
            <w:tcW w:w="751" w:type="dxa"/>
            <w:vMerge w:val="continue"/>
            <w:vAlign w:val="center"/>
          </w:tcPr>
          <w:p w14:paraId="36F29832">
            <w:pPr>
              <w:jc w:val="center"/>
              <w:rPr>
                <w:strike w:val="0"/>
                <w:dstrike w:val="0"/>
                <w:color w:val="auto"/>
                <w:szCs w:val="21"/>
                <w:highlight w:val="none"/>
              </w:rPr>
            </w:pPr>
          </w:p>
        </w:tc>
      </w:tr>
      <w:tr w14:paraId="7C10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256A94F0">
            <w:pPr>
              <w:widowControl/>
              <w:jc w:val="center"/>
              <w:rPr>
                <w:strike w:val="0"/>
                <w:dstrike w:val="0"/>
                <w:color w:val="auto"/>
                <w:kern w:val="0"/>
                <w:szCs w:val="21"/>
                <w:highlight w:val="none"/>
              </w:rPr>
            </w:pPr>
            <w:r>
              <w:rPr>
                <w:strike w:val="0"/>
                <w:dstrike w:val="0"/>
                <w:color w:val="auto"/>
                <w:kern w:val="0"/>
                <w:szCs w:val="21"/>
                <w:highlight w:val="none"/>
              </w:rPr>
              <w:t>G2</w:t>
            </w:r>
          </w:p>
        </w:tc>
        <w:tc>
          <w:tcPr>
            <w:tcW w:w="908" w:type="dxa"/>
            <w:vAlign w:val="center"/>
          </w:tcPr>
          <w:p w14:paraId="28865A82">
            <w:pPr>
              <w:widowControl/>
              <w:jc w:val="center"/>
              <w:rPr>
                <w:strike w:val="0"/>
                <w:dstrike w:val="0"/>
                <w:color w:val="auto"/>
                <w:kern w:val="0"/>
                <w:szCs w:val="21"/>
                <w:highlight w:val="none"/>
              </w:rPr>
            </w:pPr>
            <w:r>
              <w:rPr>
                <w:strike w:val="0"/>
                <w:dstrike w:val="0"/>
                <w:color w:val="auto"/>
                <w:kern w:val="0"/>
                <w:szCs w:val="21"/>
                <w:highlight w:val="none"/>
              </w:rPr>
              <w:t>储油废气</w:t>
            </w:r>
          </w:p>
        </w:tc>
        <w:tc>
          <w:tcPr>
            <w:tcW w:w="1124" w:type="dxa"/>
            <w:vAlign w:val="center"/>
          </w:tcPr>
          <w:p w14:paraId="74126B9B">
            <w:pPr>
              <w:widowControl/>
              <w:jc w:val="center"/>
              <w:rPr>
                <w:strike w:val="0"/>
                <w:dstrike w:val="0"/>
                <w:color w:val="auto"/>
                <w:kern w:val="0"/>
                <w:szCs w:val="21"/>
                <w:highlight w:val="none"/>
              </w:rPr>
            </w:pPr>
            <w:r>
              <w:rPr>
                <w:strike w:val="0"/>
                <w:dstrike w:val="0"/>
                <w:color w:val="auto"/>
                <w:szCs w:val="21"/>
                <w:highlight w:val="none"/>
              </w:rPr>
              <w:t>非甲烷总烃</w:t>
            </w:r>
          </w:p>
        </w:tc>
        <w:tc>
          <w:tcPr>
            <w:tcW w:w="915" w:type="dxa"/>
            <w:vAlign w:val="center"/>
          </w:tcPr>
          <w:p w14:paraId="2ABF1563">
            <w:pPr>
              <w:jc w:val="center"/>
              <w:rPr>
                <w:strike w:val="0"/>
                <w:dstrike w:val="0"/>
                <w:color w:val="auto"/>
                <w:szCs w:val="21"/>
                <w:highlight w:val="none"/>
              </w:rPr>
            </w:pPr>
            <w:r>
              <w:rPr>
                <w:strike w:val="0"/>
                <w:dstrike w:val="0"/>
                <w:color w:val="auto"/>
                <w:szCs w:val="21"/>
                <w:highlight w:val="none"/>
              </w:rPr>
              <w:t>0.40</w:t>
            </w:r>
          </w:p>
        </w:tc>
        <w:tc>
          <w:tcPr>
            <w:tcW w:w="1140" w:type="dxa"/>
            <w:vAlign w:val="center"/>
          </w:tcPr>
          <w:p w14:paraId="368A75C0">
            <w:pPr>
              <w:jc w:val="center"/>
              <w:rPr>
                <w:strike w:val="0"/>
                <w:dstrike w:val="0"/>
                <w:color w:val="auto"/>
                <w:szCs w:val="21"/>
                <w:highlight w:val="none"/>
              </w:rPr>
            </w:pPr>
            <w:r>
              <w:rPr>
                <w:strike w:val="0"/>
                <w:dstrike w:val="0"/>
                <w:color w:val="auto"/>
                <w:kern w:val="0"/>
                <w:szCs w:val="21"/>
                <w:highlight w:val="none"/>
              </w:rPr>
              <w:t>/</w:t>
            </w:r>
          </w:p>
        </w:tc>
        <w:tc>
          <w:tcPr>
            <w:tcW w:w="1005" w:type="dxa"/>
            <w:vAlign w:val="center"/>
          </w:tcPr>
          <w:p w14:paraId="57085BBE">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0.046 </w:t>
            </w:r>
          </w:p>
        </w:tc>
        <w:tc>
          <w:tcPr>
            <w:tcW w:w="915" w:type="dxa"/>
            <w:vAlign w:val="center"/>
          </w:tcPr>
          <w:p w14:paraId="1A44DABE">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2800E187">
            <w:pPr>
              <w:jc w:val="center"/>
              <w:rPr>
                <w:strike w:val="0"/>
                <w:dstrike w:val="0"/>
                <w:color w:val="auto"/>
                <w:kern w:val="0"/>
                <w:szCs w:val="21"/>
                <w:highlight w:val="none"/>
              </w:rPr>
            </w:pPr>
            <w:r>
              <w:rPr>
                <w:strike w:val="0"/>
                <w:dstrike w:val="0"/>
                <w:color w:val="auto"/>
                <w:kern w:val="0"/>
                <w:szCs w:val="21"/>
                <w:highlight w:val="none"/>
              </w:rPr>
              <w:t>经通气立管排放</w:t>
            </w:r>
          </w:p>
        </w:tc>
        <w:tc>
          <w:tcPr>
            <w:tcW w:w="1095" w:type="dxa"/>
            <w:vAlign w:val="center"/>
          </w:tcPr>
          <w:p w14:paraId="76DB9932">
            <w:pPr>
              <w:jc w:val="center"/>
              <w:rPr>
                <w:strike w:val="0"/>
                <w:dstrike w:val="0"/>
                <w:color w:val="auto"/>
                <w:szCs w:val="21"/>
                <w:highlight w:val="none"/>
              </w:rPr>
            </w:pPr>
            <w:r>
              <w:rPr>
                <w:strike w:val="0"/>
                <w:dstrike w:val="0"/>
                <w:color w:val="auto"/>
                <w:kern w:val="0"/>
                <w:szCs w:val="21"/>
                <w:highlight w:val="none"/>
              </w:rPr>
              <w:t>/</w:t>
            </w:r>
          </w:p>
        </w:tc>
        <w:tc>
          <w:tcPr>
            <w:tcW w:w="840" w:type="dxa"/>
            <w:vAlign w:val="center"/>
          </w:tcPr>
          <w:p w14:paraId="03DE9AB3">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50866976">
            <w:pPr>
              <w:jc w:val="center"/>
              <w:rPr>
                <w:strike w:val="0"/>
                <w:dstrike w:val="0"/>
                <w:color w:val="auto"/>
                <w:szCs w:val="21"/>
                <w:highlight w:val="none"/>
              </w:rPr>
            </w:pPr>
            <w:r>
              <w:rPr>
                <w:strike w:val="0"/>
                <w:dstrike w:val="0"/>
                <w:color w:val="auto"/>
                <w:kern w:val="0"/>
                <w:szCs w:val="21"/>
                <w:highlight w:val="none"/>
              </w:rPr>
              <w:t>/</w:t>
            </w:r>
          </w:p>
        </w:tc>
        <w:tc>
          <w:tcPr>
            <w:tcW w:w="920" w:type="dxa"/>
            <w:vAlign w:val="center"/>
          </w:tcPr>
          <w:p w14:paraId="3B295A1B">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0.046 </w:t>
            </w:r>
          </w:p>
        </w:tc>
        <w:tc>
          <w:tcPr>
            <w:tcW w:w="943" w:type="dxa"/>
            <w:vAlign w:val="center"/>
          </w:tcPr>
          <w:p w14:paraId="7C03D6A7">
            <w:pPr>
              <w:jc w:val="center"/>
              <w:rPr>
                <w:strike w:val="0"/>
                <w:dstrike w:val="0"/>
                <w:color w:val="auto"/>
                <w:szCs w:val="21"/>
                <w:highlight w:val="none"/>
              </w:rPr>
            </w:pPr>
            <w:r>
              <w:rPr>
                <w:strike w:val="0"/>
                <w:dstrike w:val="0"/>
                <w:color w:val="auto"/>
                <w:szCs w:val="21"/>
                <w:highlight w:val="none"/>
              </w:rPr>
              <w:t>0.40</w:t>
            </w:r>
          </w:p>
        </w:tc>
        <w:tc>
          <w:tcPr>
            <w:tcW w:w="751" w:type="dxa"/>
            <w:vMerge w:val="continue"/>
            <w:vAlign w:val="center"/>
          </w:tcPr>
          <w:p w14:paraId="1074D763">
            <w:pPr>
              <w:jc w:val="center"/>
              <w:rPr>
                <w:strike w:val="0"/>
                <w:dstrike w:val="0"/>
                <w:color w:val="auto"/>
                <w:szCs w:val="21"/>
                <w:highlight w:val="none"/>
              </w:rPr>
            </w:pPr>
          </w:p>
        </w:tc>
      </w:tr>
      <w:tr w14:paraId="31FB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110A61AF">
            <w:pPr>
              <w:widowControl/>
              <w:jc w:val="center"/>
              <w:rPr>
                <w:strike w:val="0"/>
                <w:dstrike w:val="0"/>
                <w:color w:val="auto"/>
                <w:kern w:val="0"/>
                <w:szCs w:val="21"/>
                <w:highlight w:val="none"/>
              </w:rPr>
            </w:pPr>
            <w:r>
              <w:rPr>
                <w:strike w:val="0"/>
                <w:dstrike w:val="0"/>
                <w:color w:val="auto"/>
                <w:kern w:val="0"/>
                <w:szCs w:val="21"/>
                <w:highlight w:val="none"/>
              </w:rPr>
              <w:t>G3-1</w:t>
            </w:r>
          </w:p>
        </w:tc>
        <w:tc>
          <w:tcPr>
            <w:tcW w:w="908" w:type="dxa"/>
            <w:vAlign w:val="center"/>
          </w:tcPr>
          <w:p w14:paraId="248B1C63">
            <w:pPr>
              <w:widowControl/>
              <w:jc w:val="center"/>
              <w:rPr>
                <w:strike w:val="0"/>
                <w:dstrike w:val="0"/>
                <w:color w:val="auto"/>
                <w:kern w:val="0"/>
                <w:szCs w:val="21"/>
                <w:highlight w:val="none"/>
              </w:rPr>
            </w:pPr>
            <w:r>
              <w:rPr>
                <w:strike w:val="0"/>
                <w:dstrike w:val="0"/>
                <w:color w:val="auto"/>
                <w:kern w:val="0"/>
                <w:szCs w:val="21"/>
                <w:highlight w:val="none"/>
              </w:rPr>
              <w:t>柴油加油废气</w:t>
            </w:r>
          </w:p>
        </w:tc>
        <w:tc>
          <w:tcPr>
            <w:tcW w:w="1124" w:type="dxa"/>
            <w:vAlign w:val="center"/>
          </w:tcPr>
          <w:p w14:paraId="4908D6EE">
            <w:pPr>
              <w:widowControl/>
              <w:jc w:val="center"/>
              <w:rPr>
                <w:strike w:val="0"/>
                <w:dstrike w:val="0"/>
                <w:color w:val="auto"/>
                <w:kern w:val="0"/>
                <w:szCs w:val="21"/>
                <w:highlight w:val="none"/>
              </w:rPr>
            </w:pPr>
            <w:r>
              <w:rPr>
                <w:strike w:val="0"/>
                <w:dstrike w:val="0"/>
                <w:color w:val="auto"/>
                <w:szCs w:val="21"/>
                <w:highlight w:val="none"/>
              </w:rPr>
              <w:t>非甲烷总烃</w:t>
            </w:r>
          </w:p>
        </w:tc>
        <w:tc>
          <w:tcPr>
            <w:tcW w:w="915" w:type="dxa"/>
            <w:shd w:val="clear" w:color="auto" w:fill="auto"/>
            <w:vAlign w:val="center"/>
          </w:tcPr>
          <w:p w14:paraId="3BAFC83D">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1.60 </w:t>
            </w:r>
          </w:p>
        </w:tc>
        <w:tc>
          <w:tcPr>
            <w:tcW w:w="1140" w:type="dxa"/>
            <w:vAlign w:val="center"/>
          </w:tcPr>
          <w:p w14:paraId="028DC8D8">
            <w:pPr>
              <w:jc w:val="center"/>
              <w:rPr>
                <w:strike w:val="0"/>
                <w:dstrike w:val="0"/>
                <w:color w:val="auto"/>
                <w:szCs w:val="21"/>
                <w:highlight w:val="none"/>
              </w:rPr>
            </w:pPr>
            <w:r>
              <w:rPr>
                <w:strike w:val="0"/>
                <w:dstrike w:val="0"/>
                <w:color w:val="auto"/>
                <w:kern w:val="0"/>
                <w:szCs w:val="21"/>
                <w:highlight w:val="none"/>
              </w:rPr>
              <w:t>/</w:t>
            </w:r>
          </w:p>
        </w:tc>
        <w:tc>
          <w:tcPr>
            <w:tcW w:w="1005" w:type="dxa"/>
            <w:vAlign w:val="center"/>
          </w:tcPr>
          <w:p w14:paraId="79D63006">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0.183 </w:t>
            </w:r>
          </w:p>
        </w:tc>
        <w:tc>
          <w:tcPr>
            <w:tcW w:w="915" w:type="dxa"/>
            <w:vAlign w:val="center"/>
          </w:tcPr>
          <w:p w14:paraId="7EAC3B41">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70842B1F">
            <w:pPr>
              <w:jc w:val="center"/>
              <w:rPr>
                <w:strike w:val="0"/>
                <w:dstrike w:val="0"/>
                <w:color w:val="auto"/>
                <w:kern w:val="0"/>
                <w:szCs w:val="21"/>
                <w:highlight w:val="none"/>
              </w:rPr>
            </w:pPr>
            <w:r>
              <w:rPr>
                <w:strike w:val="0"/>
                <w:dstrike w:val="0"/>
                <w:color w:val="auto"/>
                <w:kern w:val="0"/>
                <w:szCs w:val="21"/>
                <w:highlight w:val="none"/>
              </w:rPr>
              <w:t>/</w:t>
            </w:r>
          </w:p>
        </w:tc>
        <w:tc>
          <w:tcPr>
            <w:tcW w:w="1095" w:type="dxa"/>
            <w:vAlign w:val="center"/>
          </w:tcPr>
          <w:p w14:paraId="418D86A2">
            <w:pPr>
              <w:jc w:val="center"/>
              <w:rPr>
                <w:strike w:val="0"/>
                <w:dstrike w:val="0"/>
                <w:color w:val="auto"/>
                <w:szCs w:val="21"/>
                <w:highlight w:val="none"/>
              </w:rPr>
            </w:pPr>
            <w:r>
              <w:rPr>
                <w:strike w:val="0"/>
                <w:dstrike w:val="0"/>
                <w:color w:val="auto"/>
                <w:kern w:val="0"/>
                <w:szCs w:val="21"/>
                <w:highlight w:val="none"/>
              </w:rPr>
              <w:t>/</w:t>
            </w:r>
          </w:p>
        </w:tc>
        <w:tc>
          <w:tcPr>
            <w:tcW w:w="840" w:type="dxa"/>
            <w:vAlign w:val="center"/>
          </w:tcPr>
          <w:p w14:paraId="7761DFCE">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05E3E416">
            <w:pPr>
              <w:jc w:val="center"/>
              <w:rPr>
                <w:strike w:val="0"/>
                <w:dstrike w:val="0"/>
                <w:color w:val="auto"/>
                <w:szCs w:val="21"/>
                <w:highlight w:val="none"/>
              </w:rPr>
            </w:pPr>
            <w:r>
              <w:rPr>
                <w:strike w:val="0"/>
                <w:dstrike w:val="0"/>
                <w:color w:val="auto"/>
                <w:kern w:val="0"/>
                <w:szCs w:val="21"/>
                <w:highlight w:val="none"/>
              </w:rPr>
              <w:t>/</w:t>
            </w:r>
          </w:p>
        </w:tc>
        <w:tc>
          <w:tcPr>
            <w:tcW w:w="920" w:type="dxa"/>
            <w:vAlign w:val="center"/>
          </w:tcPr>
          <w:p w14:paraId="4F7CDDDF">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0.183 </w:t>
            </w:r>
          </w:p>
        </w:tc>
        <w:tc>
          <w:tcPr>
            <w:tcW w:w="943" w:type="dxa"/>
            <w:vAlign w:val="center"/>
          </w:tcPr>
          <w:p w14:paraId="35208CB9">
            <w:pPr>
              <w:jc w:val="center"/>
              <w:rPr>
                <w:strike w:val="0"/>
                <w:dstrike w:val="0"/>
                <w:color w:val="auto"/>
                <w:szCs w:val="21"/>
                <w:highlight w:val="none"/>
              </w:rPr>
            </w:pPr>
            <w:r>
              <w:rPr>
                <w:strike w:val="0"/>
                <w:dstrike w:val="0"/>
                <w:color w:val="auto"/>
                <w:szCs w:val="21"/>
                <w:highlight w:val="none"/>
              </w:rPr>
              <w:t>1.60</w:t>
            </w:r>
          </w:p>
        </w:tc>
        <w:tc>
          <w:tcPr>
            <w:tcW w:w="751" w:type="dxa"/>
            <w:vMerge w:val="continue"/>
            <w:vAlign w:val="center"/>
          </w:tcPr>
          <w:p w14:paraId="5EA5D7C3">
            <w:pPr>
              <w:jc w:val="center"/>
              <w:rPr>
                <w:strike w:val="0"/>
                <w:dstrike w:val="0"/>
                <w:color w:val="auto"/>
                <w:szCs w:val="21"/>
                <w:highlight w:val="none"/>
              </w:rPr>
            </w:pPr>
          </w:p>
        </w:tc>
      </w:tr>
      <w:tr w14:paraId="5646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7179E4D4">
            <w:pPr>
              <w:widowControl/>
              <w:jc w:val="center"/>
              <w:rPr>
                <w:strike w:val="0"/>
                <w:dstrike w:val="0"/>
                <w:color w:val="auto"/>
                <w:kern w:val="0"/>
                <w:szCs w:val="21"/>
                <w:highlight w:val="none"/>
              </w:rPr>
            </w:pPr>
            <w:r>
              <w:rPr>
                <w:strike w:val="0"/>
                <w:dstrike w:val="0"/>
                <w:color w:val="auto"/>
                <w:kern w:val="0"/>
                <w:szCs w:val="21"/>
                <w:highlight w:val="none"/>
              </w:rPr>
              <w:t>G3-2</w:t>
            </w:r>
          </w:p>
        </w:tc>
        <w:tc>
          <w:tcPr>
            <w:tcW w:w="908" w:type="dxa"/>
            <w:vAlign w:val="center"/>
          </w:tcPr>
          <w:p w14:paraId="6A9C4F3E">
            <w:pPr>
              <w:widowControl/>
              <w:jc w:val="center"/>
              <w:rPr>
                <w:strike w:val="0"/>
                <w:dstrike w:val="0"/>
                <w:color w:val="auto"/>
                <w:kern w:val="0"/>
                <w:szCs w:val="21"/>
                <w:highlight w:val="none"/>
              </w:rPr>
            </w:pPr>
            <w:r>
              <w:rPr>
                <w:strike w:val="0"/>
                <w:dstrike w:val="0"/>
                <w:color w:val="auto"/>
                <w:kern w:val="0"/>
                <w:szCs w:val="21"/>
                <w:highlight w:val="none"/>
              </w:rPr>
              <w:t>汽油加油废气</w:t>
            </w:r>
          </w:p>
        </w:tc>
        <w:tc>
          <w:tcPr>
            <w:tcW w:w="1124" w:type="dxa"/>
            <w:vAlign w:val="center"/>
          </w:tcPr>
          <w:p w14:paraId="60F545D3">
            <w:pPr>
              <w:widowControl/>
              <w:jc w:val="center"/>
              <w:rPr>
                <w:strike w:val="0"/>
                <w:dstrike w:val="0"/>
                <w:color w:val="auto"/>
                <w:kern w:val="0"/>
                <w:szCs w:val="21"/>
                <w:highlight w:val="none"/>
              </w:rPr>
            </w:pPr>
            <w:r>
              <w:rPr>
                <w:strike w:val="0"/>
                <w:dstrike w:val="0"/>
                <w:color w:val="auto"/>
                <w:szCs w:val="21"/>
                <w:highlight w:val="none"/>
              </w:rPr>
              <w:t>非甲烷总烃</w:t>
            </w:r>
          </w:p>
        </w:tc>
        <w:tc>
          <w:tcPr>
            <w:tcW w:w="915" w:type="dxa"/>
            <w:shd w:val="clear" w:color="auto" w:fill="auto"/>
            <w:vAlign w:val="center"/>
          </w:tcPr>
          <w:p w14:paraId="5D4B12B2">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5.80 </w:t>
            </w:r>
          </w:p>
        </w:tc>
        <w:tc>
          <w:tcPr>
            <w:tcW w:w="1140" w:type="dxa"/>
            <w:vAlign w:val="center"/>
          </w:tcPr>
          <w:p w14:paraId="5D481166">
            <w:pPr>
              <w:jc w:val="center"/>
              <w:rPr>
                <w:strike w:val="0"/>
                <w:dstrike w:val="0"/>
                <w:color w:val="auto"/>
                <w:szCs w:val="21"/>
                <w:highlight w:val="none"/>
              </w:rPr>
            </w:pPr>
            <w:r>
              <w:rPr>
                <w:strike w:val="0"/>
                <w:dstrike w:val="0"/>
                <w:color w:val="auto"/>
                <w:kern w:val="0"/>
                <w:szCs w:val="21"/>
                <w:highlight w:val="none"/>
              </w:rPr>
              <w:t>/</w:t>
            </w:r>
          </w:p>
        </w:tc>
        <w:tc>
          <w:tcPr>
            <w:tcW w:w="1005" w:type="dxa"/>
            <w:vAlign w:val="center"/>
          </w:tcPr>
          <w:p w14:paraId="7ED0345E">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0.662 </w:t>
            </w:r>
          </w:p>
        </w:tc>
        <w:tc>
          <w:tcPr>
            <w:tcW w:w="915" w:type="dxa"/>
            <w:vAlign w:val="center"/>
          </w:tcPr>
          <w:p w14:paraId="57B95086">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09E3F8B9">
            <w:pPr>
              <w:jc w:val="center"/>
              <w:rPr>
                <w:strike w:val="0"/>
                <w:dstrike w:val="0"/>
                <w:color w:val="auto"/>
                <w:kern w:val="0"/>
                <w:szCs w:val="21"/>
                <w:highlight w:val="none"/>
              </w:rPr>
            </w:pPr>
            <w:r>
              <w:rPr>
                <w:strike w:val="0"/>
                <w:dstrike w:val="0"/>
                <w:color w:val="auto"/>
                <w:kern w:val="0"/>
                <w:szCs w:val="21"/>
                <w:highlight w:val="none"/>
              </w:rPr>
              <w:t>油气回收系统（</w:t>
            </w:r>
            <w:r>
              <w:rPr>
                <w:strike w:val="0"/>
                <w:dstrike w:val="0"/>
                <w:color w:val="auto"/>
                <w:szCs w:val="21"/>
                <w:highlight w:val="none"/>
              </w:rPr>
              <w:t>二次油气回收系统</w:t>
            </w:r>
            <w:r>
              <w:rPr>
                <w:strike w:val="0"/>
                <w:dstrike w:val="0"/>
                <w:color w:val="auto"/>
                <w:kern w:val="0"/>
                <w:szCs w:val="21"/>
                <w:highlight w:val="none"/>
              </w:rPr>
              <w:t>）</w:t>
            </w:r>
          </w:p>
        </w:tc>
        <w:tc>
          <w:tcPr>
            <w:tcW w:w="1095" w:type="dxa"/>
            <w:vAlign w:val="center"/>
          </w:tcPr>
          <w:p w14:paraId="4DDDC44E">
            <w:pPr>
              <w:jc w:val="center"/>
              <w:rPr>
                <w:strike w:val="0"/>
                <w:dstrike w:val="0"/>
                <w:color w:val="auto"/>
                <w:szCs w:val="21"/>
                <w:highlight w:val="none"/>
              </w:rPr>
            </w:pPr>
            <w:r>
              <w:rPr>
                <w:strike w:val="0"/>
                <w:dstrike w:val="0"/>
                <w:color w:val="auto"/>
                <w:szCs w:val="21"/>
                <w:highlight w:val="none"/>
              </w:rPr>
              <w:t>90</w:t>
            </w:r>
          </w:p>
        </w:tc>
        <w:tc>
          <w:tcPr>
            <w:tcW w:w="840" w:type="dxa"/>
            <w:vAlign w:val="center"/>
          </w:tcPr>
          <w:p w14:paraId="048818BC">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36412CAB">
            <w:pPr>
              <w:jc w:val="center"/>
              <w:rPr>
                <w:strike w:val="0"/>
                <w:dstrike w:val="0"/>
                <w:color w:val="auto"/>
                <w:szCs w:val="21"/>
                <w:highlight w:val="none"/>
              </w:rPr>
            </w:pPr>
            <w:r>
              <w:rPr>
                <w:strike w:val="0"/>
                <w:dstrike w:val="0"/>
                <w:color w:val="auto"/>
                <w:kern w:val="0"/>
                <w:szCs w:val="21"/>
                <w:highlight w:val="none"/>
              </w:rPr>
              <w:t>/</w:t>
            </w:r>
          </w:p>
        </w:tc>
        <w:tc>
          <w:tcPr>
            <w:tcW w:w="920" w:type="dxa"/>
            <w:vAlign w:val="center"/>
          </w:tcPr>
          <w:p w14:paraId="48B4A91D">
            <w:pPr>
              <w:widowControl/>
              <w:jc w:val="center"/>
              <w:textAlignment w:val="center"/>
              <w:rPr>
                <w:strike w:val="0"/>
                <w:dstrike w:val="0"/>
                <w:color w:val="auto"/>
                <w:szCs w:val="21"/>
                <w:highlight w:val="none"/>
              </w:rPr>
            </w:pPr>
            <w:r>
              <w:rPr>
                <w:strike w:val="0"/>
                <w:dstrike w:val="0"/>
                <w:color w:val="auto"/>
                <w:kern w:val="0"/>
                <w:szCs w:val="21"/>
                <w:highlight w:val="none"/>
                <w:lang w:bidi="ar"/>
              </w:rPr>
              <w:t xml:space="preserve">0.066 </w:t>
            </w:r>
          </w:p>
        </w:tc>
        <w:tc>
          <w:tcPr>
            <w:tcW w:w="943" w:type="dxa"/>
            <w:vAlign w:val="center"/>
          </w:tcPr>
          <w:p w14:paraId="3AB66A4A">
            <w:pPr>
              <w:jc w:val="center"/>
              <w:rPr>
                <w:strike w:val="0"/>
                <w:dstrike w:val="0"/>
                <w:color w:val="auto"/>
                <w:szCs w:val="21"/>
                <w:highlight w:val="none"/>
              </w:rPr>
            </w:pPr>
            <w:r>
              <w:rPr>
                <w:strike w:val="0"/>
                <w:dstrike w:val="0"/>
                <w:color w:val="auto"/>
                <w:szCs w:val="21"/>
                <w:highlight w:val="none"/>
              </w:rPr>
              <w:t>0.58</w:t>
            </w:r>
          </w:p>
        </w:tc>
        <w:tc>
          <w:tcPr>
            <w:tcW w:w="751" w:type="dxa"/>
            <w:vMerge w:val="continue"/>
            <w:vAlign w:val="center"/>
          </w:tcPr>
          <w:p w14:paraId="6CD1B254">
            <w:pPr>
              <w:jc w:val="center"/>
              <w:rPr>
                <w:strike w:val="0"/>
                <w:dstrike w:val="0"/>
                <w:color w:val="auto"/>
                <w:szCs w:val="21"/>
                <w:highlight w:val="none"/>
              </w:rPr>
            </w:pPr>
          </w:p>
        </w:tc>
      </w:tr>
      <w:tr w14:paraId="0182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060A1722">
            <w:pPr>
              <w:widowControl/>
              <w:jc w:val="center"/>
              <w:rPr>
                <w:strike w:val="0"/>
                <w:dstrike w:val="0"/>
                <w:color w:val="auto"/>
                <w:kern w:val="0"/>
                <w:szCs w:val="21"/>
                <w:highlight w:val="none"/>
              </w:rPr>
            </w:pPr>
            <w:r>
              <w:rPr>
                <w:strike w:val="0"/>
                <w:dstrike w:val="0"/>
                <w:color w:val="auto"/>
                <w:kern w:val="0"/>
                <w:szCs w:val="21"/>
                <w:highlight w:val="none"/>
              </w:rPr>
              <w:t>G4</w:t>
            </w:r>
          </w:p>
        </w:tc>
        <w:tc>
          <w:tcPr>
            <w:tcW w:w="908" w:type="dxa"/>
            <w:vAlign w:val="center"/>
          </w:tcPr>
          <w:p w14:paraId="0A6512B2">
            <w:pPr>
              <w:widowControl/>
              <w:jc w:val="center"/>
              <w:rPr>
                <w:strike w:val="0"/>
                <w:dstrike w:val="0"/>
                <w:color w:val="auto"/>
                <w:kern w:val="0"/>
                <w:szCs w:val="21"/>
                <w:highlight w:val="none"/>
              </w:rPr>
            </w:pPr>
            <w:r>
              <w:rPr>
                <w:strike w:val="0"/>
                <w:dstrike w:val="0"/>
                <w:color w:val="auto"/>
                <w:szCs w:val="21"/>
                <w:highlight w:val="none"/>
              </w:rPr>
              <w:t>卸车废气</w:t>
            </w:r>
          </w:p>
        </w:tc>
        <w:tc>
          <w:tcPr>
            <w:tcW w:w="1124" w:type="dxa"/>
            <w:vAlign w:val="center"/>
          </w:tcPr>
          <w:p w14:paraId="00408798">
            <w:pPr>
              <w:widowControl/>
              <w:jc w:val="center"/>
              <w:rPr>
                <w:strike w:val="0"/>
                <w:dstrike w:val="0"/>
                <w:color w:val="auto"/>
                <w:szCs w:val="21"/>
                <w:highlight w:val="none"/>
              </w:rPr>
            </w:pPr>
            <w:r>
              <w:rPr>
                <w:strike w:val="0"/>
                <w:dstrike w:val="0"/>
                <w:color w:val="auto"/>
                <w:szCs w:val="21"/>
                <w:highlight w:val="none"/>
              </w:rPr>
              <w:t>非甲烷总烃</w:t>
            </w:r>
          </w:p>
        </w:tc>
        <w:tc>
          <w:tcPr>
            <w:tcW w:w="915" w:type="dxa"/>
            <w:vAlign w:val="center"/>
          </w:tcPr>
          <w:p w14:paraId="576B6363">
            <w:pPr>
              <w:jc w:val="center"/>
              <w:rPr>
                <w:strike w:val="0"/>
                <w:dstrike w:val="0"/>
                <w:color w:val="auto"/>
                <w:szCs w:val="21"/>
                <w:highlight w:val="none"/>
              </w:rPr>
            </w:pPr>
            <w:r>
              <w:rPr>
                <w:strike w:val="0"/>
                <w:dstrike w:val="0"/>
                <w:color w:val="auto"/>
                <w:szCs w:val="21"/>
                <w:highlight w:val="none"/>
              </w:rPr>
              <w:t>/</w:t>
            </w:r>
          </w:p>
        </w:tc>
        <w:tc>
          <w:tcPr>
            <w:tcW w:w="1140" w:type="dxa"/>
            <w:vAlign w:val="center"/>
          </w:tcPr>
          <w:p w14:paraId="27B4C46F">
            <w:pPr>
              <w:jc w:val="center"/>
              <w:rPr>
                <w:strike w:val="0"/>
                <w:dstrike w:val="0"/>
                <w:color w:val="auto"/>
                <w:szCs w:val="21"/>
                <w:highlight w:val="none"/>
              </w:rPr>
            </w:pPr>
            <w:r>
              <w:rPr>
                <w:strike w:val="0"/>
                <w:dstrike w:val="0"/>
                <w:color w:val="auto"/>
                <w:kern w:val="0"/>
                <w:szCs w:val="21"/>
                <w:highlight w:val="none"/>
              </w:rPr>
              <w:t>/</w:t>
            </w:r>
          </w:p>
        </w:tc>
        <w:tc>
          <w:tcPr>
            <w:tcW w:w="1005" w:type="dxa"/>
            <w:vAlign w:val="center"/>
          </w:tcPr>
          <w:p w14:paraId="47D7F00E">
            <w:pPr>
              <w:widowControl/>
              <w:jc w:val="center"/>
              <w:textAlignment w:val="center"/>
              <w:rPr>
                <w:strike w:val="0"/>
                <w:dstrike w:val="0"/>
                <w:color w:val="auto"/>
                <w:szCs w:val="21"/>
                <w:highlight w:val="none"/>
              </w:rPr>
            </w:pPr>
            <w:r>
              <w:rPr>
                <w:strike w:val="0"/>
                <w:dstrike w:val="0"/>
                <w:color w:val="auto"/>
                <w:kern w:val="0"/>
                <w:szCs w:val="21"/>
                <w:highlight w:val="none"/>
                <w:lang w:bidi="ar"/>
              </w:rPr>
              <w:t>/</w:t>
            </w:r>
          </w:p>
        </w:tc>
        <w:tc>
          <w:tcPr>
            <w:tcW w:w="915" w:type="dxa"/>
            <w:vAlign w:val="center"/>
          </w:tcPr>
          <w:p w14:paraId="6B978166">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3B6B8933">
            <w:pPr>
              <w:jc w:val="center"/>
              <w:rPr>
                <w:strike w:val="0"/>
                <w:dstrike w:val="0"/>
                <w:color w:val="auto"/>
                <w:kern w:val="0"/>
                <w:szCs w:val="21"/>
                <w:highlight w:val="none"/>
              </w:rPr>
            </w:pPr>
            <w:r>
              <w:rPr>
                <w:rFonts w:hint="eastAsia"/>
                <w:bCs/>
                <w:strike w:val="0"/>
                <w:dstrike w:val="0"/>
                <w:color w:val="auto"/>
                <w:spacing w:val="-10"/>
                <w:szCs w:val="21"/>
                <w:highlight w:val="none"/>
              </w:rPr>
              <w:t>EAG加热器</w:t>
            </w:r>
          </w:p>
        </w:tc>
        <w:tc>
          <w:tcPr>
            <w:tcW w:w="1095" w:type="dxa"/>
            <w:vAlign w:val="center"/>
          </w:tcPr>
          <w:p w14:paraId="1248A8CF">
            <w:pPr>
              <w:jc w:val="center"/>
              <w:rPr>
                <w:strike w:val="0"/>
                <w:dstrike w:val="0"/>
                <w:color w:val="auto"/>
                <w:szCs w:val="21"/>
                <w:highlight w:val="none"/>
              </w:rPr>
            </w:pPr>
            <w:r>
              <w:rPr>
                <w:strike w:val="0"/>
                <w:dstrike w:val="0"/>
                <w:color w:val="auto"/>
                <w:kern w:val="0"/>
                <w:szCs w:val="21"/>
                <w:highlight w:val="none"/>
              </w:rPr>
              <w:t>/</w:t>
            </w:r>
          </w:p>
        </w:tc>
        <w:tc>
          <w:tcPr>
            <w:tcW w:w="840" w:type="dxa"/>
            <w:vAlign w:val="center"/>
          </w:tcPr>
          <w:p w14:paraId="37598258">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64F7223D">
            <w:pPr>
              <w:jc w:val="center"/>
              <w:rPr>
                <w:strike w:val="0"/>
                <w:dstrike w:val="0"/>
                <w:color w:val="auto"/>
                <w:szCs w:val="21"/>
                <w:highlight w:val="none"/>
              </w:rPr>
            </w:pPr>
            <w:r>
              <w:rPr>
                <w:strike w:val="0"/>
                <w:dstrike w:val="0"/>
                <w:color w:val="auto"/>
                <w:kern w:val="0"/>
                <w:szCs w:val="21"/>
                <w:highlight w:val="none"/>
              </w:rPr>
              <w:t>/</w:t>
            </w:r>
          </w:p>
        </w:tc>
        <w:tc>
          <w:tcPr>
            <w:tcW w:w="920" w:type="dxa"/>
            <w:vAlign w:val="center"/>
          </w:tcPr>
          <w:p w14:paraId="443FF97C">
            <w:pPr>
              <w:widowControl/>
              <w:jc w:val="center"/>
              <w:textAlignment w:val="center"/>
              <w:rPr>
                <w:strike w:val="0"/>
                <w:dstrike w:val="0"/>
                <w:color w:val="auto"/>
                <w:szCs w:val="21"/>
                <w:highlight w:val="none"/>
              </w:rPr>
            </w:pPr>
            <w:r>
              <w:rPr>
                <w:strike w:val="0"/>
                <w:dstrike w:val="0"/>
                <w:color w:val="auto"/>
                <w:kern w:val="0"/>
                <w:szCs w:val="21"/>
                <w:highlight w:val="none"/>
                <w:lang w:bidi="ar"/>
              </w:rPr>
              <w:t>/</w:t>
            </w:r>
          </w:p>
        </w:tc>
        <w:tc>
          <w:tcPr>
            <w:tcW w:w="943" w:type="dxa"/>
            <w:vAlign w:val="center"/>
          </w:tcPr>
          <w:p w14:paraId="5B1F95BF">
            <w:pPr>
              <w:jc w:val="center"/>
              <w:rPr>
                <w:strike w:val="0"/>
                <w:dstrike w:val="0"/>
                <w:color w:val="auto"/>
                <w:szCs w:val="21"/>
                <w:highlight w:val="none"/>
              </w:rPr>
            </w:pPr>
            <w:r>
              <w:rPr>
                <w:strike w:val="0"/>
                <w:dstrike w:val="0"/>
                <w:color w:val="auto"/>
                <w:szCs w:val="21"/>
                <w:highlight w:val="none"/>
              </w:rPr>
              <w:t>/</w:t>
            </w:r>
          </w:p>
        </w:tc>
        <w:tc>
          <w:tcPr>
            <w:tcW w:w="751" w:type="dxa"/>
            <w:vMerge w:val="continue"/>
            <w:vAlign w:val="center"/>
          </w:tcPr>
          <w:p w14:paraId="24EC0412">
            <w:pPr>
              <w:jc w:val="center"/>
              <w:rPr>
                <w:strike w:val="0"/>
                <w:dstrike w:val="0"/>
                <w:color w:val="auto"/>
                <w:szCs w:val="21"/>
                <w:highlight w:val="none"/>
              </w:rPr>
            </w:pPr>
          </w:p>
        </w:tc>
      </w:tr>
      <w:tr w14:paraId="517A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044297F3">
            <w:pPr>
              <w:widowControl/>
              <w:jc w:val="center"/>
              <w:rPr>
                <w:strike w:val="0"/>
                <w:dstrike w:val="0"/>
                <w:color w:val="auto"/>
                <w:kern w:val="0"/>
                <w:szCs w:val="21"/>
                <w:highlight w:val="none"/>
              </w:rPr>
            </w:pPr>
            <w:r>
              <w:rPr>
                <w:rFonts w:hint="eastAsia"/>
                <w:strike w:val="0"/>
                <w:dstrike w:val="0"/>
                <w:color w:val="auto"/>
                <w:kern w:val="0"/>
                <w:szCs w:val="21"/>
                <w:highlight w:val="none"/>
              </w:rPr>
              <w:t>G5</w:t>
            </w:r>
          </w:p>
        </w:tc>
        <w:tc>
          <w:tcPr>
            <w:tcW w:w="908" w:type="dxa"/>
            <w:vAlign w:val="center"/>
          </w:tcPr>
          <w:p w14:paraId="7A1DC3DF">
            <w:pPr>
              <w:widowControl/>
              <w:jc w:val="center"/>
              <w:rPr>
                <w:strike w:val="0"/>
                <w:dstrike w:val="0"/>
                <w:color w:val="auto"/>
                <w:kern w:val="0"/>
                <w:szCs w:val="21"/>
                <w:highlight w:val="none"/>
              </w:rPr>
            </w:pPr>
            <w:r>
              <w:rPr>
                <w:rFonts w:hint="eastAsia"/>
                <w:strike w:val="0"/>
                <w:dstrike w:val="0"/>
                <w:color w:val="auto"/>
                <w:kern w:val="0"/>
                <w:szCs w:val="21"/>
                <w:highlight w:val="none"/>
                <w:lang w:bidi="ar"/>
              </w:rPr>
              <w:t>安全放散废气</w:t>
            </w:r>
          </w:p>
        </w:tc>
        <w:tc>
          <w:tcPr>
            <w:tcW w:w="1124" w:type="dxa"/>
            <w:vAlign w:val="center"/>
          </w:tcPr>
          <w:p w14:paraId="10544E47">
            <w:pPr>
              <w:widowControl/>
              <w:jc w:val="center"/>
              <w:rPr>
                <w:strike w:val="0"/>
                <w:dstrike w:val="0"/>
                <w:color w:val="auto"/>
                <w:kern w:val="0"/>
                <w:szCs w:val="21"/>
                <w:highlight w:val="none"/>
              </w:rPr>
            </w:pPr>
            <w:r>
              <w:rPr>
                <w:strike w:val="0"/>
                <w:dstrike w:val="0"/>
                <w:color w:val="auto"/>
                <w:kern w:val="0"/>
                <w:szCs w:val="21"/>
                <w:highlight w:val="none"/>
              </w:rPr>
              <w:t>非甲烷总烃</w:t>
            </w:r>
          </w:p>
        </w:tc>
        <w:tc>
          <w:tcPr>
            <w:tcW w:w="915" w:type="dxa"/>
            <w:vAlign w:val="center"/>
          </w:tcPr>
          <w:p w14:paraId="2B5430C9">
            <w:pPr>
              <w:jc w:val="center"/>
              <w:rPr>
                <w:strike w:val="0"/>
                <w:dstrike w:val="0"/>
                <w:color w:val="auto"/>
                <w:szCs w:val="21"/>
                <w:highlight w:val="none"/>
              </w:rPr>
            </w:pPr>
            <w:r>
              <w:rPr>
                <w:rFonts w:hint="eastAsia"/>
                <w:strike w:val="0"/>
                <w:dstrike w:val="0"/>
                <w:color w:val="auto"/>
                <w:kern w:val="0"/>
                <w:szCs w:val="21"/>
                <w:highlight w:val="none"/>
                <w:lang w:bidi="ar"/>
              </w:rPr>
              <w:t>0.044</w:t>
            </w:r>
          </w:p>
        </w:tc>
        <w:tc>
          <w:tcPr>
            <w:tcW w:w="1140" w:type="dxa"/>
            <w:vAlign w:val="center"/>
          </w:tcPr>
          <w:p w14:paraId="581FAF5A">
            <w:pPr>
              <w:jc w:val="center"/>
              <w:rPr>
                <w:strike w:val="0"/>
                <w:dstrike w:val="0"/>
                <w:color w:val="auto"/>
                <w:szCs w:val="21"/>
                <w:highlight w:val="none"/>
              </w:rPr>
            </w:pPr>
            <w:r>
              <w:rPr>
                <w:strike w:val="0"/>
                <w:dstrike w:val="0"/>
                <w:color w:val="auto"/>
                <w:kern w:val="0"/>
                <w:szCs w:val="21"/>
                <w:highlight w:val="none"/>
              </w:rPr>
              <w:t>/</w:t>
            </w:r>
          </w:p>
        </w:tc>
        <w:tc>
          <w:tcPr>
            <w:tcW w:w="1005" w:type="dxa"/>
            <w:vAlign w:val="center"/>
          </w:tcPr>
          <w:p w14:paraId="47B8101F">
            <w:pPr>
              <w:widowControl/>
              <w:jc w:val="center"/>
              <w:textAlignment w:val="center"/>
              <w:rPr>
                <w:strike w:val="0"/>
                <w:dstrike w:val="0"/>
                <w:color w:val="auto"/>
                <w:szCs w:val="21"/>
                <w:highlight w:val="none"/>
              </w:rPr>
            </w:pPr>
            <w:r>
              <w:rPr>
                <w:strike w:val="0"/>
                <w:dstrike w:val="0"/>
                <w:color w:val="auto"/>
                <w:kern w:val="0"/>
                <w:szCs w:val="21"/>
                <w:highlight w:val="none"/>
                <w:lang w:bidi="ar"/>
              </w:rPr>
              <w:t>0.00</w:t>
            </w:r>
            <w:r>
              <w:rPr>
                <w:rFonts w:hint="eastAsia"/>
                <w:strike w:val="0"/>
                <w:dstrike w:val="0"/>
                <w:color w:val="auto"/>
                <w:kern w:val="0"/>
                <w:szCs w:val="21"/>
                <w:highlight w:val="none"/>
                <w:lang w:bidi="ar"/>
              </w:rPr>
              <w:t>5</w:t>
            </w:r>
          </w:p>
        </w:tc>
        <w:tc>
          <w:tcPr>
            <w:tcW w:w="915" w:type="dxa"/>
            <w:vAlign w:val="center"/>
          </w:tcPr>
          <w:p w14:paraId="2272E015">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2655117A">
            <w:pPr>
              <w:widowControl/>
              <w:jc w:val="center"/>
              <w:rPr>
                <w:rFonts w:hint="eastAsia" w:eastAsia="宋体"/>
                <w:strike w:val="0"/>
                <w:dstrike w:val="0"/>
                <w:color w:val="auto"/>
                <w:kern w:val="0"/>
                <w:sz w:val="21"/>
                <w:szCs w:val="21"/>
                <w:highlight w:val="none"/>
                <w:lang w:eastAsia="zh-CN"/>
              </w:rPr>
            </w:pPr>
            <w:r>
              <w:rPr>
                <w:rFonts w:hint="eastAsia"/>
                <w:strike w:val="0"/>
                <w:dstrike w:val="0"/>
                <w:color w:val="auto"/>
                <w:sz w:val="21"/>
                <w:szCs w:val="21"/>
                <w:highlight w:val="none"/>
                <w:lang w:val="en-US" w:eastAsia="zh-CN"/>
              </w:rPr>
              <w:t>放散管</w:t>
            </w:r>
          </w:p>
        </w:tc>
        <w:tc>
          <w:tcPr>
            <w:tcW w:w="1095" w:type="dxa"/>
            <w:vAlign w:val="center"/>
          </w:tcPr>
          <w:p w14:paraId="238DD2B5">
            <w:pPr>
              <w:jc w:val="center"/>
              <w:rPr>
                <w:strike w:val="0"/>
                <w:dstrike w:val="0"/>
                <w:color w:val="auto"/>
                <w:szCs w:val="21"/>
                <w:highlight w:val="none"/>
              </w:rPr>
            </w:pPr>
            <w:r>
              <w:rPr>
                <w:strike w:val="0"/>
                <w:dstrike w:val="0"/>
                <w:color w:val="auto"/>
                <w:kern w:val="0"/>
                <w:szCs w:val="21"/>
                <w:highlight w:val="none"/>
              </w:rPr>
              <w:t>/</w:t>
            </w:r>
          </w:p>
        </w:tc>
        <w:tc>
          <w:tcPr>
            <w:tcW w:w="840" w:type="dxa"/>
            <w:vAlign w:val="center"/>
          </w:tcPr>
          <w:p w14:paraId="69CDAAF9">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3C0E6C7D">
            <w:pPr>
              <w:jc w:val="center"/>
              <w:rPr>
                <w:strike w:val="0"/>
                <w:dstrike w:val="0"/>
                <w:color w:val="auto"/>
                <w:szCs w:val="21"/>
                <w:highlight w:val="none"/>
              </w:rPr>
            </w:pPr>
            <w:r>
              <w:rPr>
                <w:strike w:val="0"/>
                <w:dstrike w:val="0"/>
                <w:color w:val="auto"/>
                <w:kern w:val="0"/>
                <w:szCs w:val="21"/>
                <w:highlight w:val="none"/>
              </w:rPr>
              <w:t>/</w:t>
            </w:r>
          </w:p>
        </w:tc>
        <w:tc>
          <w:tcPr>
            <w:tcW w:w="920" w:type="dxa"/>
            <w:vAlign w:val="center"/>
          </w:tcPr>
          <w:p w14:paraId="4A4D0DC3">
            <w:pPr>
              <w:widowControl/>
              <w:jc w:val="center"/>
              <w:textAlignment w:val="center"/>
              <w:rPr>
                <w:strike w:val="0"/>
                <w:dstrike w:val="0"/>
                <w:color w:val="auto"/>
                <w:szCs w:val="21"/>
                <w:highlight w:val="none"/>
              </w:rPr>
            </w:pPr>
            <w:r>
              <w:rPr>
                <w:strike w:val="0"/>
                <w:dstrike w:val="0"/>
                <w:color w:val="auto"/>
                <w:kern w:val="0"/>
                <w:szCs w:val="21"/>
                <w:highlight w:val="none"/>
                <w:lang w:bidi="ar"/>
              </w:rPr>
              <w:t>0.00</w:t>
            </w:r>
            <w:r>
              <w:rPr>
                <w:rFonts w:hint="eastAsia"/>
                <w:strike w:val="0"/>
                <w:dstrike w:val="0"/>
                <w:color w:val="auto"/>
                <w:kern w:val="0"/>
                <w:szCs w:val="21"/>
                <w:highlight w:val="none"/>
                <w:lang w:bidi="ar"/>
              </w:rPr>
              <w:t>5</w:t>
            </w:r>
          </w:p>
        </w:tc>
        <w:tc>
          <w:tcPr>
            <w:tcW w:w="943" w:type="dxa"/>
            <w:shd w:val="clear" w:color="auto" w:fill="auto"/>
            <w:vAlign w:val="center"/>
          </w:tcPr>
          <w:p w14:paraId="7F517FBE">
            <w:pPr>
              <w:jc w:val="center"/>
              <w:rPr>
                <w:strike w:val="0"/>
                <w:dstrike w:val="0"/>
                <w:color w:val="auto"/>
                <w:szCs w:val="21"/>
                <w:highlight w:val="none"/>
              </w:rPr>
            </w:pPr>
            <w:r>
              <w:rPr>
                <w:rFonts w:hint="eastAsia"/>
                <w:strike w:val="0"/>
                <w:dstrike w:val="0"/>
                <w:color w:val="auto"/>
                <w:kern w:val="0"/>
                <w:szCs w:val="21"/>
                <w:highlight w:val="none"/>
                <w:lang w:bidi="ar"/>
              </w:rPr>
              <w:t>0.044</w:t>
            </w:r>
          </w:p>
        </w:tc>
        <w:tc>
          <w:tcPr>
            <w:tcW w:w="751" w:type="dxa"/>
            <w:vMerge w:val="continue"/>
            <w:vAlign w:val="center"/>
          </w:tcPr>
          <w:p w14:paraId="690E15A1">
            <w:pPr>
              <w:jc w:val="center"/>
              <w:rPr>
                <w:strike w:val="0"/>
                <w:dstrike w:val="0"/>
                <w:color w:val="auto"/>
                <w:szCs w:val="21"/>
                <w:highlight w:val="none"/>
              </w:rPr>
            </w:pPr>
          </w:p>
        </w:tc>
      </w:tr>
      <w:tr w14:paraId="2D8B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7914884E">
            <w:pPr>
              <w:widowControl/>
              <w:jc w:val="center"/>
              <w:rPr>
                <w:strike w:val="0"/>
                <w:dstrike w:val="0"/>
                <w:color w:val="auto"/>
                <w:kern w:val="0"/>
                <w:szCs w:val="21"/>
                <w:highlight w:val="none"/>
              </w:rPr>
            </w:pPr>
            <w:r>
              <w:rPr>
                <w:rFonts w:hint="eastAsia"/>
                <w:strike w:val="0"/>
                <w:dstrike w:val="0"/>
                <w:color w:val="auto"/>
                <w:kern w:val="0"/>
                <w:szCs w:val="21"/>
                <w:highlight w:val="none"/>
              </w:rPr>
              <w:t>G8</w:t>
            </w:r>
          </w:p>
        </w:tc>
        <w:tc>
          <w:tcPr>
            <w:tcW w:w="908" w:type="dxa"/>
            <w:vAlign w:val="center"/>
          </w:tcPr>
          <w:p w14:paraId="09207BDB">
            <w:pPr>
              <w:widowControl/>
              <w:jc w:val="center"/>
              <w:rPr>
                <w:strike w:val="0"/>
                <w:dstrike w:val="0"/>
                <w:color w:val="auto"/>
                <w:kern w:val="0"/>
                <w:szCs w:val="21"/>
                <w:highlight w:val="none"/>
              </w:rPr>
            </w:pPr>
            <w:r>
              <w:rPr>
                <w:rStyle w:val="29"/>
                <w:strike w:val="0"/>
                <w:dstrike w:val="0"/>
                <w:color w:val="auto"/>
                <w:kern w:val="0"/>
                <w:szCs w:val="21"/>
                <w:highlight w:val="none"/>
              </w:rPr>
              <w:t>生化池臭气</w:t>
            </w:r>
          </w:p>
        </w:tc>
        <w:tc>
          <w:tcPr>
            <w:tcW w:w="1124" w:type="dxa"/>
            <w:vAlign w:val="center"/>
          </w:tcPr>
          <w:p w14:paraId="113ACF8A">
            <w:pPr>
              <w:widowControl/>
              <w:jc w:val="center"/>
              <w:rPr>
                <w:strike w:val="0"/>
                <w:dstrike w:val="0"/>
                <w:color w:val="auto"/>
                <w:kern w:val="0"/>
                <w:szCs w:val="21"/>
                <w:highlight w:val="none"/>
              </w:rPr>
            </w:pPr>
            <w:r>
              <w:rPr>
                <w:rFonts w:eastAsia="TimesNewRomanPSMT"/>
                <w:strike w:val="0"/>
                <w:dstrike w:val="0"/>
                <w:color w:val="auto"/>
                <w:szCs w:val="21"/>
                <w:highlight w:val="none"/>
              </w:rPr>
              <w:t>H</w:t>
            </w:r>
            <w:r>
              <w:rPr>
                <w:rFonts w:eastAsia="TimesNewRomanPSMT"/>
                <w:strike w:val="0"/>
                <w:dstrike w:val="0"/>
                <w:color w:val="auto"/>
                <w:szCs w:val="21"/>
                <w:highlight w:val="none"/>
                <w:vertAlign w:val="subscript"/>
              </w:rPr>
              <w:t>2</w:t>
            </w:r>
            <w:r>
              <w:rPr>
                <w:rFonts w:eastAsia="TimesNewRomanPSMT"/>
                <w:strike w:val="0"/>
                <w:dstrike w:val="0"/>
                <w:color w:val="auto"/>
                <w:szCs w:val="21"/>
                <w:highlight w:val="none"/>
              </w:rPr>
              <w:t>S</w:t>
            </w:r>
            <w:r>
              <w:rPr>
                <w:strike w:val="0"/>
                <w:dstrike w:val="0"/>
                <w:color w:val="auto"/>
                <w:szCs w:val="21"/>
                <w:highlight w:val="none"/>
              </w:rPr>
              <w:t>、</w:t>
            </w:r>
            <w:r>
              <w:rPr>
                <w:rFonts w:eastAsia="TimesNewRomanPSMT"/>
                <w:strike w:val="0"/>
                <w:dstrike w:val="0"/>
                <w:color w:val="auto"/>
                <w:szCs w:val="21"/>
                <w:highlight w:val="none"/>
              </w:rPr>
              <w:t>NH</w:t>
            </w:r>
            <w:r>
              <w:rPr>
                <w:rFonts w:eastAsia="TimesNewRomanPSMT"/>
                <w:strike w:val="0"/>
                <w:dstrike w:val="0"/>
                <w:color w:val="auto"/>
                <w:szCs w:val="21"/>
                <w:highlight w:val="none"/>
                <w:vertAlign w:val="subscript"/>
              </w:rPr>
              <w:t>3</w:t>
            </w:r>
            <w:r>
              <w:rPr>
                <w:strike w:val="0"/>
                <w:dstrike w:val="0"/>
                <w:color w:val="auto"/>
                <w:szCs w:val="21"/>
                <w:highlight w:val="none"/>
              </w:rPr>
              <w:t>、臭气浓度</w:t>
            </w:r>
          </w:p>
        </w:tc>
        <w:tc>
          <w:tcPr>
            <w:tcW w:w="915" w:type="dxa"/>
            <w:vAlign w:val="center"/>
          </w:tcPr>
          <w:p w14:paraId="45199796">
            <w:pPr>
              <w:jc w:val="center"/>
              <w:rPr>
                <w:strike w:val="0"/>
                <w:dstrike w:val="0"/>
                <w:color w:val="auto"/>
                <w:szCs w:val="21"/>
                <w:highlight w:val="none"/>
              </w:rPr>
            </w:pPr>
            <w:r>
              <w:rPr>
                <w:strike w:val="0"/>
                <w:dstrike w:val="0"/>
                <w:color w:val="auto"/>
                <w:szCs w:val="21"/>
                <w:highlight w:val="none"/>
              </w:rPr>
              <w:t>少量</w:t>
            </w:r>
          </w:p>
        </w:tc>
        <w:tc>
          <w:tcPr>
            <w:tcW w:w="1140" w:type="dxa"/>
            <w:vAlign w:val="center"/>
          </w:tcPr>
          <w:p w14:paraId="36B0C133">
            <w:pPr>
              <w:jc w:val="center"/>
              <w:rPr>
                <w:strike w:val="0"/>
                <w:dstrike w:val="0"/>
                <w:color w:val="auto"/>
                <w:szCs w:val="21"/>
                <w:highlight w:val="none"/>
              </w:rPr>
            </w:pPr>
            <w:r>
              <w:rPr>
                <w:strike w:val="0"/>
                <w:dstrike w:val="0"/>
                <w:color w:val="auto"/>
                <w:kern w:val="0"/>
                <w:szCs w:val="21"/>
                <w:highlight w:val="none"/>
              </w:rPr>
              <w:t>/</w:t>
            </w:r>
          </w:p>
        </w:tc>
        <w:tc>
          <w:tcPr>
            <w:tcW w:w="1005" w:type="dxa"/>
            <w:shd w:val="clear" w:color="auto" w:fill="auto"/>
            <w:vAlign w:val="center"/>
          </w:tcPr>
          <w:p w14:paraId="255A65B1">
            <w:pPr>
              <w:jc w:val="center"/>
              <w:rPr>
                <w:strike w:val="0"/>
                <w:dstrike w:val="0"/>
                <w:color w:val="auto"/>
                <w:szCs w:val="21"/>
                <w:highlight w:val="none"/>
              </w:rPr>
            </w:pPr>
            <w:r>
              <w:rPr>
                <w:strike w:val="0"/>
                <w:dstrike w:val="0"/>
                <w:color w:val="auto"/>
                <w:szCs w:val="21"/>
                <w:highlight w:val="none"/>
              </w:rPr>
              <w:t>/</w:t>
            </w:r>
          </w:p>
        </w:tc>
        <w:tc>
          <w:tcPr>
            <w:tcW w:w="915" w:type="dxa"/>
            <w:vAlign w:val="center"/>
          </w:tcPr>
          <w:p w14:paraId="7E6A21A6">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134608E8">
            <w:pPr>
              <w:widowControl/>
              <w:jc w:val="center"/>
              <w:rPr>
                <w:strike w:val="0"/>
                <w:dstrike w:val="0"/>
                <w:color w:val="auto"/>
                <w:kern w:val="0"/>
                <w:szCs w:val="21"/>
                <w:highlight w:val="none"/>
              </w:rPr>
            </w:pPr>
            <w:r>
              <w:rPr>
                <w:strike w:val="0"/>
                <w:dstrike w:val="0"/>
                <w:color w:val="auto"/>
                <w:szCs w:val="21"/>
                <w:highlight w:val="none"/>
              </w:rPr>
              <w:t>引至绿化带排放</w:t>
            </w:r>
          </w:p>
        </w:tc>
        <w:tc>
          <w:tcPr>
            <w:tcW w:w="1095" w:type="dxa"/>
            <w:vAlign w:val="center"/>
          </w:tcPr>
          <w:p w14:paraId="5E12AD80">
            <w:pPr>
              <w:jc w:val="center"/>
              <w:rPr>
                <w:strike w:val="0"/>
                <w:dstrike w:val="0"/>
                <w:color w:val="auto"/>
                <w:szCs w:val="21"/>
                <w:highlight w:val="none"/>
              </w:rPr>
            </w:pPr>
            <w:r>
              <w:rPr>
                <w:strike w:val="0"/>
                <w:dstrike w:val="0"/>
                <w:color w:val="auto"/>
                <w:kern w:val="0"/>
                <w:szCs w:val="21"/>
                <w:highlight w:val="none"/>
              </w:rPr>
              <w:t>/</w:t>
            </w:r>
          </w:p>
        </w:tc>
        <w:tc>
          <w:tcPr>
            <w:tcW w:w="840" w:type="dxa"/>
            <w:vAlign w:val="center"/>
          </w:tcPr>
          <w:p w14:paraId="7C748787">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4FDFB8D3">
            <w:pPr>
              <w:jc w:val="center"/>
              <w:rPr>
                <w:strike w:val="0"/>
                <w:dstrike w:val="0"/>
                <w:color w:val="auto"/>
                <w:szCs w:val="21"/>
                <w:highlight w:val="none"/>
              </w:rPr>
            </w:pPr>
            <w:r>
              <w:rPr>
                <w:strike w:val="0"/>
                <w:dstrike w:val="0"/>
                <w:color w:val="auto"/>
                <w:kern w:val="0"/>
                <w:szCs w:val="21"/>
                <w:highlight w:val="none"/>
              </w:rPr>
              <w:t>/</w:t>
            </w:r>
          </w:p>
        </w:tc>
        <w:tc>
          <w:tcPr>
            <w:tcW w:w="920" w:type="dxa"/>
            <w:shd w:val="clear" w:color="auto" w:fill="auto"/>
            <w:vAlign w:val="center"/>
          </w:tcPr>
          <w:p w14:paraId="39DBA18B">
            <w:pPr>
              <w:jc w:val="center"/>
              <w:rPr>
                <w:strike w:val="0"/>
                <w:dstrike w:val="0"/>
                <w:color w:val="auto"/>
                <w:szCs w:val="21"/>
                <w:highlight w:val="none"/>
              </w:rPr>
            </w:pPr>
            <w:r>
              <w:rPr>
                <w:strike w:val="0"/>
                <w:dstrike w:val="0"/>
                <w:color w:val="auto"/>
                <w:szCs w:val="21"/>
                <w:highlight w:val="none"/>
              </w:rPr>
              <w:t>/</w:t>
            </w:r>
          </w:p>
        </w:tc>
        <w:tc>
          <w:tcPr>
            <w:tcW w:w="943" w:type="dxa"/>
            <w:vAlign w:val="center"/>
          </w:tcPr>
          <w:p w14:paraId="1730C1FF">
            <w:pPr>
              <w:jc w:val="center"/>
              <w:rPr>
                <w:strike w:val="0"/>
                <w:dstrike w:val="0"/>
                <w:color w:val="auto"/>
                <w:szCs w:val="21"/>
                <w:highlight w:val="none"/>
              </w:rPr>
            </w:pPr>
            <w:r>
              <w:rPr>
                <w:strike w:val="0"/>
                <w:dstrike w:val="0"/>
                <w:color w:val="auto"/>
                <w:szCs w:val="21"/>
                <w:highlight w:val="none"/>
              </w:rPr>
              <w:t>/</w:t>
            </w:r>
          </w:p>
        </w:tc>
        <w:tc>
          <w:tcPr>
            <w:tcW w:w="751" w:type="dxa"/>
            <w:vMerge w:val="continue"/>
            <w:vAlign w:val="center"/>
          </w:tcPr>
          <w:p w14:paraId="280AE947">
            <w:pPr>
              <w:jc w:val="center"/>
              <w:rPr>
                <w:strike w:val="0"/>
                <w:dstrike w:val="0"/>
                <w:color w:val="auto"/>
                <w:szCs w:val="21"/>
                <w:highlight w:val="none"/>
              </w:rPr>
            </w:pPr>
          </w:p>
        </w:tc>
      </w:tr>
      <w:tr w14:paraId="17E5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4" w:type="dxa"/>
            <w:vAlign w:val="center"/>
          </w:tcPr>
          <w:p w14:paraId="21E1344C">
            <w:pPr>
              <w:widowControl/>
              <w:jc w:val="center"/>
              <w:rPr>
                <w:strike w:val="0"/>
                <w:dstrike w:val="0"/>
                <w:color w:val="auto"/>
                <w:kern w:val="0"/>
                <w:szCs w:val="21"/>
                <w:highlight w:val="none"/>
              </w:rPr>
            </w:pPr>
            <w:r>
              <w:rPr>
                <w:rFonts w:hint="eastAsia"/>
                <w:strike w:val="0"/>
                <w:dstrike w:val="0"/>
                <w:color w:val="auto"/>
                <w:kern w:val="0"/>
                <w:szCs w:val="21"/>
                <w:highlight w:val="none"/>
              </w:rPr>
              <w:t>G9</w:t>
            </w:r>
          </w:p>
        </w:tc>
        <w:tc>
          <w:tcPr>
            <w:tcW w:w="908" w:type="dxa"/>
            <w:vAlign w:val="center"/>
          </w:tcPr>
          <w:p w14:paraId="02790A49">
            <w:pPr>
              <w:widowControl/>
              <w:jc w:val="center"/>
              <w:rPr>
                <w:strike w:val="0"/>
                <w:dstrike w:val="0"/>
                <w:color w:val="auto"/>
                <w:kern w:val="0"/>
                <w:szCs w:val="21"/>
                <w:highlight w:val="none"/>
              </w:rPr>
            </w:pPr>
            <w:r>
              <w:rPr>
                <w:strike w:val="0"/>
                <w:dstrike w:val="0"/>
                <w:color w:val="auto"/>
                <w:szCs w:val="21"/>
                <w:highlight w:val="none"/>
              </w:rPr>
              <w:t>汽车尾气</w:t>
            </w:r>
          </w:p>
        </w:tc>
        <w:tc>
          <w:tcPr>
            <w:tcW w:w="1124" w:type="dxa"/>
            <w:vAlign w:val="center"/>
          </w:tcPr>
          <w:p w14:paraId="547C0797">
            <w:pPr>
              <w:widowControl/>
              <w:jc w:val="center"/>
              <w:rPr>
                <w:strike w:val="0"/>
                <w:dstrike w:val="0"/>
                <w:color w:val="auto"/>
                <w:kern w:val="0"/>
                <w:szCs w:val="21"/>
                <w:highlight w:val="none"/>
              </w:rPr>
            </w:pPr>
            <w:r>
              <w:rPr>
                <w:rFonts w:eastAsia="TimesNewRomanPSMT"/>
                <w:strike w:val="0"/>
                <w:dstrike w:val="0"/>
                <w:color w:val="auto"/>
                <w:szCs w:val="21"/>
                <w:highlight w:val="none"/>
              </w:rPr>
              <w:t>THC</w:t>
            </w:r>
            <w:r>
              <w:rPr>
                <w:strike w:val="0"/>
                <w:dstrike w:val="0"/>
                <w:color w:val="auto"/>
                <w:szCs w:val="21"/>
                <w:highlight w:val="none"/>
              </w:rPr>
              <w:t>、</w:t>
            </w:r>
            <w:r>
              <w:rPr>
                <w:rFonts w:eastAsia="TimesNewRomanPSMT"/>
                <w:strike w:val="0"/>
                <w:dstrike w:val="0"/>
                <w:color w:val="auto"/>
                <w:szCs w:val="21"/>
                <w:highlight w:val="none"/>
              </w:rPr>
              <w:t>CO</w:t>
            </w:r>
            <w:r>
              <w:rPr>
                <w:strike w:val="0"/>
                <w:dstrike w:val="0"/>
                <w:color w:val="auto"/>
                <w:szCs w:val="21"/>
                <w:highlight w:val="none"/>
              </w:rPr>
              <w:t>、</w:t>
            </w:r>
            <w:r>
              <w:rPr>
                <w:rFonts w:eastAsia="TimesNewRomanPSMT"/>
                <w:strike w:val="0"/>
                <w:dstrike w:val="0"/>
                <w:color w:val="auto"/>
                <w:szCs w:val="21"/>
                <w:highlight w:val="none"/>
              </w:rPr>
              <w:t>NOx</w:t>
            </w:r>
          </w:p>
        </w:tc>
        <w:tc>
          <w:tcPr>
            <w:tcW w:w="915" w:type="dxa"/>
            <w:vAlign w:val="center"/>
          </w:tcPr>
          <w:p w14:paraId="6869EEE0">
            <w:pPr>
              <w:jc w:val="center"/>
              <w:rPr>
                <w:strike w:val="0"/>
                <w:dstrike w:val="0"/>
                <w:color w:val="auto"/>
                <w:szCs w:val="21"/>
                <w:highlight w:val="none"/>
              </w:rPr>
            </w:pPr>
            <w:r>
              <w:rPr>
                <w:strike w:val="0"/>
                <w:dstrike w:val="0"/>
                <w:color w:val="auto"/>
                <w:szCs w:val="21"/>
                <w:highlight w:val="none"/>
              </w:rPr>
              <w:t>少量</w:t>
            </w:r>
          </w:p>
        </w:tc>
        <w:tc>
          <w:tcPr>
            <w:tcW w:w="1140" w:type="dxa"/>
            <w:vAlign w:val="center"/>
          </w:tcPr>
          <w:p w14:paraId="53154C05">
            <w:pPr>
              <w:jc w:val="center"/>
              <w:rPr>
                <w:strike w:val="0"/>
                <w:dstrike w:val="0"/>
                <w:color w:val="auto"/>
                <w:szCs w:val="21"/>
                <w:highlight w:val="none"/>
              </w:rPr>
            </w:pPr>
            <w:r>
              <w:rPr>
                <w:strike w:val="0"/>
                <w:dstrike w:val="0"/>
                <w:color w:val="auto"/>
                <w:kern w:val="0"/>
                <w:szCs w:val="21"/>
                <w:highlight w:val="none"/>
              </w:rPr>
              <w:t>/</w:t>
            </w:r>
          </w:p>
        </w:tc>
        <w:tc>
          <w:tcPr>
            <w:tcW w:w="1005" w:type="dxa"/>
            <w:shd w:val="clear" w:color="auto" w:fill="auto"/>
            <w:vAlign w:val="center"/>
          </w:tcPr>
          <w:p w14:paraId="69B8E6F8">
            <w:pPr>
              <w:jc w:val="center"/>
              <w:rPr>
                <w:strike w:val="0"/>
                <w:dstrike w:val="0"/>
                <w:color w:val="auto"/>
                <w:szCs w:val="21"/>
                <w:highlight w:val="none"/>
              </w:rPr>
            </w:pPr>
            <w:r>
              <w:rPr>
                <w:strike w:val="0"/>
                <w:dstrike w:val="0"/>
                <w:color w:val="auto"/>
                <w:szCs w:val="21"/>
                <w:highlight w:val="none"/>
              </w:rPr>
              <w:t>/</w:t>
            </w:r>
          </w:p>
        </w:tc>
        <w:tc>
          <w:tcPr>
            <w:tcW w:w="915" w:type="dxa"/>
            <w:vAlign w:val="center"/>
          </w:tcPr>
          <w:p w14:paraId="6C98EA6C">
            <w:pPr>
              <w:jc w:val="center"/>
              <w:rPr>
                <w:strike w:val="0"/>
                <w:dstrike w:val="0"/>
                <w:color w:val="auto"/>
                <w:szCs w:val="21"/>
                <w:highlight w:val="none"/>
              </w:rPr>
            </w:pPr>
            <w:r>
              <w:rPr>
                <w:strike w:val="0"/>
                <w:dstrike w:val="0"/>
                <w:color w:val="auto"/>
                <w:szCs w:val="21"/>
                <w:highlight w:val="none"/>
              </w:rPr>
              <w:t>无组织</w:t>
            </w:r>
          </w:p>
        </w:tc>
        <w:tc>
          <w:tcPr>
            <w:tcW w:w="1635" w:type="dxa"/>
            <w:vAlign w:val="center"/>
          </w:tcPr>
          <w:p w14:paraId="0E0D24D6">
            <w:pPr>
              <w:widowControl/>
              <w:jc w:val="center"/>
              <w:rPr>
                <w:strike w:val="0"/>
                <w:dstrike w:val="0"/>
                <w:color w:val="auto"/>
                <w:kern w:val="0"/>
                <w:szCs w:val="21"/>
                <w:highlight w:val="none"/>
              </w:rPr>
            </w:pPr>
            <w:r>
              <w:rPr>
                <w:strike w:val="0"/>
                <w:dstrike w:val="0"/>
                <w:color w:val="auto"/>
                <w:kern w:val="0"/>
                <w:szCs w:val="21"/>
                <w:highlight w:val="none"/>
              </w:rPr>
              <w:t>/</w:t>
            </w:r>
          </w:p>
        </w:tc>
        <w:tc>
          <w:tcPr>
            <w:tcW w:w="1095" w:type="dxa"/>
            <w:vAlign w:val="center"/>
          </w:tcPr>
          <w:p w14:paraId="0639A20A">
            <w:pPr>
              <w:jc w:val="center"/>
              <w:rPr>
                <w:strike w:val="0"/>
                <w:dstrike w:val="0"/>
                <w:color w:val="auto"/>
                <w:szCs w:val="21"/>
                <w:highlight w:val="none"/>
              </w:rPr>
            </w:pPr>
            <w:r>
              <w:rPr>
                <w:strike w:val="0"/>
                <w:dstrike w:val="0"/>
                <w:color w:val="auto"/>
                <w:kern w:val="0"/>
                <w:szCs w:val="21"/>
                <w:highlight w:val="none"/>
              </w:rPr>
              <w:t>/</w:t>
            </w:r>
          </w:p>
        </w:tc>
        <w:tc>
          <w:tcPr>
            <w:tcW w:w="840" w:type="dxa"/>
            <w:vAlign w:val="center"/>
          </w:tcPr>
          <w:p w14:paraId="425037E0">
            <w:pPr>
              <w:jc w:val="center"/>
              <w:rPr>
                <w:strike w:val="0"/>
                <w:dstrike w:val="0"/>
                <w:color w:val="auto"/>
                <w:szCs w:val="21"/>
                <w:highlight w:val="none"/>
              </w:rPr>
            </w:pPr>
            <w:r>
              <w:rPr>
                <w:strike w:val="0"/>
                <w:dstrike w:val="0"/>
                <w:color w:val="auto"/>
                <w:szCs w:val="21"/>
                <w:highlight w:val="none"/>
              </w:rPr>
              <w:t>是</w:t>
            </w:r>
          </w:p>
        </w:tc>
        <w:tc>
          <w:tcPr>
            <w:tcW w:w="1140" w:type="dxa"/>
            <w:vAlign w:val="center"/>
          </w:tcPr>
          <w:p w14:paraId="3600ADF3">
            <w:pPr>
              <w:jc w:val="center"/>
              <w:rPr>
                <w:strike w:val="0"/>
                <w:dstrike w:val="0"/>
                <w:color w:val="auto"/>
                <w:szCs w:val="21"/>
                <w:highlight w:val="none"/>
              </w:rPr>
            </w:pPr>
            <w:r>
              <w:rPr>
                <w:strike w:val="0"/>
                <w:dstrike w:val="0"/>
                <w:color w:val="auto"/>
                <w:kern w:val="0"/>
                <w:szCs w:val="21"/>
                <w:highlight w:val="none"/>
              </w:rPr>
              <w:t>/</w:t>
            </w:r>
          </w:p>
        </w:tc>
        <w:tc>
          <w:tcPr>
            <w:tcW w:w="920" w:type="dxa"/>
            <w:shd w:val="clear" w:color="auto" w:fill="auto"/>
            <w:vAlign w:val="center"/>
          </w:tcPr>
          <w:p w14:paraId="219C3DC1">
            <w:pPr>
              <w:jc w:val="center"/>
              <w:rPr>
                <w:strike w:val="0"/>
                <w:dstrike w:val="0"/>
                <w:color w:val="auto"/>
                <w:szCs w:val="21"/>
                <w:highlight w:val="none"/>
              </w:rPr>
            </w:pPr>
            <w:r>
              <w:rPr>
                <w:strike w:val="0"/>
                <w:dstrike w:val="0"/>
                <w:color w:val="auto"/>
                <w:szCs w:val="21"/>
                <w:highlight w:val="none"/>
              </w:rPr>
              <w:t>/</w:t>
            </w:r>
          </w:p>
        </w:tc>
        <w:tc>
          <w:tcPr>
            <w:tcW w:w="943" w:type="dxa"/>
            <w:vAlign w:val="center"/>
          </w:tcPr>
          <w:p w14:paraId="098A5436">
            <w:pPr>
              <w:jc w:val="center"/>
              <w:rPr>
                <w:strike w:val="0"/>
                <w:dstrike w:val="0"/>
                <w:color w:val="auto"/>
                <w:szCs w:val="21"/>
                <w:highlight w:val="none"/>
              </w:rPr>
            </w:pPr>
            <w:r>
              <w:rPr>
                <w:strike w:val="0"/>
                <w:dstrike w:val="0"/>
                <w:color w:val="auto"/>
                <w:szCs w:val="21"/>
                <w:highlight w:val="none"/>
              </w:rPr>
              <w:t>/</w:t>
            </w:r>
          </w:p>
        </w:tc>
        <w:tc>
          <w:tcPr>
            <w:tcW w:w="751" w:type="dxa"/>
            <w:vMerge w:val="continue"/>
            <w:vAlign w:val="center"/>
          </w:tcPr>
          <w:p w14:paraId="528E46D3">
            <w:pPr>
              <w:jc w:val="center"/>
              <w:rPr>
                <w:strike w:val="0"/>
                <w:dstrike w:val="0"/>
                <w:color w:val="auto"/>
                <w:szCs w:val="21"/>
                <w:highlight w:val="none"/>
              </w:rPr>
            </w:pPr>
          </w:p>
        </w:tc>
      </w:tr>
    </w:tbl>
    <w:p w14:paraId="2C51A0A7">
      <w:pPr>
        <w:adjustRightInd w:val="0"/>
        <w:jc w:val="center"/>
        <w:textAlignment w:val="baseline"/>
        <w:rPr>
          <w:b/>
          <w:bCs/>
          <w:strike w:val="0"/>
          <w:dstrike w:val="0"/>
          <w:color w:val="auto"/>
          <w:kern w:val="0"/>
          <w:sz w:val="24"/>
          <w:highlight w:val="none"/>
        </w:rPr>
      </w:pPr>
      <w:r>
        <w:rPr>
          <w:b/>
          <w:bCs/>
          <w:strike w:val="0"/>
          <w:dstrike w:val="0"/>
          <w:color w:val="auto"/>
          <w:kern w:val="0"/>
          <w:sz w:val="24"/>
          <w:highlight w:val="none"/>
        </w:rPr>
        <w:t>表4.2-</w:t>
      </w:r>
      <w:r>
        <w:rPr>
          <w:rFonts w:hint="eastAsia"/>
          <w:b/>
          <w:bCs/>
          <w:strike w:val="0"/>
          <w:dstrike w:val="0"/>
          <w:color w:val="auto"/>
          <w:kern w:val="0"/>
          <w:sz w:val="24"/>
          <w:highlight w:val="none"/>
          <w:lang w:val="en-US" w:eastAsia="zh-CN"/>
        </w:rPr>
        <w:t>6</w:t>
      </w:r>
      <w:r>
        <w:rPr>
          <w:b/>
          <w:bCs/>
          <w:strike w:val="0"/>
          <w:dstrike w:val="0"/>
          <w:color w:val="auto"/>
          <w:kern w:val="0"/>
          <w:sz w:val="24"/>
          <w:highlight w:val="none"/>
        </w:rPr>
        <w:t xml:space="preserve">  非正常工况下排放核算表</w:t>
      </w:r>
    </w:p>
    <w:tbl>
      <w:tblPr>
        <w:tblStyle w:val="23"/>
        <w:tblW w:w="14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2213"/>
        <w:gridCol w:w="2141"/>
        <w:gridCol w:w="1650"/>
        <w:gridCol w:w="1669"/>
        <w:gridCol w:w="1275"/>
        <w:gridCol w:w="1009"/>
        <w:gridCol w:w="975"/>
        <w:gridCol w:w="1658"/>
      </w:tblGrid>
      <w:tr w14:paraId="3A86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572" w:type="dxa"/>
            <w:vAlign w:val="center"/>
          </w:tcPr>
          <w:p w14:paraId="1FF3DAC1">
            <w:pPr>
              <w:adjustRightInd w:val="0"/>
              <w:snapToGrid w:val="0"/>
              <w:jc w:val="center"/>
              <w:rPr>
                <w:b/>
                <w:bCs/>
                <w:strike w:val="0"/>
                <w:dstrike w:val="0"/>
                <w:color w:val="auto"/>
                <w:kern w:val="0"/>
                <w:szCs w:val="21"/>
                <w:highlight w:val="none"/>
              </w:rPr>
            </w:pPr>
            <w:r>
              <w:rPr>
                <w:b/>
                <w:strike w:val="0"/>
                <w:dstrike w:val="0"/>
                <w:color w:val="auto"/>
                <w:spacing w:val="-10"/>
                <w:szCs w:val="21"/>
                <w:highlight w:val="none"/>
              </w:rPr>
              <w:t>产污环节</w:t>
            </w:r>
          </w:p>
        </w:tc>
        <w:tc>
          <w:tcPr>
            <w:tcW w:w="2213" w:type="dxa"/>
            <w:shd w:val="clear" w:color="auto" w:fill="auto"/>
            <w:vAlign w:val="center"/>
          </w:tcPr>
          <w:p w14:paraId="5E951E69">
            <w:pPr>
              <w:adjustRightInd w:val="0"/>
              <w:jc w:val="center"/>
              <w:textAlignment w:val="baseline"/>
              <w:rPr>
                <w:b/>
                <w:bCs/>
                <w:strike w:val="0"/>
                <w:dstrike w:val="0"/>
                <w:color w:val="auto"/>
                <w:kern w:val="0"/>
                <w:szCs w:val="21"/>
                <w:highlight w:val="none"/>
              </w:rPr>
            </w:pPr>
            <w:r>
              <w:rPr>
                <w:b/>
                <w:bCs/>
                <w:strike w:val="0"/>
                <w:dstrike w:val="0"/>
                <w:color w:val="auto"/>
                <w:kern w:val="0"/>
                <w:szCs w:val="21"/>
                <w:highlight w:val="none"/>
              </w:rPr>
              <w:t>非正常排放源</w:t>
            </w:r>
          </w:p>
        </w:tc>
        <w:tc>
          <w:tcPr>
            <w:tcW w:w="2141" w:type="dxa"/>
            <w:vAlign w:val="center"/>
          </w:tcPr>
          <w:p w14:paraId="0000DD28">
            <w:pPr>
              <w:adjustRightInd w:val="0"/>
              <w:jc w:val="center"/>
              <w:textAlignment w:val="baseline"/>
              <w:rPr>
                <w:b/>
                <w:bCs/>
                <w:strike w:val="0"/>
                <w:dstrike w:val="0"/>
                <w:color w:val="auto"/>
                <w:kern w:val="0"/>
                <w:szCs w:val="21"/>
                <w:highlight w:val="none"/>
              </w:rPr>
            </w:pPr>
            <w:r>
              <w:rPr>
                <w:b/>
                <w:bCs/>
                <w:strike w:val="0"/>
                <w:dstrike w:val="0"/>
                <w:color w:val="auto"/>
                <w:kern w:val="0"/>
                <w:szCs w:val="21"/>
                <w:highlight w:val="none"/>
              </w:rPr>
              <w:t>非正常排放原因</w:t>
            </w:r>
          </w:p>
        </w:tc>
        <w:tc>
          <w:tcPr>
            <w:tcW w:w="1650" w:type="dxa"/>
            <w:vAlign w:val="center"/>
          </w:tcPr>
          <w:p w14:paraId="6D9AC13B">
            <w:pPr>
              <w:adjustRightInd w:val="0"/>
              <w:jc w:val="center"/>
              <w:textAlignment w:val="baseline"/>
              <w:rPr>
                <w:b/>
                <w:bCs/>
                <w:strike w:val="0"/>
                <w:dstrike w:val="0"/>
                <w:color w:val="auto"/>
                <w:kern w:val="0"/>
                <w:szCs w:val="21"/>
                <w:highlight w:val="none"/>
              </w:rPr>
            </w:pPr>
            <w:r>
              <w:rPr>
                <w:b/>
                <w:bCs/>
                <w:strike w:val="0"/>
                <w:dstrike w:val="0"/>
                <w:color w:val="auto"/>
                <w:kern w:val="0"/>
                <w:szCs w:val="21"/>
                <w:highlight w:val="none"/>
              </w:rPr>
              <w:t>污染物</w:t>
            </w:r>
          </w:p>
        </w:tc>
        <w:tc>
          <w:tcPr>
            <w:tcW w:w="1669" w:type="dxa"/>
            <w:vAlign w:val="center"/>
          </w:tcPr>
          <w:p w14:paraId="340ABD78">
            <w:pPr>
              <w:adjustRightInd w:val="0"/>
              <w:jc w:val="center"/>
              <w:textAlignment w:val="baseline"/>
              <w:rPr>
                <w:b/>
                <w:bCs/>
                <w:strike w:val="0"/>
                <w:dstrike w:val="0"/>
                <w:color w:val="auto"/>
                <w:kern w:val="0"/>
                <w:szCs w:val="21"/>
                <w:highlight w:val="none"/>
              </w:rPr>
            </w:pPr>
            <w:r>
              <w:rPr>
                <w:b/>
                <w:bCs/>
                <w:strike w:val="0"/>
                <w:dstrike w:val="0"/>
                <w:color w:val="auto"/>
                <w:kern w:val="0"/>
                <w:szCs w:val="21"/>
                <w:highlight w:val="none"/>
              </w:rPr>
              <w:t>非正常排放量</w:t>
            </w:r>
            <w:r>
              <w:rPr>
                <w:b/>
                <w:bCs/>
                <w:strike w:val="0"/>
                <w:dstrike w:val="0"/>
                <w:color w:val="auto"/>
                <w:kern w:val="0"/>
                <w:szCs w:val="21"/>
                <w:highlight w:val="none"/>
                <w:lang w:bidi="ar"/>
              </w:rPr>
              <w:t>/(kg/a）</w:t>
            </w:r>
          </w:p>
        </w:tc>
        <w:tc>
          <w:tcPr>
            <w:tcW w:w="1275" w:type="dxa"/>
            <w:vAlign w:val="center"/>
          </w:tcPr>
          <w:p w14:paraId="7C607078">
            <w:pPr>
              <w:adjustRightInd w:val="0"/>
              <w:jc w:val="center"/>
              <w:textAlignment w:val="baseline"/>
              <w:rPr>
                <w:b/>
                <w:bCs/>
                <w:strike w:val="0"/>
                <w:dstrike w:val="0"/>
                <w:color w:val="auto"/>
                <w:kern w:val="0"/>
                <w:szCs w:val="21"/>
                <w:highlight w:val="none"/>
              </w:rPr>
            </w:pPr>
            <w:r>
              <w:rPr>
                <w:b/>
                <w:bCs/>
                <w:strike w:val="0"/>
                <w:dstrike w:val="0"/>
                <w:color w:val="auto"/>
                <w:kern w:val="0"/>
                <w:szCs w:val="21"/>
                <w:highlight w:val="none"/>
              </w:rPr>
              <w:t>非正常排放速率</w:t>
            </w:r>
            <w:r>
              <w:rPr>
                <w:b/>
                <w:bCs/>
                <w:strike w:val="0"/>
                <w:dstrike w:val="0"/>
                <w:color w:val="auto"/>
                <w:kern w:val="0"/>
                <w:szCs w:val="21"/>
                <w:highlight w:val="none"/>
                <w:lang w:bidi="ar"/>
              </w:rPr>
              <w:t>/(kg/h）</w:t>
            </w:r>
          </w:p>
        </w:tc>
        <w:tc>
          <w:tcPr>
            <w:tcW w:w="1009" w:type="dxa"/>
            <w:vAlign w:val="center"/>
          </w:tcPr>
          <w:p w14:paraId="2E8B078F">
            <w:pPr>
              <w:adjustRightInd w:val="0"/>
              <w:jc w:val="center"/>
              <w:textAlignment w:val="baseline"/>
              <w:rPr>
                <w:b/>
                <w:bCs/>
                <w:strike w:val="0"/>
                <w:dstrike w:val="0"/>
                <w:color w:val="auto"/>
                <w:kern w:val="0"/>
                <w:szCs w:val="21"/>
                <w:highlight w:val="none"/>
              </w:rPr>
            </w:pPr>
            <w:r>
              <w:rPr>
                <w:b/>
                <w:bCs/>
                <w:strike w:val="0"/>
                <w:dstrike w:val="0"/>
                <w:color w:val="auto"/>
                <w:kern w:val="0"/>
                <w:szCs w:val="21"/>
                <w:highlight w:val="none"/>
              </w:rPr>
              <w:t>单次持续时间/h</w:t>
            </w:r>
          </w:p>
        </w:tc>
        <w:tc>
          <w:tcPr>
            <w:tcW w:w="975" w:type="dxa"/>
            <w:vAlign w:val="center"/>
          </w:tcPr>
          <w:p w14:paraId="652CDE23">
            <w:pPr>
              <w:adjustRightInd w:val="0"/>
              <w:jc w:val="center"/>
              <w:textAlignment w:val="baseline"/>
              <w:rPr>
                <w:b/>
                <w:bCs/>
                <w:strike w:val="0"/>
                <w:dstrike w:val="0"/>
                <w:color w:val="auto"/>
                <w:kern w:val="0"/>
                <w:szCs w:val="21"/>
                <w:highlight w:val="none"/>
              </w:rPr>
            </w:pPr>
            <w:r>
              <w:rPr>
                <w:b/>
                <w:bCs/>
                <w:strike w:val="0"/>
                <w:dstrike w:val="0"/>
                <w:color w:val="auto"/>
                <w:kern w:val="0"/>
                <w:szCs w:val="21"/>
                <w:highlight w:val="none"/>
              </w:rPr>
              <w:t>年发生频率/次</w:t>
            </w:r>
          </w:p>
        </w:tc>
        <w:tc>
          <w:tcPr>
            <w:tcW w:w="1658" w:type="dxa"/>
            <w:shd w:val="clear" w:color="auto" w:fill="auto"/>
            <w:vAlign w:val="center"/>
          </w:tcPr>
          <w:p w14:paraId="2E41E4A6">
            <w:pPr>
              <w:adjustRightInd w:val="0"/>
              <w:jc w:val="center"/>
              <w:textAlignment w:val="baseline"/>
              <w:rPr>
                <w:b/>
                <w:bCs/>
                <w:strike w:val="0"/>
                <w:dstrike w:val="0"/>
                <w:color w:val="auto"/>
                <w:kern w:val="0"/>
                <w:szCs w:val="21"/>
                <w:highlight w:val="none"/>
              </w:rPr>
            </w:pPr>
            <w:r>
              <w:rPr>
                <w:b/>
                <w:bCs/>
                <w:strike w:val="0"/>
                <w:dstrike w:val="0"/>
                <w:color w:val="auto"/>
                <w:kern w:val="0"/>
                <w:szCs w:val="21"/>
                <w:highlight w:val="none"/>
              </w:rPr>
              <w:t>应对措施</w:t>
            </w:r>
          </w:p>
        </w:tc>
      </w:tr>
      <w:tr w14:paraId="555B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72" w:type="dxa"/>
            <w:vMerge w:val="restart"/>
            <w:vAlign w:val="center"/>
          </w:tcPr>
          <w:p w14:paraId="0B824D91">
            <w:pPr>
              <w:adjustRightInd w:val="0"/>
              <w:jc w:val="center"/>
              <w:textAlignment w:val="baseline"/>
              <w:rPr>
                <w:strike w:val="0"/>
                <w:dstrike w:val="0"/>
                <w:color w:val="auto"/>
                <w:kern w:val="0"/>
                <w:szCs w:val="21"/>
                <w:highlight w:val="none"/>
              </w:rPr>
            </w:pPr>
            <w:r>
              <w:rPr>
                <w:strike w:val="0"/>
                <w:dstrike w:val="0"/>
                <w:color w:val="auto"/>
                <w:szCs w:val="21"/>
                <w:highlight w:val="none"/>
              </w:rPr>
              <w:t>系统超压排放天然气</w:t>
            </w:r>
            <w:r>
              <w:rPr>
                <w:rFonts w:hint="eastAsia"/>
                <w:strike w:val="0"/>
                <w:dstrike w:val="0"/>
                <w:color w:val="auto"/>
                <w:szCs w:val="21"/>
                <w:highlight w:val="none"/>
              </w:rPr>
              <w:t>G6</w:t>
            </w:r>
          </w:p>
        </w:tc>
        <w:tc>
          <w:tcPr>
            <w:tcW w:w="2213" w:type="dxa"/>
            <w:vMerge w:val="restart"/>
            <w:shd w:val="clear" w:color="auto" w:fill="auto"/>
            <w:vAlign w:val="center"/>
          </w:tcPr>
          <w:p w14:paraId="5D5F1092">
            <w:pPr>
              <w:adjustRightInd w:val="0"/>
              <w:jc w:val="center"/>
              <w:textAlignment w:val="baseline"/>
              <w:rPr>
                <w:strike w:val="0"/>
                <w:dstrike w:val="0"/>
                <w:color w:val="auto"/>
                <w:kern w:val="0"/>
                <w:szCs w:val="21"/>
                <w:highlight w:val="none"/>
              </w:rPr>
            </w:pPr>
            <w:r>
              <w:rPr>
                <w:strike w:val="0"/>
                <w:dstrike w:val="0"/>
                <w:color w:val="auto"/>
                <w:szCs w:val="21"/>
                <w:highlight w:val="none"/>
              </w:rPr>
              <w:t>LNG储罐及LNG储罐</w:t>
            </w:r>
            <w:r>
              <w:rPr>
                <w:rFonts w:hint="eastAsia"/>
                <w:strike w:val="0"/>
                <w:dstrike w:val="0"/>
                <w:color w:val="auto"/>
                <w:szCs w:val="21"/>
                <w:highlight w:val="none"/>
              </w:rPr>
              <w:t>增压器</w:t>
            </w:r>
          </w:p>
        </w:tc>
        <w:tc>
          <w:tcPr>
            <w:tcW w:w="2141" w:type="dxa"/>
            <w:vMerge w:val="restart"/>
            <w:vAlign w:val="center"/>
          </w:tcPr>
          <w:p w14:paraId="29A8618B">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压力超过0.75MPa</w:t>
            </w:r>
          </w:p>
        </w:tc>
        <w:tc>
          <w:tcPr>
            <w:tcW w:w="1650" w:type="dxa"/>
            <w:shd w:val="clear" w:color="auto" w:fill="auto"/>
            <w:vAlign w:val="center"/>
          </w:tcPr>
          <w:p w14:paraId="4EA7C0F9">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非甲烷总烃</w:t>
            </w:r>
          </w:p>
        </w:tc>
        <w:tc>
          <w:tcPr>
            <w:tcW w:w="1669" w:type="dxa"/>
            <w:shd w:val="clear" w:color="auto" w:fill="auto"/>
            <w:vAlign w:val="center"/>
          </w:tcPr>
          <w:p w14:paraId="2F79C150">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2.21</w:t>
            </w:r>
          </w:p>
        </w:tc>
        <w:tc>
          <w:tcPr>
            <w:tcW w:w="1275" w:type="dxa"/>
            <w:vAlign w:val="center"/>
          </w:tcPr>
          <w:p w14:paraId="2F68C83C">
            <w:pPr>
              <w:widowControl/>
              <w:jc w:val="center"/>
              <w:textAlignment w:val="center"/>
              <w:rPr>
                <w:strike w:val="0"/>
                <w:dstrike w:val="0"/>
                <w:color w:val="auto"/>
                <w:kern w:val="0"/>
                <w:szCs w:val="21"/>
                <w:highlight w:val="none"/>
              </w:rPr>
            </w:pPr>
            <w:r>
              <w:rPr>
                <w:strike w:val="0"/>
                <w:dstrike w:val="0"/>
                <w:color w:val="auto"/>
                <w:kern w:val="0"/>
                <w:szCs w:val="21"/>
                <w:highlight w:val="none"/>
                <w:lang w:bidi="ar"/>
              </w:rPr>
              <w:t xml:space="preserve">2.22 </w:t>
            </w:r>
          </w:p>
        </w:tc>
        <w:tc>
          <w:tcPr>
            <w:tcW w:w="1009" w:type="dxa"/>
            <w:vMerge w:val="restart"/>
            <w:vAlign w:val="center"/>
          </w:tcPr>
          <w:p w14:paraId="02806763">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0.083</w:t>
            </w:r>
          </w:p>
        </w:tc>
        <w:tc>
          <w:tcPr>
            <w:tcW w:w="975" w:type="dxa"/>
            <w:vMerge w:val="restart"/>
            <w:vAlign w:val="center"/>
          </w:tcPr>
          <w:p w14:paraId="25D40390">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12</w:t>
            </w:r>
          </w:p>
        </w:tc>
        <w:tc>
          <w:tcPr>
            <w:tcW w:w="1658" w:type="dxa"/>
            <w:vMerge w:val="restart"/>
            <w:vAlign w:val="center"/>
          </w:tcPr>
          <w:p w14:paraId="4333B1EA">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由</w:t>
            </w:r>
            <w:r>
              <w:rPr>
                <w:rFonts w:hint="eastAsia"/>
                <w:strike w:val="0"/>
                <w:dstrike w:val="0"/>
                <w:color w:val="auto"/>
                <w:kern w:val="0"/>
                <w:szCs w:val="21"/>
                <w:highlight w:val="none"/>
              </w:rPr>
              <w:t>5</w:t>
            </w:r>
            <w:r>
              <w:rPr>
                <w:strike w:val="0"/>
                <w:dstrike w:val="0"/>
                <w:color w:val="auto"/>
                <w:kern w:val="0"/>
                <w:szCs w:val="21"/>
                <w:highlight w:val="none"/>
              </w:rPr>
              <w:t>m</w:t>
            </w:r>
            <w:r>
              <w:rPr>
                <w:rFonts w:hint="eastAsia"/>
                <w:strike w:val="0"/>
                <w:dstrike w:val="0"/>
                <w:color w:val="auto"/>
                <w:kern w:val="0"/>
                <w:szCs w:val="21"/>
                <w:highlight w:val="none"/>
              </w:rPr>
              <w:t>高</w:t>
            </w:r>
            <w:r>
              <w:rPr>
                <w:strike w:val="0"/>
                <w:dstrike w:val="0"/>
                <w:color w:val="auto"/>
                <w:kern w:val="0"/>
                <w:szCs w:val="21"/>
                <w:highlight w:val="none"/>
              </w:rPr>
              <w:t>的</w:t>
            </w:r>
            <w:r>
              <w:rPr>
                <w:rFonts w:hint="eastAsia"/>
                <w:strike w:val="0"/>
                <w:dstrike w:val="0"/>
                <w:color w:val="auto"/>
                <w:sz w:val="21"/>
                <w:szCs w:val="21"/>
                <w:highlight w:val="none"/>
                <w:lang w:val="en-US" w:eastAsia="zh-CN"/>
              </w:rPr>
              <w:t>放散管</w:t>
            </w:r>
            <w:r>
              <w:rPr>
                <w:strike w:val="0"/>
                <w:dstrike w:val="0"/>
                <w:color w:val="auto"/>
                <w:kern w:val="0"/>
                <w:szCs w:val="21"/>
                <w:highlight w:val="none"/>
              </w:rPr>
              <w:t>排放</w:t>
            </w:r>
          </w:p>
        </w:tc>
      </w:tr>
      <w:tr w14:paraId="2934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72" w:type="dxa"/>
            <w:vMerge w:val="continue"/>
            <w:vAlign w:val="center"/>
          </w:tcPr>
          <w:p w14:paraId="414BE8D9">
            <w:pPr>
              <w:adjustRightInd w:val="0"/>
              <w:jc w:val="center"/>
              <w:textAlignment w:val="baseline"/>
              <w:rPr>
                <w:strike w:val="0"/>
                <w:dstrike w:val="0"/>
                <w:color w:val="auto"/>
                <w:highlight w:val="none"/>
              </w:rPr>
            </w:pPr>
          </w:p>
        </w:tc>
        <w:tc>
          <w:tcPr>
            <w:tcW w:w="2213" w:type="dxa"/>
            <w:vMerge w:val="continue"/>
            <w:shd w:val="clear" w:color="auto" w:fill="auto"/>
            <w:vAlign w:val="center"/>
          </w:tcPr>
          <w:p w14:paraId="418A8D68">
            <w:pPr>
              <w:adjustRightInd w:val="0"/>
              <w:jc w:val="center"/>
              <w:textAlignment w:val="baseline"/>
              <w:rPr>
                <w:strike w:val="0"/>
                <w:dstrike w:val="0"/>
                <w:color w:val="auto"/>
                <w:highlight w:val="none"/>
              </w:rPr>
            </w:pPr>
          </w:p>
        </w:tc>
        <w:tc>
          <w:tcPr>
            <w:tcW w:w="2141" w:type="dxa"/>
            <w:vMerge w:val="continue"/>
            <w:vAlign w:val="center"/>
          </w:tcPr>
          <w:p w14:paraId="23F1C7AB">
            <w:pPr>
              <w:adjustRightInd w:val="0"/>
              <w:jc w:val="center"/>
              <w:textAlignment w:val="baseline"/>
              <w:rPr>
                <w:strike w:val="0"/>
                <w:dstrike w:val="0"/>
                <w:color w:val="auto"/>
                <w:highlight w:val="none"/>
              </w:rPr>
            </w:pPr>
          </w:p>
        </w:tc>
        <w:tc>
          <w:tcPr>
            <w:tcW w:w="1650" w:type="dxa"/>
            <w:shd w:val="clear" w:color="auto" w:fill="auto"/>
            <w:vAlign w:val="center"/>
          </w:tcPr>
          <w:p w14:paraId="374C966C">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甲烷</w:t>
            </w:r>
          </w:p>
        </w:tc>
        <w:tc>
          <w:tcPr>
            <w:tcW w:w="1669" w:type="dxa"/>
            <w:shd w:val="clear" w:color="auto" w:fill="auto"/>
            <w:vAlign w:val="center"/>
          </w:tcPr>
          <w:p w14:paraId="1D620BFE">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69.21</w:t>
            </w:r>
          </w:p>
        </w:tc>
        <w:tc>
          <w:tcPr>
            <w:tcW w:w="1275" w:type="dxa"/>
            <w:vAlign w:val="center"/>
          </w:tcPr>
          <w:p w14:paraId="1876FCB3">
            <w:pPr>
              <w:widowControl/>
              <w:jc w:val="center"/>
              <w:textAlignment w:val="center"/>
              <w:rPr>
                <w:strike w:val="0"/>
                <w:dstrike w:val="0"/>
                <w:color w:val="auto"/>
                <w:kern w:val="0"/>
                <w:szCs w:val="21"/>
                <w:highlight w:val="none"/>
              </w:rPr>
            </w:pPr>
            <w:r>
              <w:rPr>
                <w:strike w:val="0"/>
                <w:dstrike w:val="0"/>
                <w:color w:val="auto"/>
                <w:kern w:val="0"/>
                <w:szCs w:val="21"/>
                <w:highlight w:val="none"/>
                <w:lang w:bidi="ar"/>
              </w:rPr>
              <w:t xml:space="preserve">69.49 </w:t>
            </w:r>
          </w:p>
        </w:tc>
        <w:tc>
          <w:tcPr>
            <w:tcW w:w="1009" w:type="dxa"/>
            <w:vMerge w:val="continue"/>
            <w:vAlign w:val="center"/>
          </w:tcPr>
          <w:p w14:paraId="3F937290">
            <w:pPr>
              <w:adjustRightInd w:val="0"/>
              <w:jc w:val="center"/>
              <w:textAlignment w:val="baseline"/>
              <w:rPr>
                <w:strike w:val="0"/>
                <w:dstrike w:val="0"/>
                <w:color w:val="auto"/>
                <w:kern w:val="0"/>
                <w:szCs w:val="21"/>
                <w:highlight w:val="none"/>
              </w:rPr>
            </w:pPr>
          </w:p>
        </w:tc>
        <w:tc>
          <w:tcPr>
            <w:tcW w:w="975" w:type="dxa"/>
            <w:vMerge w:val="continue"/>
            <w:vAlign w:val="center"/>
          </w:tcPr>
          <w:p w14:paraId="15DF0A65">
            <w:pPr>
              <w:adjustRightInd w:val="0"/>
              <w:jc w:val="center"/>
              <w:textAlignment w:val="baseline"/>
              <w:rPr>
                <w:strike w:val="0"/>
                <w:dstrike w:val="0"/>
                <w:color w:val="auto"/>
                <w:kern w:val="0"/>
                <w:szCs w:val="21"/>
                <w:highlight w:val="none"/>
              </w:rPr>
            </w:pPr>
          </w:p>
        </w:tc>
        <w:tc>
          <w:tcPr>
            <w:tcW w:w="1658" w:type="dxa"/>
            <w:vMerge w:val="continue"/>
            <w:shd w:val="clear" w:color="auto" w:fill="auto"/>
            <w:vAlign w:val="center"/>
          </w:tcPr>
          <w:p w14:paraId="31B439DC">
            <w:pPr>
              <w:adjustRightInd w:val="0"/>
              <w:jc w:val="center"/>
              <w:textAlignment w:val="baseline"/>
              <w:rPr>
                <w:strike w:val="0"/>
                <w:dstrike w:val="0"/>
                <w:color w:val="auto"/>
                <w:kern w:val="0"/>
                <w:szCs w:val="21"/>
                <w:highlight w:val="none"/>
              </w:rPr>
            </w:pPr>
          </w:p>
        </w:tc>
      </w:tr>
      <w:tr w14:paraId="38FF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572" w:type="dxa"/>
            <w:vMerge w:val="restart"/>
            <w:vAlign w:val="center"/>
          </w:tcPr>
          <w:p w14:paraId="09F034B6">
            <w:pPr>
              <w:adjustRightInd w:val="0"/>
              <w:jc w:val="center"/>
              <w:textAlignment w:val="baseline"/>
              <w:rPr>
                <w:strike w:val="0"/>
                <w:dstrike w:val="0"/>
                <w:color w:val="auto"/>
                <w:kern w:val="0"/>
                <w:szCs w:val="21"/>
                <w:highlight w:val="none"/>
              </w:rPr>
            </w:pPr>
            <w:r>
              <w:rPr>
                <w:strike w:val="0"/>
                <w:dstrike w:val="0"/>
                <w:color w:val="auto"/>
                <w:szCs w:val="21"/>
                <w:highlight w:val="none"/>
              </w:rPr>
              <w:t>设备检修废气</w:t>
            </w:r>
            <w:r>
              <w:rPr>
                <w:rFonts w:hint="eastAsia"/>
                <w:strike w:val="0"/>
                <w:dstrike w:val="0"/>
                <w:color w:val="auto"/>
                <w:szCs w:val="21"/>
                <w:highlight w:val="none"/>
              </w:rPr>
              <w:t>G7</w:t>
            </w:r>
          </w:p>
        </w:tc>
        <w:tc>
          <w:tcPr>
            <w:tcW w:w="2213" w:type="dxa"/>
            <w:vMerge w:val="restart"/>
            <w:shd w:val="clear" w:color="auto" w:fill="auto"/>
            <w:vAlign w:val="center"/>
          </w:tcPr>
          <w:p w14:paraId="53F19C33">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LNG工艺区调压撬</w:t>
            </w:r>
          </w:p>
        </w:tc>
        <w:tc>
          <w:tcPr>
            <w:tcW w:w="2141" w:type="dxa"/>
            <w:vMerge w:val="restart"/>
            <w:vAlign w:val="center"/>
          </w:tcPr>
          <w:p w14:paraId="0BA945DD">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设备检修</w:t>
            </w:r>
          </w:p>
        </w:tc>
        <w:tc>
          <w:tcPr>
            <w:tcW w:w="1650" w:type="dxa"/>
            <w:shd w:val="clear" w:color="auto" w:fill="auto"/>
            <w:vAlign w:val="center"/>
          </w:tcPr>
          <w:p w14:paraId="7309A3BB">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非甲烷总烃</w:t>
            </w:r>
          </w:p>
        </w:tc>
        <w:tc>
          <w:tcPr>
            <w:tcW w:w="1669" w:type="dxa"/>
            <w:shd w:val="clear" w:color="auto" w:fill="auto"/>
            <w:vAlign w:val="center"/>
          </w:tcPr>
          <w:p w14:paraId="2105077D">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0.27</w:t>
            </w:r>
          </w:p>
        </w:tc>
        <w:tc>
          <w:tcPr>
            <w:tcW w:w="1275" w:type="dxa"/>
            <w:vAlign w:val="center"/>
          </w:tcPr>
          <w:p w14:paraId="14B36DF3">
            <w:pPr>
              <w:widowControl/>
              <w:jc w:val="center"/>
              <w:textAlignment w:val="center"/>
              <w:rPr>
                <w:strike w:val="0"/>
                <w:dstrike w:val="0"/>
                <w:color w:val="auto"/>
                <w:kern w:val="0"/>
                <w:szCs w:val="21"/>
                <w:highlight w:val="none"/>
              </w:rPr>
            </w:pPr>
            <w:r>
              <w:rPr>
                <w:strike w:val="0"/>
                <w:dstrike w:val="0"/>
                <w:color w:val="auto"/>
                <w:kern w:val="0"/>
                <w:szCs w:val="21"/>
                <w:highlight w:val="none"/>
                <w:lang w:bidi="ar"/>
              </w:rPr>
              <w:t xml:space="preserve">0.023 </w:t>
            </w:r>
          </w:p>
        </w:tc>
        <w:tc>
          <w:tcPr>
            <w:tcW w:w="1009" w:type="dxa"/>
            <w:vMerge w:val="restart"/>
            <w:vAlign w:val="center"/>
          </w:tcPr>
          <w:p w14:paraId="0D49E2E3">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1</w:t>
            </w:r>
          </w:p>
        </w:tc>
        <w:tc>
          <w:tcPr>
            <w:tcW w:w="975" w:type="dxa"/>
            <w:vMerge w:val="restart"/>
            <w:vAlign w:val="center"/>
          </w:tcPr>
          <w:p w14:paraId="29465FC2">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12</w:t>
            </w:r>
          </w:p>
        </w:tc>
        <w:tc>
          <w:tcPr>
            <w:tcW w:w="1658" w:type="dxa"/>
            <w:vMerge w:val="continue"/>
            <w:shd w:val="clear" w:color="auto" w:fill="auto"/>
            <w:vAlign w:val="center"/>
          </w:tcPr>
          <w:p w14:paraId="4ED8C666">
            <w:pPr>
              <w:adjustRightInd w:val="0"/>
              <w:jc w:val="center"/>
              <w:textAlignment w:val="baseline"/>
              <w:rPr>
                <w:strike w:val="0"/>
                <w:dstrike w:val="0"/>
                <w:color w:val="auto"/>
                <w:kern w:val="0"/>
                <w:szCs w:val="21"/>
                <w:highlight w:val="none"/>
              </w:rPr>
            </w:pPr>
          </w:p>
        </w:tc>
      </w:tr>
      <w:tr w14:paraId="6EC9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572" w:type="dxa"/>
            <w:vMerge w:val="continue"/>
            <w:vAlign w:val="center"/>
          </w:tcPr>
          <w:p w14:paraId="427DA57B">
            <w:pPr>
              <w:adjustRightInd w:val="0"/>
              <w:jc w:val="center"/>
              <w:textAlignment w:val="baseline"/>
              <w:rPr>
                <w:strike w:val="0"/>
                <w:dstrike w:val="0"/>
                <w:color w:val="auto"/>
                <w:highlight w:val="none"/>
              </w:rPr>
            </w:pPr>
          </w:p>
        </w:tc>
        <w:tc>
          <w:tcPr>
            <w:tcW w:w="2213" w:type="dxa"/>
            <w:vMerge w:val="continue"/>
            <w:shd w:val="clear" w:color="auto" w:fill="auto"/>
            <w:vAlign w:val="center"/>
          </w:tcPr>
          <w:p w14:paraId="26686B3C">
            <w:pPr>
              <w:adjustRightInd w:val="0"/>
              <w:jc w:val="center"/>
              <w:textAlignment w:val="baseline"/>
              <w:rPr>
                <w:strike w:val="0"/>
                <w:dstrike w:val="0"/>
                <w:color w:val="auto"/>
                <w:highlight w:val="none"/>
              </w:rPr>
            </w:pPr>
          </w:p>
        </w:tc>
        <w:tc>
          <w:tcPr>
            <w:tcW w:w="2141" w:type="dxa"/>
            <w:vMerge w:val="continue"/>
            <w:vAlign w:val="center"/>
          </w:tcPr>
          <w:p w14:paraId="7A227318">
            <w:pPr>
              <w:adjustRightInd w:val="0"/>
              <w:jc w:val="center"/>
              <w:textAlignment w:val="baseline"/>
              <w:rPr>
                <w:strike w:val="0"/>
                <w:dstrike w:val="0"/>
                <w:color w:val="auto"/>
                <w:highlight w:val="none"/>
              </w:rPr>
            </w:pPr>
          </w:p>
        </w:tc>
        <w:tc>
          <w:tcPr>
            <w:tcW w:w="1650" w:type="dxa"/>
            <w:shd w:val="clear" w:color="auto" w:fill="auto"/>
            <w:vAlign w:val="center"/>
          </w:tcPr>
          <w:p w14:paraId="629BDA54">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甲烷</w:t>
            </w:r>
          </w:p>
        </w:tc>
        <w:tc>
          <w:tcPr>
            <w:tcW w:w="1669" w:type="dxa"/>
            <w:shd w:val="clear" w:color="auto" w:fill="auto"/>
            <w:vAlign w:val="center"/>
          </w:tcPr>
          <w:p w14:paraId="4E0BA3E6">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8.31</w:t>
            </w:r>
          </w:p>
        </w:tc>
        <w:tc>
          <w:tcPr>
            <w:tcW w:w="1275" w:type="dxa"/>
            <w:vAlign w:val="center"/>
          </w:tcPr>
          <w:p w14:paraId="21541BB1">
            <w:pPr>
              <w:widowControl/>
              <w:jc w:val="center"/>
              <w:textAlignment w:val="center"/>
              <w:rPr>
                <w:strike w:val="0"/>
                <w:dstrike w:val="0"/>
                <w:color w:val="auto"/>
                <w:kern w:val="0"/>
                <w:szCs w:val="21"/>
                <w:highlight w:val="none"/>
              </w:rPr>
            </w:pPr>
            <w:r>
              <w:rPr>
                <w:strike w:val="0"/>
                <w:dstrike w:val="0"/>
                <w:color w:val="auto"/>
                <w:kern w:val="0"/>
                <w:szCs w:val="21"/>
                <w:highlight w:val="none"/>
                <w:lang w:bidi="ar"/>
              </w:rPr>
              <w:t xml:space="preserve">0.693 </w:t>
            </w:r>
          </w:p>
        </w:tc>
        <w:tc>
          <w:tcPr>
            <w:tcW w:w="1009" w:type="dxa"/>
            <w:vMerge w:val="continue"/>
            <w:vAlign w:val="center"/>
          </w:tcPr>
          <w:p w14:paraId="30EFC110">
            <w:pPr>
              <w:adjustRightInd w:val="0"/>
              <w:jc w:val="center"/>
              <w:textAlignment w:val="baseline"/>
              <w:rPr>
                <w:strike w:val="0"/>
                <w:dstrike w:val="0"/>
                <w:color w:val="auto"/>
                <w:kern w:val="0"/>
                <w:szCs w:val="21"/>
                <w:highlight w:val="none"/>
              </w:rPr>
            </w:pPr>
          </w:p>
        </w:tc>
        <w:tc>
          <w:tcPr>
            <w:tcW w:w="975" w:type="dxa"/>
            <w:vMerge w:val="continue"/>
            <w:vAlign w:val="center"/>
          </w:tcPr>
          <w:p w14:paraId="3BE34548">
            <w:pPr>
              <w:adjustRightInd w:val="0"/>
              <w:jc w:val="center"/>
              <w:textAlignment w:val="baseline"/>
              <w:rPr>
                <w:strike w:val="0"/>
                <w:dstrike w:val="0"/>
                <w:color w:val="auto"/>
                <w:kern w:val="0"/>
                <w:szCs w:val="21"/>
                <w:highlight w:val="none"/>
              </w:rPr>
            </w:pPr>
          </w:p>
        </w:tc>
        <w:tc>
          <w:tcPr>
            <w:tcW w:w="1658" w:type="dxa"/>
            <w:vMerge w:val="continue"/>
            <w:vAlign w:val="center"/>
          </w:tcPr>
          <w:p w14:paraId="1C9BF627">
            <w:pPr>
              <w:adjustRightInd w:val="0"/>
              <w:jc w:val="center"/>
              <w:textAlignment w:val="baseline"/>
              <w:rPr>
                <w:strike w:val="0"/>
                <w:dstrike w:val="0"/>
                <w:color w:val="auto"/>
                <w:kern w:val="0"/>
                <w:szCs w:val="21"/>
                <w:highlight w:val="none"/>
              </w:rPr>
            </w:pPr>
          </w:p>
        </w:tc>
      </w:tr>
    </w:tbl>
    <w:p w14:paraId="77064258">
      <w:pPr>
        <w:rPr>
          <w:strike w:val="0"/>
          <w:dstrike w:val="0"/>
          <w:color w:val="auto"/>
          <w:highlight w:val="none"/>
        </w:rPr>
      </w:pPr>
    </w:p>
    <w:p w14:paraId="3DD0882A">
      <w:pPr>
        <w:pStyle w:val="11"/>
        <w:rPr>
          <w:rFonts w:ascii="Times New Roman" w:hAnsi="Times New Roman"/>
          <w:strike w:val="0"/>
          <w:dstrike w:val="0"/>
          <w:color w:val="auto"/>
          <w:highlight w:val="none"/>
        </w:rPr>
      </w:pPr>
    </w:p>
    <w:p w14:paraId="34D71C03">
      <w:pPr>
        <w:rPr>
          <w:strike w:val="0"/>
          <w:dstrike w:val="0"/>
          <w:color w:val="auto"/>
          <w:highlight w:val="none"/>
        </w:rPr>
        <w:sectPr>
          <w:pgSz w:w="16838" w:h="11906" w:orient="landscape"/>
          <w:pgMar w:top="1803" w:right="1440" w:bottom="1803" w:left="1440" w:header="851" w:footer="992" w:gutter="0"/>
          <w:pgNumType w:fmt="numberInDash"/>
          <w:cols w:space="720" w:num="1"/>
          <w:docGrid w:type="lines" w:linePitch="319" w:charSpace="0"/>
        </w:sectPr>
      </w:pPr>
    </w:p>
    <w:tbl>
      <w:tblPr>
        <w:tblStyle w:val="22"/>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7"/>
      </w:tblGrid>
      <w:tr w14:paraId="2B8D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7" w:hRule="atLeast"/>
          <w:jc w:val="center"/>
        </w:trPr>
        <w:tc>
          <w:tcPr>
            <w:tcW w:w="9367" w:type="dxa"/>
          </w:tcPr>
          <w:p w14:paraId="56AEC4F1">
            <w:pPr>
              <w:pStyle w:val="66"/>
              <w:spacing w:before="159" w:beforeLines="50" w:line="360" w:lineRule="auto"/>
              <w:rPr>
                <w:rFonts w:ascii="Times New Roman" w:cs="Times New Roman"/>
                <w:b/>
                <w:bCs/>
                <w:strike w:val="0"/>
                <w:dstrike w:val="0"/>
                <w:color w:val="auto"/>
                <w:highlight w:val="none"/>
              </w:rPr>
            </w:pPr>
            <w:r>
              <w:rPr>
                <w:rFonts w:ascii="Times New Roman" w:cs="Times New Roman"/>
                <w:b/>
                <w:bCs/>
                <w:strike w:val="0"/>
                <w:dstrike w:val="0"/>
                <w:color w:val="auto"/>
                <w:highlight w:val="none"/>
              </w:rPr>
              <w:t>4.2.1.2 废气达标排放情况及废气处理措施可行性分析</w:t>
            </w:r>
          </w:p>
          <w:p w14:paraId="6BCF4EBD">
            <w:pPr>
              <w:pStyle w:val="66"/>
              <w:spacing w:line="360" w:lineRule="auto"/>
              <w:ind w:firstLine="482" w:firstLineChars="200"/>
              <w:rPr>
                <w:rFonts w:ascii="Times New Roman" w:cs="Times New Roman"/>
                <w:b/>
                <w:bCs/>
                <w:strike w:val="0"/>
                <w:dstrike w:val="0"/>
                <w:color w:val="auto"/>
                <w:highlight w:val="none"/>
              </w:rPr>
            </w:pPr>
            <w:r>
              <w:rPr>
                <w:rFonts w:ascii="Times New Roman" w:cs="Times New Roman"/>
                <w:b/>
                <w:bCs/>
                <w:strike w:val="0"/>
                <w:dstrike w:val="0"/>
                <w:color w:val="auto"/>
                <w:highlight w:val="none"/>
              </w:rPr>
              <w:t>（1）正常工况污染物排放情况及处理措施可行性分析</w:t>
            </w:r>
          </w:p>
          <w:p w14:paraId="5440FE99">
            <w:pPr>
              <w:spacing w:line="360" w:lineRule="auto"/>
              <w:ind w:firstLine="480" w:firstLineChars="200"/>
              <w:jc w:val="both"/>
              <w:rPr>
                <w:strike w:val="0"/>
                <w:dstrike w:val="0"/>
                <w:color w:val="auto"/>
                <w:sz w:val="24"/>
                <w:highlight w:val="none"/>
              </w:rPr>
            </w:pPr>
            <w:r>
              <w:rPr>
                <w:strike w:val="0"/>
                <w:dstrike w:val="0"/>
                <w:color w:val="auto"/>
                <w:sz w:val="24"/>
                <w:highlight w:val="none"/>
              </w:rPr>
              <w:t>项目废气主要为加油卸油过程油气挥发产生的非甲烷总烃</w:t>
            </w:r>
            <w:r>
              <w:rPr>
                <w:rFonts w:hint="eastAsia"/>
                <w:strike w:val="0"/>
                <w:dstrike w:val="0"/>
                <w:color w:val="auto"/>
                <w:sz w:val="24"/>
                <w:highlight w:val="none"/>
                <w:lang w:eastAsia="zh-CN"/>
              </w:rPr>
              <w:t>。</w:t>
            </w:r>
            <w:r>
              <w:rPr>
                <w:strike w:val="0"/>
                <w:dstrike w:val="0"/>
                <w:color w:val="auto"/>
                <w:sz w:val="24"/>
                <w:highlight w:val="none"/>
              </w:rPr>
              <w:t>本项目设置加油、卸油油气回收系统（一次、二次油气回收系统）、在线监控系统。加油站制定油气回收系统管理、操作规程，定期进行检查、维护、维修并记录留档。本项目设置三根通气立管，通气立管高度不低于4m，通气立管设置阻火帽。</w:t>
            </w:r>
            <w:r>
              <w:rPr>
                <w:rFonts w:hint="eastAsia"/>
                <w:strike w:val="0"/>
                <w:dstrike w:val="0"/>
                <w:color w:val="auto"/>
                <w:sz w:val="24"/>
                <w:highlight w:val="none"/>
                <w:lang w:val="en-US" w:eastAsia="zh-CN"/>
              </w:rPr>
              <w:t>本项目</w:t>
            </w:r>
            <w:r>
              <w:rPr>
                <w:strike w:val="0"/>
                <w:dstrike w:val="0"/>
                <w:color w:val="auto"/>
                <w:sz w:val="24"/>
                <w:highlight w:val="none"/>
              </w:rPr>
              <w:t>处理措施均为《排污许可证核发与申请技术规范 储油库、加油站》（HJ1118-2020）中废气治理可行性措施，可有效减少非甲烷总烃的排放，非甲烷总烃排放浓度能满足《加油站大气污染物排放标准》（GB20952-2020）限值要求，实现达标排放。</w:t>
            </w:r>
          </w:p>
          <w:p w14:paraId="15D7E2EA">
            <w:pPr>
              <w:adjustRightInd w:val="0"/>
              <w:snapToGrid w:val="0"/>
              <w:spacing w:line="360" w:lineRule="auto"/>
              <w:ind w:firstLine="482" w:firstLineChars="200"/>
              <w:rPr>
                <w:b/>
                <w:strike w:val="0"/>
                <w:dstrike w:val="0"/>
                <w:color w:val="auto"/>
                <w:sz w:val="24"/>
                <w:highlight w:val="none"/>
              </w:rPr>
            </w:pPr>
            <w:r>
              <w:rPr>
                <w:b/>
                <w:strike w:val="0"/>
                <w:dstrike w:val="0"/>
                <w:color w:val="auto"/>
                <w:sz w:val="24"/>
                <w:highlight w:val="none"/>
              </w:rPr>
              <w:t>（2）非正常工况污染物排放情况</w:t>
            </w:r>
          </w:p>
          <w:p w14:paraId="4959681D">
            <w:pPr>
              <w:spacing w:line="360" w:lineRule="auto"/>
              <w:ind w:firstLine="480" w:firstLineChars="200"/>
              <w:jc w:val="left"/>
              <w:rPr>
                <w:strike w:val="0"/>
                <w:dstrike w:val="0"/>
                <w:color w:val="auto"/>
                <w:sz w:val="24"/>
                <w:highlight w:val="none"/>
              </w:rPr>
            </w:pPr>
            <w:r>
              <w:rPr>
                <w:strike w:val="0"/>
                <w:dstrike w:val="0"/>
                <w:color w:val="auto"/>
                <w:sz w:val="24"/>
                <w:highlight w:val="none"/>
              </w:rPr>
              <w:t>本项目非正常工况废气污染物排放情况详见表4.2-</w:t>
            </w:r>
            <w:r>
              <w:rPr>
                <w:rFonts w:hint="eastAsia"/>
                <w:strike w:val="0"/>
                <w:dstrike w:val="0"/>
                <w:color w:val="auto"/>
                <w:sz w:val="24"/>
                <w:highlight w:val="none"/>
                <w:lang w:val="en-US" w:eastAsia="zh-CN"/>
              </w:rPr>
              <w:t>7</w:t>
            </w:r>
            <w:r>
              <w:rPr>
                <w:strike w:val="0"/>
                <w:dstrike w:val="0"/>
                <w:color w:val="auto"/>
                <w:sz w:val="24"/>
                <w:highlight w:val="none"/>
              </w:rPr>
              <w:t>所示。</w:t>
            </w:r>
          </w:p>
          <w:p w14:paraId="12FB6329">
            <w:pPr>
              <w:adjustRightInd w:val="0"/>
              <w:snapToGrid w:val="0"/>
              <w:spacing w:before="159" w:beforeLines="50"/>
              <w:jc w:val="center"/>
              <w:rPr>
                <w:b/>
                <w:bCs/>
                <w:strike w:val="0"/>
                <w:dstrike w:val="0"/>
                <w:color w:val="auto"/>
                <w:sz w:val="24"/>
                <w:highlight w:val="none"/>
              </w:rPr>
            </w:pPr>
            <w:r>
              <w:rPr>
                <w:b/>
                <w:bCs/>
                <w:strike w:val="0"/>
                <w:dstrike w:val="0"/>
                <w:color w:val="auto"/>
                <w:sz w:val="24"/>
                <w:highlight w:val="none"/>
              </w:rPr>
              <w:t>表</w:t>
            </w:r>
            <w:r>
              <w:rPr>
                <w:rFonts w:eastAsia="TimesNewRomanPS-BoldMT"/>
                <w:b/>
                <w:bCs/>
                <w:strike w:val="0"/>
                <w:dstrike w:val="0"/>
                <w:color w:val="auto"/>
                <w:sz w:val="24"/>
                <w:highlight w:val="none"/>
              </w:rPr>
              <w:t>4.2-</w:t>
            </w:r>
            <w:r>
              <w:rPr>
                <w:rFonts w:hint="eastAsia" w:eastAsia="TimesNewRomanPS-BoldMT"/>
                <w:b/>
                <w:bCs/>
                <w:strike w:val="0"/>
                <w:dstrike w:val="0"/>
                <w:color w:val="auto"/>
                <w:sz w:val="24"/>
                <w:highlight w:val="none"/>
                <w:lang w:val="en-US" w:eastAsia="zh-CN"/>
              </w:rPr>
              <w:t>7</w:t>
            </w:r>
            <w:r>
              <w:rPr>
                <w:rFonts w:eastAsia="TimesNewRomanPS-BoldMT"/>
                <w:b/>
                <w:bCs/>
                <w:strike w:val="0"/>
                <w:dstrike w:val="0"/>
                <w:color w:val="auto"/>
                <w:sz w:val="24"/>
                <w:highlight w:val="none"/>
              </w:rPr>
              <w:t xml:space="preserve">  </w:t>
            </w:r>
            <w:r>
              <w:rPr>
                <w:b/>
                <w:bCs/>
                <w:strike w:val="0"/>
                <w:dstrike w:val="0"/>
                <w:color w:val="auto"/>
                <w:sz w:val="24"/>
                <w:highlight w:val="none"/>
              </w:rPr>
              <w:t>非正常工况大气污染物排放量核算表</w:t>
            </w:r>
          </w:p>
          <w:tbl>
            <w:tblPr>
              <w:tblStyle w:val="23"/>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127"/>
              <w:gridCol w:w="1105"/>
              <w:gridCol w:w="914"/>
              <w:gridCol w:w="995"/>
              <w:gridCol w:w="1023"/>
              <w:gridCol w:w="1009"/>
              <w:gridCol w:w="786"/>
              <w:gridCol w:w="1542"/>
            </w:tblGrid>
            <w:tr w14:paraId="2F08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Align w:val="center"/>
                </w:tcPr>
                <w:p w14:paraId="619FA369">
                  <w:pPr>
                    <w:widowControl/>
                    <w:adjustRightInd w:val="0"/>
                    <w:snapToGrid w:val="0"/>
                    <w:jc w:val="center"/>
                    <w:rPr>
                      <w:b/>
                      <w:strike w:val="0"/>
                      <w:dstrike w:val="0"/>
                      <w:color w:val="auto"/>
                      <w:szCs w:val="21"/>
                      <w:highlight w:val="none"/>
                    </w:rPr>
                  </w:pPr>
                  <w:r>
                    <w:rPr>
                      <w:b/>
                      <w:strike w:val="0"/>
                      <w:dstrike w:val="0"/>
                      <w:color w:val="auto"/>
                      <w:szCs w:val="21"/>
                      <w:highlight w:val="none"/>
                    </w:rPr>
                    <w:t>序号</w:t>
                  </w:r>
                </w:p>
              </w:tc>
              <w:tc>
                <w:tcPr>
                  <w:tcW w:w="1127" w:type="dxa"/>
                  <w:vAlign w:val="center"/>
                </w:tcPr>
                <w:p w14:paraId="4BFB38B2">
                  <w:pPr>
                    <w:widowControl/>
                    <w:adjustRightInd w:val="0"/>
                    <w:snapToGrid w:val="0"/>
                    <w:jc w:val="center"/>
                    <w:rPr>
                      <w:b/>
                      <w:strike w:val="0"/>
                      <w:dstrike w:val="0"/>
                      <w:color w:val="auto"/>
                      <w:szCs w:val="21"/>
                      <w:highlight w:val="none"/>
                    </w:rPr>
                  </w:pPr>
                  <w:r>
                    <w:rPr>
                      <w:b/>
                      <w:strike w:val="0"/>
                      <w:dstrike w:val="0"/>
                      <w:color w:val="auto"/>
                      <w:szCs w:val="21"/>
                      <w:highlight w:val="none"/>
                    </w:rPr>
                    <w:t>污染源</w:t>
                  </w:r>
                </w:p>
              </w:tc>
              <w:tc>
                <w:tcPr>
                  <w:tcW w:w="1105" w:type="dxa"/>
                  <w:vAlign w:val="center"/>
                </w:tcPr>
                <w:p w14:paraId="74BDEE3F">
                  <w:pPr>
                    <w:widowControl/>
                    <w:adjustRightInd w:val="0"/>
                    <w:snapToGrid w:val="0"/>
                    <w:jc w:val="center"/>
                    <w:rPr>
                      <w:b/>
                      <w:strike w:val="0"/>
                      <w:dstrike w:val="0"/>
                      <w:color w:val="auto"/>
                      <w:szCs w:val="21"/>
                      <w:highlight w:val="none"/>
                    </w:rPr>
                  </w:pPr>
                  <w:r>
                    <w:rPr>
                      <w:b/>
                      <w:strike w:val="0"/>
                      <w:dstrike w:val="0"/>
                      <w:color w:val="auto"/>
                      <w:szCs w:val="21"/>
                      <w:highlight w:val="none"/>
                    </w:rPr>
                    <w:t>非正常排放原因</w:t>
                  </w:r>
                </w:p>
              </w:tc>
              <w:tc>
                <w:tcPr>
                  <w:tcW w:w="914" w:type="dxa"/>
                  <w:vAlign w:val="center"/>
                </w:tcPr>
                <w:p w14:paraId="097E8AE2">
                  <w:pPr>
                    <w:widowControl/>
                    <w:adjustRightInd w:val="0"/>
                    <w:snapToGrid w:val="0"/>
                    <w:jc w:val="center"/>
                    <w:rPr>
                      <w:b/>
                      <w:strike w:val="0"/>
                      <w:dstrike w:val="0"/>
                      <w:color w:val="auto"/>
                      <w:szCs w:val="21"/>
                      <w:highlight w:val="none"/>
                    </w:rPr>
                  </w:pPr>
                  <w:r>
                    <w:rPr>
                      <w:b/>
                      <w:strike w:val="0"/>
                      <w:dstrike w:val="0"/>
                      <w:color w:val="auto"/>
                      <w:szCs w:val="21"/>
                      <w:highlight w:val="none"/>
                    </w:rPr>
                    <w:t>污染物</w:t>
                  </w:r>
                </w:p>
              </w:tc>
              <w:tc>
                <w:tcPr>
                  <w:tcW w:w="995" w:type="dxa"/>
                  <w:vAlign w:val="center"/>
                </w:tcPr>
                <w:p w14:paraId="4BA25013">
                  <w:pPr>
                    <w:widowControl/>
                    <w:adjustRightInd w:val="0"/>
                    <w:snapToGrid w:val="0"/>
                    <w:jc w:val="center"/>
                    <w:rPr>
                      <w:b/>
                      <w:strike w:val="0"/>
                      <w:dstrike w:val="0"/>
                      <w:color w:val="auto"/>
                      <w:szCs w:val="21"/>
                      <w:highlight w:val="none"/>
                    </w:rPr>
                  </w:pPr>
                  <w:r>
                    <w:rPr>
                      <w:b/>
                      <w:strike w:val="0"/>
                      <w:dstrike w:val="0"/>
                      <w:color w:val="auto"/>
                      <w:szCs w:val="21"/>
                      <w:highlight w:val="none"/>
                    </w:rPr>
                    <w:t>非正常排放浓度(mg/m</w:t>
                  </w:r>
                  <w:r>
                    <w:rPr>
                      <w:b/>
                      <w:strike w:val="0"/>
                      <w:dstrike w:val="0"/>
                      <w:color w:val="auto"/>
                      <w:szCs w:val="21"/>
                      <w:highlight w:val="none"/>
                      <w:vertAlign w:val="superscript"/>
                    </w:rPr>
                    <w:t>3</w:t>
                  </w:r>
                  <w:r>
                    <w:rPr>
                      <w:b/>
                      <w:strike w:val="0"/>
                      <w:dstrike w:val="0"/>
                      <w:color w:val="auto"/>
                      <w:szCs w:val="21"/>
                      <w:highlight w:val="none"/>
                    </w:rPr>
                    <w:t>)</w:t>
                  </w:r>
                </w:p>
              </w:tc>
              <w:tc>
                <w:tcPr>
                  <w:tcW w:w="1023" w:type="dxa"/>
                  <w:vAlign w:val="center"/>
                </w:tcPr>
                <w:p w14:paraId="43850110">
                  <w:pPr>
                    <w:widowControl/>
                    <w:adjustRightInd w:val="0"/>
                    <w:snapToGrid w:val="0"/>
                    <w:jc w:val="center"/>
                    <w:rPr>
                      <w:b/>
                      <w:strike w:val="0"/>
                      <w:dstrike w:val="0"/>
                      <w:color w:val="auto"/>
                      <w:szCs w:val="21"/>
                      <w:highlight w:val="none"/>
                    </w:rPr>
                  </w:pPr>
                  <w:r>
                    <w:rPr>
                      <w:b/>
                      <w:strike w:val="0"/>
                      <w:dstrike w:val="0"/>
                      <w:color w:val="auto"/>
                      <w:szCs w:val="21"/>
                      <w:highlight w:val="none"/>
                    </w:rPr>
                    <w:t>非正常排放速率(kg/h)</w:t>
                  </w:r>
                </w:p>
              </w:tc>
              <w:tc>
                <w:tcPr>
                  <w:tcW w:w="1009" w:type="dxa"/>
                  <w:vAlign w:val="center"/>
                </w:tcPr>
                <w:p w14:paraId="0BB2FA02">
                  <w:pPr>
                    <w:widowControl/>
                    <w:adjustRightInd w:val="0"/>
                    <w:snapToGrid w:val="0"/>
                    <w:jc w:val="center"/>
                    <w:rPr>
                      <w:b/>
                      <w:strike w:val="0"/>
                      <w:dstrike w:val="0"/>
                      <w:color w:val="auto"/>
                      <w:szCs w:val="21"/>
                      <w:highlight w:val="none"/>
                    </w:rPr>
                  </w:pPr>
                  <w:r>
                    <w:rPr>
                      <w:b/>
                      <w:strike w:val="0"/>
                      <w:dstrike w:val="0"/>
                      <w:color w:val="auto"/>
                      <w:szCs w:val="21"/>
                      <w:highlight w:val="none"/>
                    </w:rPr>
                    <w:t>单次持续时间(h)</w:t>
                  </w:r>
                </w:p>
              </w:tc>
              <w:tc>
                <w:tcPr>
                  <w:tcW w:w="786" w:type="dxa"/>
                  <w:vAlign w:val="center"/>
                </w:tcPr>
                <w:p w14:paraId="50B9CE15">
                  <w:pPr>
                    <w:widowControl/>
                    <w:adjustRightInd w:val="0"/>
                    <w:snapToGrid w:val="0"/>
                    <w:jc w:val="center"/>
                    <w:rPr>
                      <w:b/>
                      <w:strike w:val="0"/>
                      <w:dstrike w:val="0"/>
                      <w:color w:val="auto"/>
                      <w:szCs w:val="21"/>
                      <w:highlight w:val="none"/>
                    </w:rPr>
                  </w:pPr>
                  <w:r>
                    <w:rPr>
                      <w:b/>
                      <w:strike w:val="0"/>
                      <w:dstrike w:val="0"/>
                      <w:color w:val="auto"/>
                      <w:szCs w:val="21"/>
                      <w:highlight w:val="none"/>
                    </w:rPr>
                    <w:t>年发生频次(次)</w:t>
                  </w:r>
                </w:p>
              </w:tc>
              <w:tc>
                <w:tcPr>
                  <w:tcW w:w="1542" w:type="dxa"/>
                  <w:vAlign w:val="center"/>
                </w:tcPr>
                <w:p w14:paraId="43C2F1A8">
                  <w:pPr>
                    <w:widowControl/>
                    <w:adjustRightInd w:val="0"/>
                    <w:snapToGrid w:val="0"/>
                    <w:jc w:val="center"/>
                    <w:rPr>
                      <w:b/>
                      <w:strike w:val="0"/>
                      <w:dstrike w:val="0"/>
                      <w:color w:val="auto"/>
                      <w:szCs w:val="21"/>
                      <w:highlight w:val="none"/>
                    </w:rPr>
                  </w:pPr>
                  <w:r>
                    <w:rPr>
                      <w:b/>
                      <w:strike w:val="0"/>
                      <w:dstrike w:val="0"/>
                      <w:color w:val="auto"/>
                      <w:szCs w:val="21"/>
                      <w:highlight w:val="none"/>
                    </w:rPr>
                    <w:t>应对措施</w:t>
                  </w:r>
                </w:p>
              </w:tc>
            </w:tr>
            <w:tr w14:paraId="39E1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Align w:val="center"/>
                </w:tcPr>
                <w:p w14:paraId="50CCAA8B">
                  <w:pPr>
                    <w:widowControl/>
                    <w:adjustRightInd w:val="0"/>
                    <w:snapToGrid w:val="0"/>
                    <w:jc w:val="center"/>
                    <w:rPr>
                      <w:bCs/>
                      <w:strike w:val="0"/>
                      <w:dstrike w:val="0"/>
                      <w:color w:val="auto"/>
                      <w:szCs w:val="21"/>
                      <w:highlight w:val="none"/>
                    </w:rPr>
                  </w:pPr>
                  <w:r>
                    <w:rPr>
                      <w:bCs/>
                      <w:strike w:val="0"/>
                      <w:dstrike w:val="0"/>
                      <w:color w:val="auto"/>
                      <w:szCs w:val="21"/>
                      <w:highlight w:val="none"/>
                    </w:rPr>
                    <w:t>1</w:t>
                  </w:r>
                </w:p>
              </w:tc>
              <w:tc>
                <w:tcPr>
                  <w:tcW w:w="1127" w:type="dxa"/>
                  <w:vAlign w:val="center"/>
                </w:tcPr>
                <w:p w14:paraId="3B5FB132">
                  <w:pPr>
                    <w:widowControl/>
                    <w:jc w:val="center"/>
                    <w:rPr>
                      <w:b/>
                      <w:strike w:val="0"/>
                      <w:dstrike w:val="0"/>
                      <w:color w:val="auto"/>
                      <w:szCs w:val="21"/>
                      <w:highlight w:val="none"/>
                    </w:rPr>
                  </w:pPr>
                  <w:r>
                    <w:rPr>
                      <w:strike w:val="0"/>
                      <w:dstrike w:val="0"/>
                      <w:color w:val="auto"/>
                      <w:szCs w:val="21"/>
                      <w:highlight w:val="none"/>
                    </w:rPr>
                    <w:t>汽油储罐挥发</w:t>
                  </w:r>
                  <w:r>
                    <w:rPr>
                      <w:rFonts w:eastAsia="TimesNewRomanPSMT"/>
                      <w:strike w:val="0"/>
                      <w:dstrike w:val="0"/>
                      <w:color w:val="auto"/>
                      <w:szCs w:val="21"/>
                      <w:highlight w:val="none"/>
                    </w:rPr>
                    <w:t>-</w:t>
                  </w:r>
                  <w:r>
                    <w:rPr>
                      <w:strike w:val="0"/>
                      <w:dstrike w:val="0"/>
                      <w:color w:val="auto"/>
                      <w:szCs w:val="21"/>
                      <w:highlight w:val="none"/>
                    </w:rPr>
                    <w:t>卸车</w:t>
                  </w:r>
                </w:p>
              </w:tc>
              <w:tc>
                <w:tcPr>
                  <w:tcW w:w="1105" w:type="dxa"/>
                  <w:vAlign w:val="center"/>
                </w:tcPr>
                <w:p w14:paraId="33480FEC">
                  <w:pPr>
                    <w:widowControl/>
                    <w:jc w:val="center"/>
                    <w:rPr>
                      <w:b/>
                      <w:strike w:val="0"/>
                      <w:dstrike w:val="0"/>
                      <w:color w:val="auto"/>
                      <w:szCs w:val="21"/>
                      <w:highlight w:val="none"/>
                    </w:rPr>
                  </w:pPr>
                  <w:r>
                    <w:rPr>
                      <w:strike w:val="0"/>
                      <w:dstrike w:val="0"/>
                      <w:color w:val="auto"/>
                      <w:szCs w:val="21"/>
                      <w:highlight w:val="none"/>
                    </w:rPr>
                    <w:t>卸油油气回收系统故障</w:t>
                  </w:r>
                </w:p>
              </w:tc>
              <w:tc>
                <w:tcPr>
                  <w:tcW w:w="914" w:type="dxa"/>
                  <w:vAlign w:val="center"/>
                </w:tcPr>
                <w:p w14:paraId="697F2425">
                  <w:pPr>
                    <w:widowControl/>
                    <w:jc w:val="center"/>
                    <w:rPr>
                      <w:b/>
                      <w:strike w:val="0"/>
                      <w:dstrike w:val="0"/>
                      <w:color w:val="auto"/>
                      <w:szCs w:val="21"/>
                      <w:highlight w:val="none"/>
                    </w:rPr>
                  </w:pPr>
                  <w:r>
                    <w:rPr>
                      <w:strike w:val="0"/>
                      <w:dstrike w:val="0"/>
                      <w:color w:val="auto"/>
                      <w:szCs w:val="21"/>
                      <w:highlight w:val="none"/>
                    </w:rPr>
                    <w:t>非甲烷总烃</w:t>
                  </w:r>
                </w:p>
              </w:tc>
              <w:tc>
                <w:tcPr>
                  <w:tcW w:w="995" w:type="dxa"/>
                  <w:vAlign w:val="center"/>
                </w:tcPr>
                <w:p w14:paraId="2F03BFF8">
                  <w:pPr>
                    <w:widowControl/>
                    <w:adjustRightInd w:val="0"/>
                    <w:snapToGrid w:val="0"/>
                    <w:jc w:val="center"/>
                    <w:rPr>
                      <w:bCs/>
                      <w:strike w:val="0"/>
                      <w:dstrike w:val="0"/>
                      <w:color w:val="auto"/>
                      <w:szCs w:val="21"/>
                      <w:highlight w:val="none"/>
                    </w:rPr>
                  </w:pPr>
                  <w:r>
                    <w:rPr>
                      <w:bCs/>
                      <w:strike w:val="0"/>
                      <w:dstrike w:val="0"/>
                      <w:color w:val="auto"/>
                      <w:szCs w:val="21"/>
                      <w:highlight w:val="none"/>
                    </w:rPr>
                    <w:t>/</w:t>
                  </w:r>
                </w:p>
              </w:tc>
              <w:tc>
                <w:tcPr>
                  <w:tcW w:w="1023" w:type="dxa"/>
                  <w:shd w:val="clear" w:color="auto" w:fill="auto"/>
                  <w:vAlign w:val="center"/>
                </w:tcPr>
                <w:p w14:paraId="5774918C">
                  <w:pPr>
                    <w:widowControl/>
                    <w:adjustRightInd w:val="0"/>
                    <w:snapToGrid w:val="0"/>
                    <w:jc w:val="center"/>
                    <w:rPr>
                      <w:bCs/>
                      <w:strike w:val="0"/>
                      <w:dstrike w:val="0"/>
                      <w:color w:val="auto"/>
                      <w:szCs w:val="21"/>
                      <w:highlight w:val="none"/>
                    </w:rPr>
                  </w:pPr>
                  <w:r>
                    <w:rPr>
                      <w:bCs/>
                      <w:strike w:val="0"/>
                      <w:dstrike w:val="0"/>
                      <w:color w:val="auto"/>
                      <w:szCs w:val="21"/>
                      <w:highlight w:val="none"/>
                    </w:rPr>
                    <w:t>/</w:t>
                  </w:r>
                </w:p>
              </w:tc>
              <w:tc>
                <w:tcPr>
                  <w:tcW w:w="1009" w:type="dxa"/>
                  <w:vAlign w:val="center"/>
                </w:tcPr>
                <w:p w14:paraId="18F1737C">
                  <w:pPr>
                    <w:widowControl/>
                    <w:adjustRightInd w:val="0"/>
                    <w:snapToGrid w:val="0"/>
                    <w:jc w:val="center"/>
                    <w:rPr>
                      <w:bCs/>
                      <w:strike w:val="0"/>
                      <w:dstrike w:val="0"/>
                      <w:color w:val="auto"/>
                      <w:szCs w:val="21"/>
                      <w:highlight w:val="none"/>
                    </w:rPr>
                  </w:pPr>
                  <w:r>
                    <w:rPr>
                      <w:bCs/>
                      <w:strike w:val="0"/>
                      <w:dstrike w:val="0"/>
                      <w:color w:val="auto"/>
                      <w:szCs w:val="21"/>
                      <w:highlight w:val="none"/>
                    </w:rPr>
                    <w:t>1</w:t>
                  </w:r>
                </w:p>
              </w:tc>
              <w:tc>
                <w:tcPr>
                  <w:tcW w:w="786" w:type="dxa"/>
                  <w:vAlign w:val="center"/>
                </w:tcPr>
                <w:p w14:paraId="13E334F4">
                  <w:pPr>
                    <w:widowControl/>
                    <w:adjustRightInd w:val="0"/>
                    <w:snapToGrid w:val="0"/>
                    <w:jc w:val="center"/>
                    <w:rPr>
                      <w:bCs/>
                      <w:strike w:val="0"/>
                      <w:dstrike w:val="0"/>
                      <w:color w:val="auto"/>
                      <w:szCs w:val="21"/>
                      <w:highlight w:val="none"/>
                    </w:rPr>
                  </w:pPr>
                  <w:r>
                    <w:rPr>
                      <w:bCs/>
                      <w:strike w:val="0"/>
                      <w:dstrike w:val="0"/>
                      <w:color w:val="auto"/>
                      <w:szCs w:val="21"/>
                      <w:highlight w:val="none"/>
                    </w:rPr>
                    <w:t>小概率</w:t>
                  </w:r>
                </w:p>
              </w:tc>
              <w:tc>
                <w:tcPr>
                  <w:tcW w:w="1542" w:type="dxa"/>
                  <w:vAlign w:val="center"/>
                </w:tcPr>
                <w:p w14:paraId="2E3DC16D">
                  <w:pPr>
                    <w:widowControl/>
                    <w:jc w:val="center"/>
                    <w:rPr>
                      <w:b/>
                      <w:strike w:val="0"/>
                      <w:dstrike w:val="0"/>
                      <w:color w:val="auto"/>
                      <w:szCs w:val="21"/>
                      <w:highlight w:val="none"/>
                    </w:rPr>
                  </w:pPr>
                  <w:r>
                    <w:rPr>
                      <w:strike w:val="0"/>
                      <w:dstrike w:val="0"/>
                      <w:color w:val="auto"/>
                      <w:szCs w:val="21"/>
                      <w:highlight w:val="none"/>
                    </w:rPr>
                    <w:t>卸油完后对卸油油气回收系统进行检修</w:t>
                  </w:r>
                </w:p>
              </w:tc>
            </w:tr>
            <w:tr w14:paraId="217A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Align w:val="center"/>
                </w:tcPr>
                <w:p w14:paraId="3918DB77">
                  <w:pPr>
                    <w:widowControl/>
                    <w:adjustRightInd w:val="0"/>
                    <w:snapToGrid w:val="0"/>
                    <w:jc w:val="center"/>
                    <w:rPr>
                      <w:bCs/>
                      <w:strike w:val="0"/>
                      <w:dstrike w:val="0"/>
                      <w:color w:val="auto"/>
                      <w:szCs w:val="21"/>
                      <w:highlight w:val="none"/>
                    </w:rPr>
                  </w:pPr>
                  <w:r>
                    <w:rPr>
                      <w:bCs/>
                      <w:strike w:val="0"/>
                      <w:dstrike w:val="0"/>
                      <w:color w:val="auto"/>
                      <w:szCs w:val="21"/>
                      <w:highlight w:val="none"/>
                    </w:rPr>
                    <w:t>2</w:t>
                  </w:r>
                </w:p>
              </w:tc>
              <w:tc>
                <w:tcPr>
                  <w:tcW w:w="1127" w:type="dxa"/>
                  <w:vAlign w:val="center"/>
                </w:tcPr>
                <w:p w14:paraId="4ED3627F">
                  <w:pPr>
                    <w:widowControl/>
                    <w:jc w:val="center"/>
                    <w:rPr>
                      <w:b/>
                      <w:strike w:val="0"/>
                      <w:dstrike w:val="0"/>
                      <w:color w:val="auto"/>
                      <w:szCs w:val="21"/>
                      <w:highlight w:val="none"/>
                    </w:rPr>
                  </w:pPr>
                  <w:r>
                    <w:rPr>
                      <w:strike w:val="0"/>
                      <w:dstrike w:val="0"/>
                      <w:color w:val="auto"/>
                      <w:szCs w:val="21"/>
                      <w:highlight w:val="none"/>
                    </w:rPr>
                    <w:t>汽油加油枪挥发</w:t>
                  </w:r>
                </w:p>
              </w:tc>
              <w:tc>
                <w:tcPr>
                  <w:tcW w:w="1105" w:type="dxa"/>
                  <w:vAlign w:val="center"/>
                </w:tcPr>
                <w:p w14:paraId="2E57F61D">
                  <w:pPr>
                    <w:widowControl/>
                    <w:jc w:val="center"/>
                    <w:rPr>
                      <w:b/>
                      <w:strike w:val="0"/>
                      <w:dstrike w:val="0"/>
                      <w:color w:val="auto"/>
                      <w:szCs w:val="21"/>
                      <w:highlight w:val="none"/>
                    </w:rPr>
                  </w:pPr>
                  <w:r>
                    <w:rPr>
                      <w:strike w:val="0"/>
                      <w:dstrike w:val="0"/>
                      <w:color w:val="auto"/>
                      <w:szCs w:val="21"/>
                      <w:highlight w:val="none"/>
                    </w:rPr>
                    <w:t>加油油气回收系统故障</w:t>
                  </w:r>
                </w:p>
              </w:tc>
              <w:tc>
                <w:tcPr>
                  <w:tcW w:w="914" w:type="dxa"/>
                  <w:vAlign w:val="center"/>
                </w:tcPr>
                <w:p w14:paraId="410EB4DC">
                  <w:pPr>
                    <w:widowControl/>
                    <w:jc w:val="center"/>
                    <w:rPr>
                      <w:b/>
                      <w:strike w:val="0"/>
                      <w:dstrike w:val="0"/>
                      <w:color w:val="auto"/>
                      <w:szCs w:val="21"/>
                      <w:highlight w:val="none"/>
                    </w:rPr>
                  </w:pPr>
                  <w:r>
                    <w:rPr>
                      <w:strike w:val="0"/>
                      <w:dstrike w:val="0"/>
                      <w:color w:val="auto"/>
                      <w:szCs w:val="21"/>
                      <w:highlight w:val="none"/>
                    </w:rPr>
                    <w:t>非甲烷总烃</w:t>
                  </w:r>
                </w:p>
              </w:tc>
              <w:tc>
                <w:tcPr>
                  <w:tcW w:w="995" w:type="dxa"/>
                  <w:vAlign w:val="center"/>
                </w:tcPr>
                <w:p w14:paraId="23636670">
                  <w:pPr>
                    <w:widowControl/>
                    <w:adjustRightInd w:val="0"/>
                    <w:snapToGrid w:val="0"/>
                    <w:jc w:val="center"/>
                    <w:rPr>
                      <w:bCs/>
                      <w:strike w:val="0"/>
                      <w:dstrike w:val="0"/>
                      <w:color w:val="auto"/>
                      <w:szCs w:val="21"/>
                      <w:highlight w:val="none"/>
                    </w:rPr>
                  </w:pPr>
                  <w:r>
                    <w:rPr>
                      <w:bCs/>
                      <w:strike w:val="0"/>
                      <w:dstrike w:val="0"/>
                      <w:color w:val="auto"/>
                      <w:szCs w:val="21"/>
                      <w:highlight w:val="none"/>
                    </w:rPr>
                    <w:t>/</w:t>
                  </w:r>
                </w:p>
              </w:tc>
              <w:tc>
                <w:tcPr>
                  <w:tcW w:w="1023" w:type="dxa"/>
                  <w:shd w:val="clear" w:color="auto" w:fill="auto"/>
                  <w:vAlign w:val="center"/>
                </w:tcPr>
                <w:p w14:paraId="7697EB0E">
                  <w:pPr>
                    <w:widowControl/>
                    <w:adjustRightInd w:val="0"/>
                    <w:snapToGrid w:val="0"/>
                    <w:jc w:val="center"/>
                    <w:rPr>
                      <w:bCs/>
                      <w:strike w:val="0"/>
                      <w:dstrike w:val="0"/>
                      <w:color w:val="auto"/>
                      <w:szCs w:val="21"/>
                      <w:highlight w:val="none"/>
                    </w:rPr>
                  </w:pPr>
                  <w:r>
                    <w:rPr>
                      <w:bCs/>
                      <w:strike w:val="0"/>
                      <w:dstrike w:val="0"/>
                      <w:color w:val="auto"/>
                      <w:szCs w:val="21"/>
                      <w:highlight w:val="none"/>
                    </w:rPr>
                    <w:t>/</w:t>
                  </w:r>
                </w:p>
              </w:tc>
              <w:tc>
                <w:tcPr>
                  <w:tcW w:w="1009" w:type="dxa"/>
                  <w:vAlign w:val="center"/>
                </w:tcPr>
                <w:p w14:paraId="22FD005D">
                  <w:pPr>
                    <w:widowControl/>
                    <w:adjustRightInd w:val="0"/>
                    <w:snapToGrid w:val="0"/>
                    <w:jc w:val="center"/>
                    <w:rPr>
                      <w:bCs/>
                      <w:strike w:val="0"/>
                      <w:dstrike w:val="0"/>
                      <w:color w:val="auto"/>
                      <w:szCs w:val="21"/>
                      <w:highlight w:val="none"/>
                    </w:rPr>
                  </w:pPr>
                  <w:r>
                    <w:rPr>
                      <w:bCs/>
                      <w:strike w:val="0"/>
                      <w:dstrike w:val="0"/>
                      <w:color w:val="auto"/>
                      <w:szCs w:val="21"/>
                      <w:highlight w:val="none"/>
                    </w:rPr>
                    <w:t>1</w:t>
                  </w:r>
                </w:p>
              </w:tc>
              <w:tc>
                <w:tcPr>
                  <w:tcW w:w="786" w:type="dxa"/>
                  <w:shd w:val="clear" w:color="auto" w:fill="auto"/>
                  <w:vAlign w:val="center"/>
                </w:tcPr>
                <w:p w14:paraId="318C68AB">
                  <w:pPr>
                    <w:widowControl/>
                    <w:adjustRightInd w:val="0"/>
                    <w:snapToGrid w:val="0"/>
                    <w:jc w:val="center"/>
                    <w:rPr>
                      <w:bCs/>
                      <w:strike w:val="0"/>
                      <w:dstrike w:val="0"/>
                      <w:color w:val="auto"/>
                      <w:szCs w:val="21"/>
                      <w:highlight w:val="none"/>
                    </w:rPr>
                  </w:pPr>
                  <w:r>
                    <w:rPr>
                      <w:bCs/>
                      <w:strike w:val="0"/>
                      <w:dstrike w:val="0"/>
                      <w:color w:val="auto"/>
                      <w:szCs w:val="21"/>
                      <w:highlight w:val="none"/>
                    </w:rPr>
                    <w:t>小概率</w:t>
                  </w:r>
                </w:p>
              </w:tc>
              <w:tc>
                <w:tcPr>
                  <w:tcW w:w="1542" w:type="dxa"/>
                  <w:vAlign w:val="center"/>
                </w:tcPr>
                <w:p w14:paraId="24812320">
                  <w:pPr>
                    <w:widowControl/>
                    <w:jc w:val="center"/>
                    <w:rPr>
                      <w:b/>
                      <w:strike w:val="0"/>
                      <w:dstrike w:val="0"/>
                      <w:color w:val="auto"/>
                      <w:szCs w:val="21"/>
                      <w:highlight w:val="none"/>
                    </w:rPr>
                  </w:pPr>
                  <w:r>
                    <w:rPr>
                      <w:strike w:val="0"/>
                      <w:dstrike w:val="0"/>
                      <w:color w:val="auto"/>
                      <w:szCs w:val="21"/>
                      <w:highlight w:val="none"/>
                    </w:rPr>
                    <w:t>暂停加油，对加油油气回收系统进行检修</w:t>
                  </w:r>
                </w:p>
              </w:tc>
            </w:tr>
            <w:tr w14:paraId="1737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53" w:type="dxa"/>
                  <w:vMerge w:val="restart"/>
                  <w:vAlign w:val="center"/>
                </w:tcPr>
                <w:p w14:paraId="7E82219F">
                  <w:pPr>
                    <w:widowControl/>
                    <w:adjustRightInd w:val="0"/>
                    <w:snapToGrid w:val="0"/>
                    <w:jc w:val="center"/>
                    <w:rPr>
                      <w:bCs/>
                      <w:strike w:val="0"/>
                      <w:dstrike w:val="0"/>
                      <w:color w:val="auto"/>
                      <w:szCs w:val="21"/>
                      <w:highlight w:val="none"/>
                    </w:rPr>
                  </w:pPr>
                  <w:r>
                    <w:rPr>
                      <w:bCs/>
                      <w:strike w:val="0"/>
                      <w:dstrike w:val="0"/>
                      <w:color w:val="auto"/>
                      <w:szCs w:val="21"/>
                      <w:highlight w:val="none"/>
                    </w:rPr>
                    <w:t>3</w:t>
                  </w:r>
                </w:p>
              </w:tc>
              <w:tc>
                <w:tcPr>
                  <w:tcW w:w="1127" w:type="dxa"/>
                  <w:vMerge w:val="restart"/>
                  <w:shd w:val="clear" w:color="auto" w:fill="auto"/>
                  <w:vAlign w:val="center"/>
                </w:tcPr>
                <w:p w14:paraId="21EA106E">
                  <w:pPr>
                    <w:adjustRightInd w:val="0"/>
                    <w:jc w:val="center"/>
                    <w:textAlignment w:val="baseline"/>
                    <w:rPr>
                      <w:strike w:val="0"/>
                      <w:dstrike w:val="0"/>
                      <w:color w:val="auto"/>
                      <w:kern w:val="0"/>
                      <w:szCs w:val="21"/>
                      <w:highlight w:val="none"/>
                    </w:rPr>
                  </w:pPr>
                  <w:r>
                    <w:rPr>
                      <w:strike w:val="0"/>
                      <w:dstrike w:val="0"/>
                      <w:color w:val="auto"/>
                      <w:szCs w:val="21"/>
                      <w:highlight w:val="none"/>
                    </w:rPr>
                    <w:t>LNG储罐及LNG储罐</w:t>
                  </w:r>
                  <w:r>
                    <w:rPr>
                      <w:rFonts w:hint="eastAsia"/>
                      <w:strike w:val="0"/>
                      <w:dstrike w:val="0"/>
                      <w:color w:val="auto"/>
                      <w:szCs w:val="21"/>
                      <w:highlight w:val="none"/>
                    </w:rPr>
                    <w:t>增压器</w:t>
                  </w:r>
                </w:p>
              </w:tc>
              <w:tc>
                <w:tcPr>
                  <w:tcW w:w="1105" w:type="dxa"/>
                  <w:vMerge w:val="restart"/>
                  <w:shd w:val="clear" w:color="auto" w:fill="auto"/>
                  <w:vAlign w:val="center"/>
                </w:tcPr>
                <w:p w14:paraId="68E2EE1A">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压力超过0.75MPa</w:t>
                  </w:r>
                </w:p>
              </w:tc>
              <w:tc>
                <w:tcPr>
                  <w:tcW w:w="914" w:type="dxa"/>
                  <w:shd w:val="clear" w:color="auto" w:fill="auto"/>
                  <w:vAlign w:val="center"/>
                </w:tcPr>
                <w:p w14:paraId="7FD8EB85">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非甲烷总烃</w:t>
                  </w:r>
                </w:p>
              </w:tc>
              <w:tc>
                <w:tcPr>
                  <w:tcW w:w="995" w:type="dxa"/>
                  <w:vAlign w:val="center"/>
                </w:tcPr>
                <w:p w14:paraId="639E7183">
                  <w:pPr>
                    <w:widowControl/>
                    <w:adjustRightInd w:val="0"/>
                    <w:snapToGrid w:val="0"/>
                    <w:jc w:val="center"/>
                    <w:rPr>
                      <w:bCs/>
                      <w:strike w:val="0"/>
                      <w:dstrike w:val="0"/>
                      <w:color w:val="auto"/>
                      <w:szCs w:val="21"/>
                      <w:highlight w:val="none"/>
                    </w:rPr>
                  </w:pPr>
                  <w:r>
                    <w:rPr>
                      <w:bCs/>
                      <w:strike w:val="0"/>
                      <w:dstrike w:val="0"/>
                      <w:color w:val="auto"/>
                      <w:szCs w:val="21"/>
                      <w:highlight w:val="none"/>
                    </w:rPr>
                    <w:t>/</w:t>
                  </w:r>
                </w:p>
              </w:tc>
              <w:tc>
                <w:tcPr>
                  <w:tcW w:w="1023" w:type="dxa"/>
                  <w:shd w:val="clear" w:color="auto" w:fill="auto"/>
                  <w:vAlign w:val="center"/>
                </w:tcPr>
                <w:p w14:paraId="01EF2DDF">
                  <w:pPr>
                    <w:widowControl/>
                    <w:jc w:val="center"/>
                    <w:textAlignment w:val="center"/>
                    <w:rPr>
                      <w:strike w:val="0"/>
                      <w:dstrike w:val="0"/>
                      <w:color w:val="auto"/>
                      <w:kern w:val="0"/>
                      <w:szCs w:val="21"/>
                      <w:highlight w:val="none"/>
                    </w:rPr>
                  </w:pPr>
                  <w:r>
                    <w:rPr>
                      <w:strike w:val="0"/>
                      <w:dstrike w:val="0"/>
                      <w:color w:val="auto"/>
                      <w:kern w:val="0"/>
                      <w:szCs w:val="21"/>
                      <w:highlight w:val="none"/>
                      <w:lang w:bidi="ar"/>
                    </w:rPr>
                    <w:t xml:space="preserve">2.22 </w:t>
                  </w:r>
                </w:p>
              </w:tc>
              <w:tc>
                <w:tcPr>
                  <w:tcW w:w="1009" w:type="dxa"/>
                  <w:vMerge w:val="restart"/>
                  <w:vAlign w:val="center"/>
                </w:tcPr>
                <w:p w14:paraId="27E30B33">
                  <w:pPr>
                    <w:adjustRightInd w:val="0"/>
                    <w:jc w:val="center"/>
                    <w:textAlignment w:val="baseline"/>
                    <w:rPr>
                      <w:bCs/>
                      <w:strike w:val="0"/>
                      <w:dstrike w:val="0"/>
                      <w:color w:val="auto"/>
                      <w:szCs w:val="21"/>
                      <w:highlight w:val="none"/>
                    </w:rPr>
                  </w:pPr>
                  <w:r>
                    <w:rPr>
                      <w:strike w:val="0"/>
                      <w:dstrike w:val="0"/>
                      <w:color w:val="auto"/>
                      <w:kern w:val="0"/>
                      <w:szCs w:val="21"/>
                      <w:highlight w:val="none"/>
                    </w:rPr>
                    <w:t>0.083</w:t>
                  </w:r>
                </w:p>
              </w:tc>
              <w:tc>
                <w:tcPr>
                  <w:tcW w:w="786" w:type="dxa"/>
                  <w:vMerge w:val="restart"/>
                  <w:shd w:val="clear" w:color="auto" w:fill="auto"/>
                  <w:vAlign w:val="center"/>
                </w:tcPr>
                <w:p w14:paraId="78C62547">
                  <w:pPr>
                    <w:adjustRightInd w:val="0"/>
                    <w:jc w:val="center"/>
                    <w:textAlignment w:val="baseline"/>
                    <w:rPr>
                      <w:bCs/>
                      <w:strike w:val="0"/>
                      <w:dstrike w:val="0"/>
                      <w:color w:val="auto"/>
                      <w:szCs w:val="21"/>
                      <w:highlight w:val="none"/>
                    </w:rPr>
                  </w:pPr>
                  <w:r>
                    <w:rPr>
                      <w:strike w:val="0"/>
                      <w:dstrike w:val="0"/>
                      <w:color w:val="auto"/>
                      <w:kern w:val="0"/>
                      <w:szCs w:val="21"/>
                      <w:highlight w:val="none"/>
                    </w:rPr>
                    <w:t>12</w:t>
                  </w:r>
                </w:p>
              </w:tc>
              <w:tc>
                <w:tcPr>
                  <w:tcW w:w="1542" w:type="dxa"/>
                  <w:vMerge w:val="restart"/>
                  <w:vAlign w:val="center"/>
                </w:tcPr>
                <w:p w14:paraId="5E37918B">
                  <w:pPr>
                    <w:adjustRightInd w:val="0"/>
                    <w:jc w:val="center"/>
                    <w:textAlignment w:val="baseline"/>
                    <w:rPr>
                      <w:strike w:val="0"/>
                      <w:dstrike w:val="0"/>
                      <w:color w:val="auto"/>
                      <w:szCs w:val="21"/>
                      <w:highlight w:val="none"/>
                    </w:rPr>
                  </w:pPr>
                  <w:r>
                    <w:rPr>
                      <w:strike w:val="0"/>
                      <w:dstrike w:val="0"/>
                      <w:color w:val="auto"/>
                      <w:kern w:val="0"/>
                      <w:szCs w:val="21"/>
                      <w:highlight w:val="none"/>
                    </w:rPr>
                    <w:t>由</w:t>
                  </w:r>
                  <w:r>
                    <w:rPr>
                      <w:rFonts w:hint="eastAsia"/>
                      <w:strike w:val="0"/>
                      <w:dstrike w:val="0"/>
                      <w:color w:val="auto"/>
                      <w:kern w:val="0"/>
                      <w:szCs w:val="21"/>
                      <w:highlight w:val="none"/>
                    </w:rPr>
                    <w:t>5</w:t>
                  </w:r>
                  <w:r>
                    <w:rPr>
                      <w:strike w:val="0"/>
                      <w:dstrike w:val="0"/>
                      <w:color w:val="auto"/>
                      <w:kern w:val="0"/>
                      <w:szCs w:val="21"/>
                      <w:highlight w:val="none"/>
                    </w:rPr>
                    <w:t>m</w:t>
                  </w:r>
                  <w:r>
                    <w:rPr>
                      <w:rFonts w:hint="eastAsia"/>
                      <w:strike w:val="0"/>
                      <w:dstrike w:val="0"/>
                      <w:color w:val="auto"/>
                      <w:kern w:val="0"/>
                      <w:szCs w:val="21"/>
                      <w:highlight w:val="none"/>
                    </w:rPr>
                    <w:t>高</w:t>
                  </w:r>
                  <w:r>
                    <w:rPr>
                      <w:strike w:val="0"/>
                      <w:dstrike w:val="0"/>
                      <w:color w:val="auto"/>
                      <w:kern w:val="0"/>
                      <w:szCs w:val="21"/>
                      <w:highlight w:val="none"/>
                    </w:rPr>
                    <w:t>的</w:t>
                  </w:r>
                  <w:r>
                    <w:rPr>
                      <w:rFonts w:hint="eastAsia"/>
                      <w:strike w:val="0"/>
                      <w:dstrike w:val="0"/>
                      <w:color w:val="auto"/>
                      <w:sz w:val="21"/>
                      <w:szCs w:val="21"/>
                      <w:highlight w:val="none"/>
                      <w:lang w:val="en-US" w:eastAsia="zh-CN"/>
                    </w:rPr>
                    <w:t>放散管</w:t>
                  </w:r>
                  <w:r>
                    <w:rPr>
                      <w:strike w:val="0"/>
                      <w:dstrike w:val="0"/>
                      <w:color w:val="auto"/>
                      <w:kern w:val="0"/>
                      <w:szCs w:val="21"/>
                      <w:highlight w:val="none"/>
                    </w:rPr>
                    <w:t>排放</w:t>
                  </w:r>
                </w:p>
              </w:tc>
            </w:tr>
            <w:tr w14:paraId="047D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Merge w:val="continue"/>
                  <w:vAlign w:val="center"/>
                </w:tcPr>
                <w:p w14:paraId="1430B6E9">
                  <w:pPr>
                    <w:widowControl/>
                    <w:adjustRightInd w:val="0"/>
                    <w:snapToGrid w:val="0"/>
                    <w:jc w:val="center"/>
                    <w:rPr>
                      <w:bCs/>
                      <w:strike w:val="0"/>
                      <w:dstrike w:val="0"/>
                      <w:color w:val="auto"/>
                      <w:szCs w:val="21"/>
                      <w:highlight w:val="none"/>
                    </w:rPr>
                  </w:pPr>
                </w:p>
              </w:tc>
              <w:tc>
                <w:tcPr>
                  <w:tcW w:w="1127" w:type="dxa"/>
                  <w:vMerge w:val="continue"/>
                  <w:vAlign w:val="center"/>
                </w:tcPr>
                <w:p w14:paraId="7F4453BC">
                  <w:pPr>
                    <w:widowControl/>
                    <w:jc w:val="center"/>
                    <w:rPr>
                      <w:strike w:val="0"/>
                      <w:dstrike w:val="0"/>
                      <w:color w:val="auto"/>
                      <w:szCs w:val="21"/>
                      <w:highlight w:val="none"/>
                    </w:rPr>
                  </w:pPr>
                </w:p>
              </w:tc>
              <w:tc>
                <w:tcPr>
                  <w:tcW w:w="1105" w:type="dxa"/>
                  <w:vMerge w:val="continue"/>
                </w:tcPr>
                <w:p w14:paraId="38DA47BD">
                  <w:pPr>
                    <w:widowControl/>
                    <w:jc w:val="center"/>
                    <w:rPr>
                      <w:strike w:val="0"/>
                      <w:dstrike w:val="0"/>
                      <w:color w:val="auto"/>
                      <w:szCs w:val="21"/>
                      <w:highlight w:val="none"/>
                    </w:rPr>
                  </w:pPr>
                </w:p>
              </w:tc>
              <w:tc>
                <w:tcPr>
                  <w:tcW w:w="914" w:type="dxa"/>
                  <w:shd w:val="clear" w:color="auto" w:fill="auto"/>
                  <w:vAlign w:val="center"/>
                </w:tcPr>
                <w:p w14:paraId="4FE1CE03">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甲烷</w:t>
                  </w:r>
                </w:p>
              </w:tc>
              <w:tc>
                <w:tcPr>
                  <w:tcW w:w="995" w:type="dxa"/>
                  <w:vAlign w:val="center"/>
                </w:tcPr>
                <w:p w14:paraId="35784574">
                  <w:pPr>
                    <w:widowControl/>
                    <w:adjustRightInd w:val="0"/>
                    <w:snapToGrid w:val="0"/>
                    <w:jc w:val="center"/>
                    <w:rPr>
                      <w:bCs/>
                      <w:strike w:val="0"/>
                      <w:dstrike w:val="0"/>
                      <w:color w:val="auto"/>
                      <w:szCs w:val="21"/>
                      <w:highlight w:val="none"/>
                    </w:rPr>
                  </w:pPr>
                  <w:r>
                    <w:rPr>
                      <w:bCs/>
                      <w:strike w:val="0"/>
                      <w:dstrike w:val="0"/>
                      <w:color w:val="auto"/>
                      <w:szCs w:val="21"/>
                      <w:highlight w:val="none"/>
                    </w:rPr>
                    <w:t>/</w:t>
                  </w:r>
                </w:p>
              </w:tc>
              <w:tc>
                <w:tcPr>
                  <w:tcW w:w="1023" w:type="dxa"/>
                  <w:shd w:val="clear" w:color="auto" w:fill="auto"/>
                  <w:vAlign w:val="center"/>
                </w:tcPr>
                <w:p w14:paraId="004E64B6">
                  <w:pPr>
                    <w:widowControl/>
                    <w:jc w:val="center"/>
                    <w:textAlignment w:val="center"/>
                    <w:rPr>
                      <w:strike w:val="0"/>
                      <w:dstrike w:val="0"/>
                      <w:color w:val="auto"/>
                      <w:kern w:val="0"/>
                      <w:szCs w:val="21"/>
                      <w:highlight w:val="none"/>
                    </w:rPr>
                  </w:pPr>
                  <w:r>
                    <w:rPr>
                      <w:strike w:val="0"/>
                      <w:dstrike w:val="0"/>
                      <w:color w:val="auto"/>
                      <w:kern w:val="0"/>
                      <w:szCs w:val="21"/>
                      <w:highlight w:val="none"/>
                      <w:lang w:bidi="ar"/>
                    </w:rPr>
                    <w:t xml:space="preserve">69.49 </w:t>
                  </w:r>
                </w:p>
              </w:tc>
              <w:tc>
                <w:tcPr>
                  <w:tcW w:w="1009" w:type="dxa"/>
                  <w:vMerge w:val="continue"/>
                </w:tcPr>
                <w:p w14:paraId="10D6B823">
                  <w:pPr>
                    <w:widowControl/>
                    <w:adjustRightInd w:val="0"/>
                    <w:snapToGrid w:val="0"/>
                    <w:jc w:val="center"/>
                    <w:rPr>
                      <w:bCs/>
                      <w:strike w:val="0"/>
                      <w:dstrike w:val="0"/>
                      <w:color w:val="auto"/>
                      <w:szCs w:val="21"/>
                      <w:highlight w:val="none"/>
                    </w:rPr>
                  </w:pPr>
                </w:p>
              </w:tc>
              <w:tc>
                <w:tcPr>
                  <w:tcW w:w="786" w:type="dxa"/>
                  <w:vMerge w:val="continue"/>
                </w:tcPr>
                <w:p w14:paraId="232DD9B7">
                  <w:pPr>
                    <w:widowControl/>
                    <w:adjustRightInd w:val="0"/>
                    <w:snapToGrid w:val="0"/>
                    <w:jc w:val="center"/>
                    <w:rPr>
                      <w:bCs/>
                      <w:strike w:val="0"/>
                      <w:dstrike w:val="0"/>
                      <w:color w:val="auto"/>
                      <w:szCs w:val="21"/>
                      <w:highlight w:val="none"/>
                    </w:rPr>
                  </w:pPr>
                </w:p>
              </w:tc>
              <w:tc>
                <w:tcPr>
                  <w:tcW w:w="1542" w:type="dxa"/>
                  <w:vMerge w:val="continue"/>
                </w:tcPr>
                <w:p w14:paraId="51639BA0">
                  <w:pPr>
                    <w:widowControl/>
                    <w:jc w:val="center"/>
                    <w:rPr>
                      <w:strike w:val="0"/>
                      <w:dstrike w:val="0"/>
                      <w:color w:val="auto"/>
                      <w:szCs w:val="21"/>
                      <w:highlight w:val="none"/>
                    </w:rPr>
                  </w:pPr>
                </w:p>
              </w:tc>
            </w:tr>
            <w:tr w14:paraId="4E6C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53" w:type="dxa"/>
                  <w:vMerge w:val="restart"/>
                  <w:vAlign w:val="center"/>
                </w:tcPr>
                <w:p w14:paraId="3612E19D">
                  <w:pPr>
                    <w:widowControl/>
                    <w:adjustRightInd w:val="0"/>
                    <w:snapToGrid w:val="0"/>
                    <w:jc w:val="center"/>
                    <w:rPr>
                      <w:bCs/>
                      <w:strike w:val="0"/>
                      <w:dstrike w:val="0"/>
                      <w:color w:val="auto"/>
                      <w:szCs w:val="21"/>
                      <w:highlight w:val="none"/>
                    </w:rPr>
                  </w:pPr>
                  <w:r>
                    <w:rPr>
                      <w:bCs/>
                      <w:strike w:val="0"/>
                      <w:dstrike w:val="0"/>
                      <w:color w:val="auto"/>
                      <w:szCs w:val="21"/>
                      <w:highlight w:val="none"/>
                    </w:rPr>
                    <w:t>4</w:t>
                  </w:r>
                </w:p>
              </w:tc>
              <w:tc>
                <w:tcPr>
                  <w:tcW w:w="1127" w:type="dxa"/>
                  <w:vMerge w:val="restart"/>
                  <w:shd w:val="clear" w:color="auto" w:fill="auto"/>
                  <w:vAlign w:val="center"/>
                </w:tcPr>
                <w:p w14:paraId="7C50FD41">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LNG工艺区调压撬</w:t>
                  </w:r>
                </w:p>
              </w:tc>
              <w:tc>
                <w:tcPr>
                  <w:tcW w:w="1105" w:type="dxa"/>
                  <w:vMerge w:val="restart"/>
                  <w:shd w:val="clear" w:color="auto" w:fill="auto"/>
                  <w:vAlign w:val="center"/>
                </w:tcPr>
                <w:p w14:paraId="5630DF2B">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设备检修</w:t>
                  </w:r>
                </w:p>
              </w:tc>
              <w:tc>
                <w:tcPr>
                  <w:tcW w:w="914" w:type="dxa"/>
                  <w:shd w:val="clear" w:color="auto" w:fill="auto"/>
                  <w:vAlign w:val="center"/>
                </w:tcPr>
                <w:p w14:paraId="4E85EECF">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非甲烷总烃</w:t>
                  </w:r>
                </w:p>
              </w:tc>
              <w:tc>
                <w:tcPr>
                  <w:tcW w:w="995" w:type="dxa"/>
                  <w:vAlign w:val="center"/>
                </w:tcPr>
                <w:p w14:paraId="4DA82436">
                  <w:pPr>
                    <w:widowControl/>
                    <w:adjustRightInd w:val="0"/>
                    <w:snapToGrid w:val="0"/>
                    <w:jc w:val="center"/>
                    <w:rPr>
                      <w:bCs/>
                      <w:strike w:val="0"/>
                      <w:dstrike w:val="0"/>
                      <w:color w:val="auto"/>
                      <w:szCs w:val="21"/>
                      <w:highlight w:val="none"/>
                    </w:rPr>
                  </w:pPr>
                  <w:r>
                    <w:rPr>
                      <w:bCs/>
                      <w:strike w:val="0"/>
                      <w:dstrike w:val="0"/>
                      <w:color w:val="auto"/>
                      <w:szCs w:val="21"/>
                      <w:highlight w:val="none"/>
                    </w:rPr>
                    <w:t>/</w:t>
                  </w:r>
                </w:p>
              </w:tc>
              <w:tc>
                <w:tcPr>
                  <w:tcW w:w="1023" w:type="dxa"/>
                  <w:shd w:val="clear" w:color="auto" w:fill="auto"/>
                  <w:vAlign w:val="center"/>
                </w:tcPr>
                <w:p w14:paraId="61E48303">
                  <w:pPr>
                    <w:widowControl/>
                    <w:jc w:val="center"/>
                    <w:textAlignment w:val="center"/>
                    <w:rPr>
                      <w:strike w:val="0"/>
                      <w:dstrike w:val="0"/>
                      <w:color w:val="auto"/>
                      <w:kern w:val="0"/>
                      <w:szCs w:val="21"/>
                      <w:highlight w:val="none"/>
                    </w:rPr>
                  </w:pPr>
                  <w:r>
                    <w:rPr>
                      <w:strike w:val="0"/>
                      <w:dstrike w:val="0"/>
                      <w:color w:val="auto"/>
                      <w:kern w:val="0"/>
                      <w:szCs w:val="21"/>
                      <w:highlight w:val="none"/>
                      <w:lang w:bidi="ar"/>
                    </w:rPr>
                    <w:t xml:space="preserve">0.023 </w:t>
                  </w:r>
                </w:p>
              </w:tc>
              <w:tc>
                <w:tcPr>
                  <w:tcW w:w="1009" w:type="dxa"/>
                  <w:vMerge w:val="restart"/>
                  <w:vAlign w:val="center"/>
                </w:tcPr>
                <w:p w14:paraId="09ACB525">
                  <w:pPr>
                    <w:adjustRightInd w:val="0"/>
                    <w:jc w:val="center"/>
                    <w:textAlignment w:val="baseline"/>
                    <w:rPr>
                      <w:bCs/>
                      <w:strike w:val="0"/>
                      <w:dstrike w:val="0"/>
                      <w:color w:val="auto"/>
                      <w:szCs w:val="21"/>
                      <w:highlight w:val="none"/>
                    </w:rPr>
                  </w:pPr>
                  <w:r>
                    <w:rPr>
                      <w:strike w:val="0"/>
                      <w:dstrike w:val="0"/>
                      <w:color w:val="auto"/>
                      <w:kern w:val="0"/>
                      <w:szCs w:val="21"/>
                      <w:highlight w:val="none"/>
                    </w:rPr>
                    <w:t>1</w:t>
                  </w:r>
                </w:p>
              </w:tc>
              <w:tc>
                <w:tcPr>
                  <w:tcW w:w="786" w:type="dxa"/>
                  <w:vMerge w:val="restart"/>
                  <w:vAlign w:val="center"/>
                </w:tcPr>
                <w:p w14:paraId="4EA1BF84">
                  <w:pPr>
                    <w:adjustRightInd w:val="0"/>
                    <w:jc w:val="center"/>
                    <w:textAlignment w:val="baseline"/>
                    <w:rPr>
                      <w:bCs/>
                      <w:strike w:val="0"/>
                      <w:dstrike w:val="0"/>
                      <w:color w:val="auto"/>
                      <w:szCs w:val="21"/>
                      <w:highlight w:val="none"/>
                    </w:rPr>
                  </w:pPr>
                  <w:r>
                    <w:rPr>
                      <w:strike w:val="0"/>
                      <w:dstrike w:val="0"/>
                      <w:color w:val="auto"/>
                      <w:kern w:val="0"/>
                      <w:szCs w:val="21"/>
                      <w:highlight w:val="none"/>
                    </w:rPr>
                    <w:t>12</w:t>
                  </w:r>
                </w:p>
              </w:tc>
              <w:tc>
                <w:tcPr>
                  <w:tcW w:w="1542" w:type="dxa"/>
                  <w:vMerge w:val="restart"/>
                  <w:vAlign w:val="center"/>
                </w:tcPr>
                <w:p w14:paraId="65FEB648">
                  <w:pPr>
                    <w:adjustRightInd w:val="0"/>
                    <w:jc w:val="center"/>
                    <w:textAlignment w:val="baseline"/>
                    <w:rPr>
                      <w:strike w:val="0"/>
                      <w:dstrike w:val="0"/>
                      <w:color w:val="auto"/>
                      <w:szCs w:val="21"/>
                      <w:highlight w:val="none"/>
                    </w:rPr>
                  </w:pPr>
                  <w:r>
                    <w:rPr>
                      <w:strike w:val="0"/>
                      <w:dstrike w:val="0"/>
                      <w:color w:val="auto"/>
                      <w:kern w:val="0"/>
                      <w:szCs w:val="21"/>
                      <w:highlight w:val="none"/>
                    </w:rPr>
                    <w:t>由</w:t>
                  </w:r>
                  <w:r>
                    <w:rPr>
                      <w:rFonts w:hint="eastAsia"/>
                      <w:strike w:val="0"/>
                      <w:dstrike w:val="0"/>
                      <w:color w:val="auto"/>
                      <w:kern w:val="0"/>
                      <w:szCs w:val="21"/>
                      <w:highlight w:val="none"/>
                    </w:rPr>
                    <w:t>5m高的</w:t>
                  </w:r>
                  <w:r>
                    <w:rPr>
                      <w:rFonts w:hint="eastAsia"/>
                      <w:strike w:val="0"/>
                      <w:dstrike w:val="0"/>
                      <w:color w:val="auto"/>
                      <w:sz w:val="21"/>
                      <w:szCs w:val="21"/>
                      <w:highlight w:val="none"/>
                      <w:lang w:val="en-US" w:eastAsia="zh-CN"/>
                    </w:rPr>
                    <w:t>放散管</w:t>
                  </w:r>
                  <w:r>
                    <w:rPr>
                      <w:strike w:val="0"/>
                      <w:dstrike w:val="0"/>
                      <w:color w:val="auto"/>
                      <w:kern w:val="0"/>
                      <w:szCs w:val="21"/>
                      <w:highlight w:val="none"/>
                    </w:rPr>
                    <w:t>排放</w:t>
                  </w:r>
                </w:p>
              </w:tc>
            </w:tr>
            <w:tr w14:paraId="4285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vMerge w:val="continue"/>
                </w:tcPr>
                <w:p w14:paraId="702A98A4">
                  <w:pPr>
                    <w:widowControl/>
                    <w:adjustRightInd w:val="0"/>
                    <w:snapToGrid w:val="0"/>
                    <w:jc w:val="center"/>
                    <w:rPr>
                      <w:bCs/>
                      <w:strike w:val="0"/>
                      <w:dstrike w:val="0"/>
                      <w:color w:val="auto"/>
                      <w:szCs w:val="21"/>
                      <w:highlight w:val="none"/>
                    </w:rPr>
                  </w:pPr>
                </w:p>
              </w:tc>
              <w:tc>
                <w:tcPr>
                  <w:tcW w:w="1127" w:type="dxa"/>
                  <w:vMerge w:val="continue"/>
                </w:tcPr>
                <w:p w14:paraId="6C5AFCFD">
                  <w:pPr>
                    <w:adjustRightInd w:val="0"/>
                    <w:jc w:val="center"/>
                    <w:textAlignment w:val="baseline"/>
                    <w:rPr>
                      <w:strike w:val="0"/>
                      <w:dstrike w:val="0"/>
                      <w:color w:val="auto"/>
                      <w:kern w:val="0"/>
                      <w:szCs w:val="21"/>
                      <w:highlight w:val="none"/>
                    </w:rPr>
                  </w:pPr>
                </w:p>
              </w:tc>
              <w:tc>
                <w:tcPr>
                  <w:tcW w:w="1105" w:type="dxa"/>
                  <w:vMerge w:val="continue"/>
                </w:tcPr>
                <w:p w14:paraId="214C0AF5">
                  <w:pPr>
                    <w:adjustRightInd w:val="0"/>
                    <w:jc w:val="center"/>
                    <w:textAlignment w:val="baseline"/>
                    <w:rPr>
                      <w:strike w:val="0"/>
                      <w:dstrike w:val="0"/>
                      <w:color w:val="auto"/>
                      <w:kern w:val="0"/>
                      <w:szCs w:val="21"/>
                      <w:highlight w:val="none"/>
                    </w:rPr>
                  </w:pPr>
                </w:p>
              </w:tc>
              <w:tc>
                <w:tcPr>
                  <w:tcW w:w="914" w:type="dxa"/>
                  <w:shd w:val="clear" w:color="auto" w:fill="auto"/>
                  <w:vAlign w:val="center"/>
                </w:tcPr>
                <w:p w14:paraId="71484575">
                  <w:pPr>
                    <w:adjustRightInd w:val="0"/>
                    <w:jc w:val="center"/>
                    <w:textAlignment w:val="baseline"/>
                    <w:rPr>
                      <w:strike w:val="0"/>
                      <w:dstrike w:val="0"/>
                      <w:color w:val="auto"/>
                      <w:kern w:val="0"/>
                      <w:szCs w:val="21"/>
                      <w:highlight w:val="none"/>
                    </w:rPr>
                  </w:pPr>
                  <w:r>
                    <w:rPr>
                      <w:strike w:val="0"/>
                      <w:dstrike w:val="0"/>
                      <w:color w:val="auto"/>
                      <w:kern w:val="0"/>
                      <w:szCs w:val="21"/>
                      <w:highlight w:val="none"/>
                    </w:rPr>
                    <w:t>甲烷</w:t>
                  </w:r>
                </w:p>
              </w:tc>
              <w:tc>
                <w:tcPr>
                  <w:tcW w:w="995" w:type="dxa"/>
                  <w:vAlign w:val="center"/>
                </w:tcPr>
                <w:p w14:paraId="23BD54D4">
                  <w:pPr>
                    <w:widowControl/>
                    <w:adjustRightInd w:val="0"/>
                    <w:snapToGrid w:val="0"/>
                    <w:jc w:val="center"/>
                    <w:rPr>
                      <w:bCs/>
                      <w:strike w:val="0"/>
                      <w:dstrike w:val="0"/>
                      <w:color w:val="auto"/>
                      <w:szCs w:val="21"/>
                      <w:highlight w:val="none"/>
                    </w:rPr>
                  </w:pPr>
                  <w:r>
                    <w:rPr>
                      <w:bCs/>
                      <w:strike w:val="0"/>
                      <w:dstrike w:val="0"/>
                      <w:color w:val="auto"/>
                      <w:szCs w:val="21"/>
                      <w:highlight w:val="none"/>
                    </w:rPr>
                    <w:t>/</w:t>
                  </w:r>
                </w:p>
              </w:tc>
              <w:tc>
                <w:tcPr>
                  <w:tcW w:w="1023" w:type="dxa"/>
                  <w:shd w:val="clear" w:color="auto" w:fill="auto"/>
                  <w:vAlign w:val="center"/>
                </w:tcPr>
                <w:p w14:paraId="532AEC9C">
                  <w:pPr>
                    <w:widowControl/>
                    <w:jc w:val="center"/>
                    <w:textAlignment w:val="center"/>
                    <w:rPr>
                      <w:strike w:val="0"/>
                      <w:dstrike w:val="0"/>
                      <w:color w:val="auto"/>
                      <w:kern w:val="0"/>
                      <w:szCs w:val="21"/>
                      <w:highlight w:val="none"/>
                    </w:rPr>
                  </w:pPr>
                  <w:r>
                    <w:rPr>
                      <w:strike w:val="0"/>
                      <w:dstrike w:val="0"/>
                      <w:color w:val="auto"/>
                      <w:kern w:val="0"/>
                      <w:szCs w:val="21"/>
                      <w:highlight w:val="none"/>
                      <w:lang w:bidi="ar"/>
                    </w:rPr>
                    <w:t xml:space="preserve">0.693 </w:t>
                  </w:r>
                </w:p>
              </w:tc>
              <w:tc>
                <w:tcPr>
                  <w:tcW w:w="1009" w:type="dxa"/>
                  <w:vMerge w:val="continue"/>
                </w:tcPr>
                <w:p w14:paraId="4D69F5D7">
                  <w:pPr>
                    <w:widowControl/>
                    <w:adjustRightInd w:val="0"/>
                    <w:snapToGrid w:val="0"/>
                    <w:jc w:val="center"/>
                    <w:rPr>
                      <w:bCs/>
                      <w:strike w:val="0"/>
                      <w:dstrike w:val="0"/>
                      <w:color w:val="auto"/>
                      <w:szCs w:val="21"/>
                      <w:highlight w:val="none"/>
                    </w:rPr>
                  </w:pPr>
                </w:p>
              </w:tc>
              <w:tc>
                <w:tcPr>
                  <w:tcW w:w="786" w:type="dxa"/>
                  <w:vMerge w:val="continue"/>
                </w:tcPr>
                <w:p w14:paraId="6CF527E3">
                  <w:pPr>
                    <w:widowControl/>
                    <w:adjustRightInd w:val="0"/>
                    <w:snapToGrid w:val="0"/>
                    <w:jc w:val="center"/>
                    <w:rPr>
                      <w:bCs/>
                      <w:strike w:val="0"/>
                      <w:dstrike w:val="0"/>
                      <w:color w:val="auto"/>
                      <w:szCs w:val="21"/>
                      <w:highlight w:val="none"/>
                    </w:rPr>
                  </w:pPr>
                </w:p>
              </w:tc>
              <w:tc>
                <w:tcPr>
                  <w:tcW w:w="1542" w:type="dxa"/>
                  <w:vMerge w:val="continue"/>
                </w:tcPr>
                <w:p w14:paraId="4E51AA5B">
                  <w:pPr>
                    <w:widowControl/>
                    <w:jc w:val="center"/>
                    <w:rPr>
                      <w:strike w:val="0"/>
                      <w:dstrike w:val="0"/>
                      <w:color w:val="auto"/>
                      <w:szCs w:val="21"/>
                      <w:highlight w:val="none"/>
                    </w:rPr>
                  </w:pPr>
                </w:p>
              </w:tc>
            </w:tr>
          </w:tbl>
          <w:p w14:paraId="19F3CFDE">
            <w:pPr>
              <w:pStyle w:val="66"/>
              <w:spacing w:line="360" w:lineRule="auto"/>
              <w:rPr>
                <w:rFonts w:ascii="Times New Roman" w:cs="Times New Roman"/>
                <w:b/>
                <w:strike w:val="0"/>
                <w:dstrike w:val="0"/>
                <w:color w:val="auto"/>
                <w:highlight w:val="none"/>
              </w:rPr>
            </w:pPr>
            <w:r>
              <w:rPr>
                <w:rFonts w:ascii="Times New Roman" w:cs="Times New Roman"/>
                <w:b/>
                <w:strike w:val="0"/>
                <w:dstrike w:val="0"/>
                <w:color w:val="auto"/>
                <w:highlight w:val="none"/>
              </w:rPr>
              <w:t>（3）废气环境影响分析结论</w:t>
            </w:r>
          </w:p>
          <w:p w14:paraId="53EAC1D2">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本项目所在地属于环境空气二类区，现状监测点处特征污染因子均满足相关空气标准要求，项目所在地具有一定的环境容量可接纳本项目特征污染物的排放。项目周边</w:t>
            </w:r>
            <w:r>
              <w:rPr>
                <w:rFonts w:eastAsia="TimesNewRomanPSMT"/>
                <w:strike w:val="0"/>
                <w:dstrike w:val="0"/>
                <w:color w:val="auto"/>
                <w:sz w:val="24"/>
                <w:szCs w:val="32"/>
                <w:highlight w:val="none"/>
              </w:rPr>
              <w:t xml:space="preserve">500m </w:t>
            </w:r>
            <w:r>
              <w:rPr>
                <w:strike w:val="0"/>
                <w:dstrike w:val="0"/>
                <w:color w:val="auto"/>
                <w:sz w:val="24"/>
                <w:szCs w:val="32"/>
                <w:highlight w:val="none"/>
              </w:rPr>
              <w:t>范围内环境保护目标主要为居住区居民，不存在自然保护区、风景名胜区、森林公园等需要特殊保护的区域。项目运营期间产生的大部分油气被油气回收系统回收，极少量排入大气中，对外环境影响小。</w:t>
            </w:r>
          </w:p>
          <w:p w14:paraId="347C53F7">
            <w:pPr>
              <w:pStyle w:val="66"/>
              <w:spacing w:line="360" w:lineRule="auto"/>
              <w:rPr>
                <w:rFonts w:ascii="Times New Roman" w:cs="Times New Roman"/>
                <w:b/>
                <w:bCs/>
                <w:strike w:val="0"/>
                <w:dstrike w:val="0"/>
                <w:color w:val="auto"/>
                <w:highlight w:val="none"/>
              </w:rPr>
            </w:pPr>
            <w:r>
              <w:rPr>
                <w:rFonts w:ascii="Times New Roman" w:cs="Times New Roman"/>
                <w:b/>
                <w:strike w:val="0"/>
                <w:dstrike w:val="0"/>
                <w:color w:val="auto"/>
                <w:highlight w:val="none"/>
              </w:rPr>
              <w:t>4.2.1.3</w:t>
            </w:r>
            <w:r>
              <w:rPr>
                <w:rFonts w:ascii="Times New Roman" w:cs="Times New Roman"/>
                <w:b/>
                <w:bCs/>
                <w:strike w:val="0"/>
                <w:dstrike w:val="0"/>
                <w:color w:val="auto"/>
                <w:highlight w:val="none"/>
              </w:rPr>
              <w:t xml:space="preserve"> 污染源监测计划</w:t>
            </w:r>
          </w:p>
          <w:p w14:paraId="4FC996CB">
            <w:pPr>
              <w:spacing w:line="360" w:lineRule="auto"/>
              <w:ind w:firstLine="480" w:firstLineChars="200"/>
              <w:jc w:val="left"/>
              <w:rPr>
                <w:strike w:val="0"/>
                <w:dstrike w:val="0"/>
                <w:color w:val="auto"/>
                <w:sz w:val="24"/>
                <w:szCs w:val="32"/>
                <w:highlight w:val="none"/>
              </w:rPr>
            </w:pPr>
            <w:r>
              <w:rPr>
                <w:strike w:val="0"/>
                <w:dstrike w:val="0"/>
                <w:color w:val="auto"/>
                <w:sz w:val="24"/>
                <w:szCs w:val="32"/>
                <w:highlight w:val="none"/>
              </w:rPr>
              <w:t>参照《</w:t>
            </w:r>
            <w:r>
              <w:rPr>
                <w:rFonts w:hint="eastAsia"/>
                <w:strike w:val="0"/>
                <w:dstrike w:val="0"/>
                <w:color w:val="auto"/>
                <w:sz w:val="24"/>
                <w:szCs w:val="32"/>
                <w:highlight w:val="none"/>
              </w:rPr>
              <w:t>排污单位自行监测技术指南</w:t>
            </w:r>
            <w:r>
              <w:rPr>
                <w:strike w:val="0"/>
                <w:dstrike w:val="0"/>
                <w:color w:val="auto"/>
                <w:sz w:val="24"/>
                <w:szCs w:val="32"/>
                <w:highlight w:val="none"/>
              </w:rPr>
              <w:t xml:space="preserve"> 储油库、加油站》（</w:t>
            </w:r>
            <w:r>
              <w:rPr>
                <w:rFonts w:eastAsia="TimesNewRomanPSMT"/>
                <w:strike w:val="0"/>
                <w:dstrike w:val="0"/>
                <w:color w:val="auto"/>
                <w:sz w:val="24"/>
                <w:szCs w:val="32"/>
                <w:highlight w:val="none"/>
              </w:rPr>
              <w:t>HJ</w:t>
            </w:r>
            <w:r>
              <w:rPr>
                <w:rFonts w:hint="eastAsia" w:eastAsia="TimesNewRomanPSMT"/>
                <w:strike w:val="0"/>
                <w:dstrike w:val="0"/>
                <w:color w:val="auto"/>
                <w:sz w:val="24"/>
                <w:szCs w:val="32"/>
                <w:highlight w:val="none"/>
              </w:rPr>
              <w:t>1249</w:t>
            </w:r>
            <w:r>
              <w:rPr>
                <w:rFonts w:eastAsia="TimesNewRomanPSMT"/>
                <w:strike w:val="0"/>
                <w:dstrike w:val="0"/>
                <w:color w:val="auto"/>
                <w:sz w:val="24"/>
                <w:szCs w:val="32"/>
                <w:highlight w:val="none"/>
              </w:rPr>
              <w:t>-202</w:t>
            </w:r>
            <w:r>
              <w:rPr>
                <w:rFonts w:hint="eastAsia" w:eastAsia="TimesNewRomanPSMT"/>
                <w:strike w:val="0"/>
                <w:dstrike w:val="0"/>
                <w:color w:val="auto"/>
                <w:sz w:val="24"/>
                <w:szCs w:val="32"/>
                <w:highlight w:val="none"/>
              </w:rPr>
              <w:t>2</w:t>
            </w:r>
            <w:r>
              <w:rPr>
                <w:strike w:val="0"/>
                <w:dstrike w:val="0"/>
                <w:color w:val="auto"/>
                <w:sz w:val="24"/>
                <w:szCs w:val="32"/>
                <w:highlight w:val="none"/>
              </w:rPr>
              <w:t>）、</w:t>
            </w:r>
            <w:r>
              <w:rPr>
                <w:strike w:val="0"/>
                <w:dstrike w:val="0"/>
                <w:color w:val="auto"/>
                <w:sz w:val="24"/>
                <w:highlight w:val="none"/>
              </w:rPr>
              <w:t>《排污许可证核发与申请技术规范 储油库、加油站》（HJ1118-2020）</w:t>
            </w:r>
            <w:r>
              <w:rPr>
                <w:strike w:val="0"/>
                <w:dstrike w:val="0"/>
                <w:color w:val="auto"/>
                <w:sz w:val="24"/>
                <w:szCs w:val="32"/>
                <w:highlight w:val="none"/>
              </w:rPr>
              <w:t>，本项目大气污染源监测计划如下表：</w:t>
            </w:r>
          </w:p>
          <w:p w14:paraId="231C6AFC">
            <w:pPr>
              <w:pStyle w:val="66"/>
              <w:jc w:val="center"/>
              <w:rPr>
                <w:rFonts w:ascii="Times New Roman" w:cs="Times New Roman"/>
                <w:b/>
                <w:bCs/>
                <w:strike w:val="0"/>
                <w:dstrike w:val="0"/>
                <w:color w:val="auto"/>
                <w:highlight w:val="none"/>
              </w:rPr>
            </w:pPr>
            <w:r>
              <w:rPr>
                <w:rFonts w:ascii="Times New Roman" w:cs="Times New Roman"/>
                <w:b/>
                <w:bCs/>
                <w:strike w:val="0"/>
                <w:dstrike w:val="0"/>
                <w:color w:val="auto"/>
                <w:highlight w:val="none"/>
              </w:rPr>
              <w:t>表</w:t>
            </w:r>
            <w:r>
              <w:rPr>
                <w:rFonts w:ascii="Times New Roman" w:hAnsi="Times New Roman" w:eastAsia="宋体" w:cs="Times New Roman"/>
                <w:b/>
                <w:bCs/>
                <w:strike w:val="0"/>
                <w:dstrike w:val="0"/>
                <w:color w:val="auto"/>
                <w:highlight w:val="none"/>
              </w:rPr>
              <w:t>4.2-</w:t>
            </w:r>
            <w:r>
              <w:rPr>
                <w:rFonts w:hint="eastAsia" w:ascii="Times New Roman" w:cs="Times New Roman"/>
                <w:b/>
                <w:bCs/>
                <w:strike w:val="0"/>
                <w:dstrike w:val="0"/>
                <w:color w:val="auto"/>
                <w:highlight w:val="none"/>
                <w:lang w:val="en-US" w:eastAsia="zh-CN"/>
              </w:rPr>
              <w:t>8</w:t>
            </w:r>
            <w:r>
              <w:rPr>
                <w:rFonts w:ascii="Times New Roman" w:hAnsi="Times New Roman" w:eastAsia="宋体" w:cs="Times New Roman"/>
                <w:b/>
                <w:bCs/>
                <w:strike w:val="0"/>
                <w:dstrike w:val="0"/>
                <w:color w:val="auto"/>
                <w:highlight w:val="none"/>
              </w:rPr>
              <w:t xml:space="preserve">  </w:t>
            </w:r>
            <w:r>
              <w:rPr>
                <w:rFonts w:hint="eastAsia" w:ascii="Times New Roman" w:hAnsi="Times New Roman" w:eastAsia="宋体" w:cs="Times New Roman"/>
                <w:b/>
                <w:bCs/>
                <w:strike w:val="0"/>
                <w:dstrike w:val="0"/>
                <w:color w:val="auto"/>
                <w:highlight w:val="none"/>
                <w:lang w:val="en-US" w:eastAsia="zh-CN"/>
              </w:rPr>
              <w:t>本项目</w:t>
            </w:r>
            <w:r>
              <w:rPr>
                <w:rFonts w:ascii="Times New Roman" w:hAnsi="Times New Roman" w:eastAsia="宋体" w:cs="Times New Roman"/>
                <w:b/>
                <w:bCs/>
                <w:strike w:val="0"/>
                <w:dstrike w:val="0"/>
                <w:color w:val="auto"/>
                <w:highlight w:val="none"/>
              </w:rPr>
              <w:t>大气污</w:t>
            </w:r>
            <w:r>
              <w:rPr>
                <w:rFonts w:ascii="Times New Roman" w:cs="Times New Roman"/>
                <w:b/>
                <w:bCs/>
                <w:strike w:val="0"/>
                <w:dstrike w:val="0"/>
                <w:color w:val="auto"/>
                <w:highlight w:val="none"/>
              </w:rPr>
              <w:t>染源监测计划一览表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865"/>
              <w:gridCol w:w="1706"/>
              <w:gridCol w:w="1252"/>
              <w:gridCol w:w="2947"/>
            </w:tblGrid>
            <w:tr w14:paraId="4848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tcBorders>
                    <w:top w:val="single" w:color="auto" w:sz="4" w:space="0"/>
                    <w:left w:val="single" w:color="auto" w:sz="4" w:space="0"/>
                    <w:bottom w:val="single" w:color="auto" w:sz="4" w:space="0"/>
                    <w:right w:val="single" w:color="auto" w:sz="4" w:space="0"/>
                  </w:tcBorders>
                  <w:vAlign w:val="center"/>
                </w:tcPr>
                <w:p w14:paraId="54E481B0">
                  <w:pPr>
                    <w:pStyle w:val="60"/>
                    <w:jc w:val="center"/>
                    <w:rPr>
                      <w:rFonts w:ascii="Times New Roman" w:hAnsi="Times New Roman"/>
                      <w:b/>
                      <w:bCs/>
                      <w:strike w:val="0"/>
                      <w:dstrike w:val="0"/>
                      <w:color w:val="auto"/>
                      <w:sz w:val="21"/>
                      <w:highlight w:val="none"/>
                    </w:rPr>
                  </w:pPr>
                  <w:r>
                    <w:rPr>
                      <w:rFonts w:ascii="Times New Roman" w:hAnsi="Times New Roman"/>
                      <w:b/>
                      <w:bCs/>
                      <w:strike w:val="0"/>
                      <w:dstrike w:val="0"/>
                      <w:color w:val="auto"/>
                      <w:sz w:val="21"/>
                      <w:highlight w:val="none"/>
                    </w:rPr>
                    <w:t>监测对象</w:t>
                  </w:r>
                </w:p>
              </w:tc>
              <w:tc>
                <w:tcPr>
                  <w:tcW w:w="1020" w:type="pct"/>
                  <w:tcBorders>
                    <w:top w:val="single" w:color="auto" w:sz="4" w:space="0"/>
                    <w:left w:val="single" w:color="auto" w:sz="4" w:space="0"/>
                    <w:bottom w:val="single" w:color="auto" w:sz="4" w:space="0"/>
                    <w:right w:val="single" w:color="auto" w:sz="4" w:space="0"/>
                  </w:tcBorders>
                  <w:vAlign w:val="center"/>
                </w:tcPr>
                <w:p w14:paraId="04823885">
                  <w:pPr>
                    <w:pStyle w:val="60"/>
                    <w:jc w:val="center"/>
                    <w:rPr>
                      <w:rFonts w:ascii="Times New Roman" w:hAnsi="Times New Roman"/>
                      <w:b/>
                      <w:bCs/>
                      <w:strike w:val="0"/>
                      <w:dstrike w:val="0"/>
                      <w:color w:val="auto"/>
                      <w:sz w:val="21"/>
                      <w:highlight w:val="none"/>
                    </w:rPr>
                  </w:pPr>
                  <w:r>
                    <w:rPr>
                      <w:rFonts w:ascii="Times New Roman" w:hAnsi="Times New Roman"/>
                      <w:b/>
                      <w:bCs/>
                      <w:strike w:val="0"/>
                      <w:dstrike w:val="0"/>
                      <w:color w:val="auto"/>
                      <w:sz w:val="21"/>
                      <w:highlight w:val="none"/>
                    </w:rPr>
                    <w:t>监测位置</w:t>
                  </w:r>
                </w:p>
              </w:tc>
              <w:tc>
                <w:tcPr>
                  <w:tcW w:w="933" w:type="pct"/>
                  <w:tcBorders>
                    <w:top w:val="single" w:color="auto" w:sz="4" w:space="0"/>
                    <w:left w:val="single" w:color="auto" w:sz="4" w:space="0"/>
                    <w:bottom w:val="single" w:color="auto" w:sz="4" w:space="0"/>
                    <w:right w:val="single" w:color="auto" w:sz="4" w:space="0"/>
                  </w:tcBorders>
                  <w:vAlign w:val="center"/>
                </w:tcPr>
                <w:p w14:paraId="6450C99D">
                  <w:pPr>
                    <w:pStyle w:val="60"/>
                    <w:jc w:val="center"/>
                    <w:rPr>
                      <w:rFonts w:ascii="Times New Roman" w:hAnsi="Times New Roman"/>
                      <w:b/>
                      <w:bCs/>
                      <w:strike w:val="0"/>
                      <w:dstrike w:val="0"/>
                      <w:color w:val="auto"/>
                      <w:sz w:val="21"/>
                      <w:highlight w:val="none"/>
                    </w:rPr>
                  </w:pPr>
                  <w:r>
                    <w:rPr>
                      <w:rFonts w:ascii="Times New Roman" w:hAnsi="Times New Roman"/>
                      <w:b/>
                      <w:bCs/>
                      <w:strike w:val="0"/>
                      <w:dstrike w:val="0"/>
                      <w:color w:val="auto"/>
                      <w:sz w:val="21"/>
                      <w:highlight w:val="none"/>
                    </w:rPr>
                    <w:t>监测因子</w:t>
                  </w:r>
                </w:p>
              </w:tc>
              <w:tc>
                <w:tcPr>
                  <w:tcW w:w="684" w:type="pct"/>
                  <w:tcBorders>
                    <w:top w:val="single" w:color="auto" w:sz="4" w:space="0"/>
                    <w:left w:val="single" w:color="auto" w:sz="4" w:space="0"/>
                    <w:bottom w:val="single" w:color="auto" w:sz="4" w:space="0"/>
                    <w:right w:val="single" w:color="auto" w:sz="4" w:space="0"/>
                  </w:tcBorders>
                  <w:vAlign w:val="center"/>
                </w:tcPr>
                <w:p w14:paraId="093E3D8B">
                  <w:pPr>
                    <w:pStyle w:val="60"/>
                    <w:jc w:val="center"/>
                    <w:rPr>
                      <w:rFonts w:ascii="Times New Roman" w:hAnsi="Times New Roman"/>
                      <w:b/>
                      <w:bCs/>
                      <w:strike w:val="0"/>
                      <w:dstrike w:val="0"/>
                      <w:color w:val="auto"/>
                      <w:sz w:val="21"/>
                      <w:highlight w:val="none"/>
                    </w:rPr>
                  </w:pPr>
                  <w:r>
                    <w:rPr>
                      <w:rFonts w:ascii="Times New Roman" w:hAnsi="Times New Roman"/>
                      <w:b/>
                      <w:bCs/>
                      <w:strike w:val="0"/>
                      <w:dstrike w:val="0"/>
                      <w:color w:val="auto"/>
                      <w:sz w:val="21"/>
                      <w:highlight w:val="none"/>
                    </w:rPr>
                    <w:t>监测频次</w:t>
                  </w:r>
                </w:p>
              </w:tc>
              <w:tc>
                <w:tcPr>
                  <w:tcW w:w="1611" w:type="pct"/>
                  <w:tcBorders>
                    <w:top w:val="single" w:color="auto" w:sz="4" w:space="0"/>
                    <w:left w:val="single" w:color="auto" w:sz="4" w:space="0"/>
                    <w:bottom w:val="single" w:color="auto" w:sz="4" w:space="0"/>
                    <w:right w:val="single" w:color="auto" w:sz="4" w:space="0"/>
                  </w:tcBorders>
                  <w:vAlign w:val="center"/>
                </w:tcPr>
                <w:p w14:paraId="6EBC2B5E">
                  <w:pPr>
                    <w:pStyle w:val="60"/>
                    <w:jc w:val="center"/>
                    <w:rPr>
                      <w:rFonts w:ascii="Times New Roman" w:hAnsi="Times New Roman"/>
                      <w:b/>
                      <w:bCs/>
                      <w:strike w:val="0"/>
                      <w:dstrike w:val="0"/>
                      <w:color w:val="auto"/>
                      <w:sz w:val="21"/>
                      <w:highlight w:val="none"/>
                    </w:rPr>
                  </w:pPr>
                  <w:r>
                    <w:rPr>
                      <w:rFonts w:ascii="Times New Roman" w:hAnsi="Times New Roman"/>
                      <w:b/>
                      <w:bCs/>
                      <w:strike w:val="0"/>
                      <w:dstrike w:val="0"/>
                      <w:color w:val="auto"/>
                      <w:sz w:val="21"/>
                      <w:highlight w:val="none"/>
                    </w:rPr>
                    <w:t>执行排放标准</w:t>
                  </w:r>
                </w:p>
              </w:tc>
            </w:tr>
            <w:tr w14:paraId="2740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restart"/>
                  <w:tcBorders>
                    <w:top w:val="single" w:color="auto" w:sz="4" w:space="0"/>
                    <w:left w:val="single" w:color="auto" w:sz="4" w:space="0"/>
                    <w:right w:val="single" w:color="auto" w:sz="4" w:space="0"/>
                  </w:tcBorders>
                  <w:shd w:val="clear" w:color="auto" w:fill="auto"/>
                  <w:vAlign w:val="center"/>
                </w:tcPr>
                <w:p w14:paraId="0ABACCC9">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无组织排放</w:t>
                  </w:r>
                  <w:r>
                    <w:rPr>
                      <w:rFonts w:hint="eastAsia" w:ascii="Times New Roman" w:hAnsi="Times New Roman"/>
                      <w:strike w:val="0"/>
                      <w:dstrike w:val="0"/>
                      <w:color w:val="auto"/>
                      <w:sz w:val="21"/>
                      <w:highlight w:val="none"/>
                    </w:rPr>
                    <w:t>废气</w:t>
                  </w:r>
                </w:p>
              </w:tc>
              <w:tc>
                <w:tcPr>
                  <w:tcW w:w="1020" w:type="pct"/>
                  <w:tcBorders>
                    <w:top w:val="single" w:color="auto" w:sz="4" w:space="0"/>
                    <w:left w:val="single" w:color="auto" w:sz="4" w:space="0"/>
                    <w:bottom w:val="single" w:color="auto" w:sz="4" w:space="0"/>
                    <w:right w:val="single" w:color="auto" w:sz="4" w:space="0"/>
                  </w:tcBorders>
                  <w:shd w:val="clear" w:color="auto" w:fill="auto"/>
                  <w:vAlign w:val="center"/>
                </w:tcPr>
                <w:p w14:paraId="3F302FAF">
                  <w:pPr>
                    <w:pStyle w:val="60"/>
                    <w:jc w:val="center"/>
                    <w:rPr>
                      <w:rFonts w:ascii="Times New Roman" w:hAnsi="Times New Roman"/>
                      <w:strike w:val="0"/>
                      <w:dstrike w:val="0"/>
                      <w:color w:val="auto"/>
                      <w:sz w:val="21"/>
                      <w:highlight w:val="none"/>
                    </w:rPr>
                  </w:pPr>
                  <w:r>
                    <w:rPr>
                      <w:rFonts w:hint="eastAsia" w:ascii="Times New Roman" w:hAnsi="Times New Roman"/>
                      <w:strike w:val="0"/>
                      <w:dstrike w:val="0"/>
                      <w:color w:val="auto"/>
                      <w:sz w:val="21"/>
                      <w:highlight w:val="none"/>
                    </w:rPr>
                    <w:t>油气处理装置排气筒</w:t>
                  </w:r>
                </w:p>
              </w:tc>
              <w:tc>
                <w:tcPr>
                  <w:tcW w:w="933" w:type="pct"/>
                  <w:tcBorders>
                    <w:top w:val="single" w:color="auto" w:sz="4" w:space="0"/>
                    <w:left w:val="single" w:color="auto" w:sz="4" w:space="0"/>
                    <w:bottom w:val="single" w:color="auto" w:sz="4" w:space="0"/>
                    <w:right w:val="single" w:color="auto" w:sz="4" w:space="0"/>
                  </w:tcBorders>
                  <w:shd w:val="clear" w:color="auto" w:fill="auto"/>
                  <w:vAlign w:val="center"/>
                </w:tcPr>
                <w:p w14:paraId="5C9C11AE">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非甲烷总烃</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14:paraId="35D48632">
                  <w:pPr>
                    <w:pStyle w:val="60"/>
                    <w:jc w:val="center"/>
                    <w:rPr>
                      <w:rFonts w:ascii="Times New Roman" w:hAnsi="Times New Roman"/>
                      <w:strike w:val="0"/>
                      <w:dstrike w:val="0"/>
                      <w:color w:val="auto"/>
                      <w:sz w:val="21"/>
                      <w:highlight w:val="none"/>
                    </w:rPr>
                  </w:pPr>
                  <w:r>
                    <w:rPr>
                      <w:rFonts w:hint="eastAsia" w:ascii="Times New Roman" w:hAnsi="Times New Roman"/>
                      <w:strike w:val="0"/>
                      <w:dstrike w:val="0"/>
                      <w:color w:val="auto"/>
                      <w:sz w:val="21"/>
                      <w:highlight w:val="none"/>
                    </w:rPr>
                    <w:t>1次/年</w:t>
                  </w:r>
                </w:p>
              </w:tc>
              <w:tc>
                <w:tcPr>
                  <w:tcW w:w="1611" w:type="pct"/>
                  <w:tcBorders>
                    <w:top w:val="single" w:color="auto" w:sz="4" w:space="0"/>
                    <w:left w:val="single" w:color="auto" w:sz="4" w:space="0"/>
                    <w:bottom w:val="single" w:color="auto" w:sz="4" w:space="0"/>
                    <w:right w:val="single" w:color="auto" w:sz="4" w:space="0"/>
                  </w:tcBorders>
                  <w:shd w:val="clear" w:color="auto" w:fill="auto"/>
                  <w:vAlign w:val="center"/>
                </w:tcPr>
                <w:p w14:paraId="250EE8F1">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《加油站大气污染物排放标准》（GB20952-2020）</w:t>
                  </w:r>
                </w:p>
              </w:tc>
            </w:tr>
            <w:tr w14:paraId="3A20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continue"/>
                  <w:tcBorders>
                    <w:left w:val="single" w:color="auto" w:sz="4" w:space="0"/>
                    <w:right w:val="single" w:color="auto" w:sz="4" w:space="0"/>
                  </w:tcBorders>
                  <w:vAlign w:val="center"/>
                </w:tcPr>
                <w:p w14:paraId="56C79939">
                  <w:pPr>
                    <w:pStyle w:val="60"/>
                    <w:jc w:val="center"/>
                    <w:rPr>
                      <w:rFonts w:ascii="Times New Roman" w:hAnsi="Times New Roman"/>
                      <w:strike w:val="0"/>
                      <w:dstrike w:val="0"/>
                      <w:color w:val="auto"/>
                      <w:sz w:val="21"/>
                      <w:highlight w:val="none"/>
                    </w:rPr>
                  </w:pPr>
                </w:p>
              </w:tc>
              <w:tc>
                <w:tcPr>
                  <w:tcW w:w="1020" w:type="pct"/>
                  <w:tcBorders>
                    <w:top w:val="single" w:color="auto" w:sz="4" w:space="0"/>
                    <w:left w:val="single" w:color="auto" w:sz="4" w:space="0"/>
                    <w:bottom w:val="single" w:color="auto" w:sz="4" w:space="0"/>
                    <w:right w:val="single" w:color="auto" w:sz="4" w:space="0"/>
                  </w:tcBorders>
                  <w:vAlign w:val="center"/>
                </w:tcPr>
                <w:p w14:paraId="7A8362BE">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油气回收系统</w:t>
                  </w:r>
                </w:p>
              </w:tc>
              <w:tc>
                <w:tcPr>
                  <w:tcW w:w="933" w:type="pct"/>
                  <w:tcBorders>
                    <w:top w:val="single" w:color="auto" w:sz="4" w:space="0"/>
                    <w:left w:val="single" w:color="auto" w:sz="4" w:space="0"/>
                    <w:bottom w:val="single" w:color="auto" w:sz="4" w:space="0"/>
                    <w:right w:val="single" w:color="auto" w:sz="4" w:space="0"/>
                  </w:tcBorders>
                  <w:vAlign w:val="center"/>
                </w:tcPr>
                <w:p w14:paraId="31E6C730">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气液比、液阻、密闭性</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14:paraId="72EB6C85">
                  <w:pPr>
                    <w:pStyle w:val="60"/>
                    <w:jc w:val="center"/>
                    <w:rPr>
                      <w:rFonts w:ascii="Times New Roman" w:hAnsi="Times New Roman"/>
                      <w:strike w:val="0"/>
                      <w:dstrike w:val="0"/>
                      <w:color w:val="auto"/>
                      <w:sz w:val="21"/>
                      <w:highlight w:val="none"/>
                    </w:rPr>
                  </w:pPr>
                  <w:r>
                    <w:rPr>
                      <w:rFonts w:hint="eastAsia" w:ascii="Times New Roman" w:hAnsi="Times New Roman"/>
                      <w:strike w:val="0"/>
                      <w:dstrike w:val="0"/>
                      <w:color w:val="auto"/>
                      <w:sz w:val="21"/>
                      <w:highlight w:val="none"/>
                    </w:rPr>
                    <w:t>1次/年</w:t>
                  </w:r>
                </w:p>
              </w:tc>
              <w:tc>
                <w:tcPr>
                  <w:tcW w:w="1611" w:type="pct"/>
                  <w:tcBorders>
                    <w:top w:val="single" w:color="auto" w:sz="4" w:space="0"/>
                    <w:left w:val="single" w:color="auto" w:sz="4" w:space="0"/>
                    <w:bottom w:val="single" w:color="auto" w:sz="4" w:space="0"/>
                    <w:right w:val="single" w:color="auto" w:sz="4" w:space="0"/>
                  </w:tcBorders>
                  <w:vAlign w:val="center"/>
                </w:tcPr>
                <w:p w14:paraId="5D8BECE1">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《加油站大气污染物排放标准》（GB20952-2020）</w:t>
                  </w:r>
                </w:p>
              </w:tc>
            </w:tr>
            <w:tr w14:paraId="606E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9" w:type="pct"/>
                  <w:vMerge w:val="continue"/>
                  <w:tcBorders>
                    <w:left w:val="single" w:color="auto" w:sz="4" w:space="0"/>
                    <w:right w:val="single" w:color="auto" w:sz="4" w:space="0"/>
                  </w:tcBorders>
                  <w:vAlign w:val="center"/>
                </w:tcPr>
                <w:p w14:paraId="78DFA2C2">
                  <w:pPr>
                    <w:pStyle w:val="60"/>
                    <w:jc w:val="center"/>
                    <w:rPr>
                      <w:rFonts w:ascii="Times New Roman" w:hAnsi="Times New Roman"/>
                      <w:strike w:val="0"/>
                      <w:dstrike w:val="0"/>
                      <w:color w:val="auto"/>
                      <w:sz w:val="21"/>
                      <w:highlight w:val="none"/>
                    </w:rPr>
                  </w:pPr>
                </w:p>
              </w:tc>
              <w:tc>
                <w:tcPr>
                  <w:tcW w:w="1020" w:type="pct"/>
                  <w:tcBorders>
                    <w:top w:val="single" w:color="auto" w:sz="4" w:space="0"/>
                    <w:left w:val="single" w:color="auto" w:sz="4" w:space="0"/>
                    <w:bottom w:val="single" w:color="auto" w:sz="4" w:space="0"/>
                    <w:right w:val="single" w:color="auto" w:sz="4" w:space="0"/>
                  </w:tcBorders>
                  <w:vAlign w:val="center"/>
                </w:tcPr>
                <w:p w14:paraId="6BA6ED60">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厂界</w:t>
                  </w:r>
                </w:p>
              </w:tc>
              <w:tc>
                <w:tcPr>
                  <w:tcW w:w="933" w:type="pct"/>
                  <w:tcBorders>
                    <w:top w:val="single" w:color="auto" w:sz="4" w:space="0"/>
                    <w:left w:val="single" w:color="auto" w:sz="4" w:space="0"/>
                    <w:bottom w:val="single" w:color="auto" w:sz="4" w:space="0"/>
                    <w:right w:val="single" w:color="auto" w:sz="4" w:space="0"/>
                  </w:tcBorders>
                  <w:vAlign w:val="center"/>
                </w:tcPr>
                <w:p w14:paraId="2EAF9918">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非甲烷总烃</w:t>
                  </w:r>
                </w:p>
              </w:tc>
              <w:tc>
                <w:tcPr>
                  <w:tcW w:w="684" w:type="pct"/>
                  <w:tcBorders>
                    <w:left w:val="single" w:color="auto" w:sz="4" w:space="0"/>
                    <w:right w:val="single" w:color="auto" w:sz="4" w:space="0"/>
                  </w:tcBorders>
                  <w:vAlign w:val="center"/>
                </w:tcPr>
                <w:p w14:paraId="09CD9F14">
                  <w:pPr>
                    <w:pStyle w:val="60"/>
                    <w:jc w:val="center"/>
                    <w:rPr>
                      <w:rFonts w:ascii="Times New Roman" w:hAnsi="Times New Roman"/>
                      <w:strike w:val="0"/>
                      <w:dstrike w:val="0"/>
                      <w:color w:val="auto"/>
                      <w:sz w:val="21"/>
                      <w:highlight w:val="none"/>
                    </w:rPr>
                  </w:pPr>
                  <w:r>
                    <w:rPr>
                      <w:rFonts w:hint="eastAsia" w:ascii="Times New Roman" w:hAnsi="Times New Roman"/>
                      <w:strike w:val="0"/>
                      <w:dstrike w:val="0"/>
                      <w:color w:val="auto"/>
                      <w:sz w:val="21"/>
                      <w:highlight w:val="none"/>
                    </w:rPr>
                    <w:t>1次/年</w:t>
                  </w:r>
                </w:p>
              </w:tc>
              <w:tc>
                <w:tcPr>
                  <w:tcW w:w="1611" w:type="pct"/>
                  <w:tcBorders>
                    <w:left w:val="single" w:color="auto" w:sz="4" w:space="0"/>
                    <w:right w:val="single" w:color="auto" w:sz="4" w:space="0"/>
                  </w:tcBorders>
                  <w:shd w:val="clear" w:color="auto" w:fill="auto"/>
                  <w:vAlign w:val="center"/>
                </w:tcPr>
                <w:p w14:paraId="4D24A0DB">
                  <w:pPr>
                    <w:pStyle w:val="6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《加油站大气污染物排放标准》（GB20952-2020）</w:t>
                  </w:r>
                </w:p>
              </w:tc>
            </w:tr>
          </w:tbl>
          <w:p w14:paraId="633894F8">
            <w:pPr>
              <w:pStyle w:val="66"/>
              <w:spacing w:before="159" w:beforeLines="50" w:line="360" w:lineRule="auto"/>
              <w:jc w:val="both"/>
              <w:rPr>
                <w:rFonts w:ascii="Times New Roman" w:cs="Times New Roman"/>
                <w:b/>
                <w:bCs/>
                <w:strike w:val="0"/>
                <w:dstrike w:val="0"/>
                <w:color w:val="auto"/>
                <w:highlight w:val="none"/>
              </w:rPr>
            </w:pPr>
            <w:r>
              <w:rPr>
                <w:rFonts w:ascii="Times New Roman" w:cs="Times New Roman"/>
                <w:b/>
                <w:bCs/>
                <w:strike w:val="0"/>
                <w:dstrike w:val="0"/>
                <w:color w:val="auto"/>
                <w:highlight w:val="none"/>
              </w:rPr>
              <w:t>4.2.2 地表水环境影响和保护措施</w:t>
            </w:r>
          </w:p>
          <w:p w14:paraId="1385D3FA">
            <w:pPr>
              <w:pStyle w:val="66"/>
              <w:spacing w:line="360" w:lineRule="auto"/>
              <w:jc w:val="both"/>
              <w:rPr>
                <w:rFonts w:ascii="Times New Roman" w:cs="Times New Roman"/>
                <w:b/>
                <w:bCs/>
                <w:strike w:val="0"/>
                <w:dstrike w:val="0"/>
                <w:color w:val="auto"/>
                <w:highlight w:val="none"/>
              </w:rPr>
            </w:pPr>
            <w:r>
              <w:rPr>
                <w:rFonts w:ascii="Times New Roman" w:cs="Times New Roman"/>
                <w:b/>
                <w:bCs/>
                <w:strike w:val="0"/>
                <w:dstrike w:val="0"/>
                <w:color w:val="auto"/>
                <w:highlight w:val="none"/>
              </w:rPr>
              <w:t>4.2.2.1 废水污染物产生及排放情况</w:t>
            </w:r>
          </w:p>
          <w:p w14:paraId="2A603F59">
            <w:pPr>
              <w:pStyle w:val="66"/>
              <w:spacing w:line="360" w:lineRule="auto"/>
              <w:ind w:firstLine="480" w:firstLineChars="200"/>
              <w:jc w:val="both"/>
              <w:rPr>
                <w:rFonts w:ascii="Times New Roman" w:cs="Times New Roman"/>
                <w:strike w:val="0"/>
                <w:dstrike w:val="0"/>
                <w:color w:val="auto"/>
                <w:highlight w:val="none"/>
              </w:rPr>
            </w:pPr>
            <w:r>
              <w:rPr>
                <w:rFonts w:ascii="Times New Roman" w:cs="Times New Roman"/>
                <w:strike w:val="0"/>
                <w:dstrike w:val="0"/>
                <w:color w:val="auto"/>
                <w:highlight w:val="none"/>
              </w:rPr>
              <w:t>本项目运营期所产生的废水主要包括员工生活污水、过往驾乘人员生活污水、场地冲洗废水、初期雨水。</w:t>
            </w:r>
          </w:p>
          <w:p w14:paraId="1892FB01">
            <w:pPr>
              <w:pStyle w:val="66"/>
              <w:spacing w:line="360" w:lineRule="auto"/>
              <w:ind w:firstLine="480" w:firstLineChars="200"/>
              <w:jc w:val="both"/>
              <w:rPr>
                <w:rFonts w:ascii="Times New Roman" w:cs="Times New Roman"/>
                <w:strike w:val="0"/>
                <w:dstrike w:val="0"/>
                <w:color w:val="auto"/>
                <w:highlight w:val="none"/>
              </w:rPr>
            </w:pPr>
            <w:r>
              <w:rPr>
                <w:rFonts w:ascii="Times New Roman" w:cs="Times New Roman"/>
                <w:strike w:val="0"/>
                <w:dstrike w:val="0"/>
                <w:color w:val="auto"/>
                <w:highlight w:val="none"/>
              </w:rPr>
              <w:t>①场地冲洗废水</w:t>
            </w:r>
          </w:p>
          <w:p w14:paraId="2429B4C5">
            <w:pPr>
              <w:pStyle w:val="51"/>
              <w:autoSpaceDE w:val="0"/>
              <w:autoSpaceDN w:val="0"/>
              <w:spacing w:line="360" w:lineRule="auto"/>
              <w:ind w:firstLine="496" w:firstLineChars="200"/>
              <w:textAlignment w:val="baseline"/>
              <w:outlineLvl w:val="9"/>
              <w:rPr>
                <w:strike w:val="0"/>
                <w:dstrike w:val="0"/>
                <w:color w:val="auto"/>
                <w:sz w:val="24"/>
                <w:highlight w:val="none"/>
              </w:rPr>
            </w:pPr>
            <w:r>
              <w:rPr>
                <w:bCs/>
                <w:strike w:val="0"/>
                <w:dstrike w:val="0"/>
                <w:color w:val="auto"/>
                <w:sz w:val="24"/>
                <w:highlight w:val="none"/>
              </w:rPr>
              <w:t>场地冲洗废水产生量为</w:t>
            </w:r>
            <w:r>
              <w:rPr>
                <w:rFonts w:hint="eastAsia"/>
                <w:bCs/>
                <w:strike w:val="0"/>
                <w:dstrike w:val="0"/>
                <w:color w:val="auto"/>
                <w:sz w:val="24"/>
                <w:highlight w:val="none"/>
                <w:lang w:val="en-US" w:eastAsia="zh-CN"/>
              </w:rPr>
              <w:t>4.664</w:t>
            </w:r>
            <w:r>
              <w:rPr>
                <w:strike w:val="0"/>
                <w:dstrike w:val="0"/>
                <w:color w:val="auto"/>
                <w:sz w:val="24"/>
                <w:highlight w:val="none"/>
              </w:rPr>
              <w:t>m</w:t>
            </w:r>
            <w:r>
              <w:rPr>
                <w:strike w:val="0"/>
                <w:dstrike w:val="0"/>
                <w:color w:val="auto"/>
                <w:sz w:val="24"/>
                <w:highlight w:val="none"/>
                <w:vertAlign w:val="superscript"/>
              </w:rPr>
              <w:t>3</w:t>
            </w:r>
            <w:r>
              <w:rPr>
                <w:bCs/>
                <w:strike w:val="0"/>
                <w:dstrike w:val="0"/>
                <w:color w:val="auto"/>
                <w:sz w:val="24"/>
                <w:highlight w:val="none"/>
              </w:rPr>
              <w:t>/次（</w:t>
            </w:r>
            <w:r>
              <w:rPr>
                <w:rFonts w:hint="eastAsia"/>
                <w:bCs/>
                <w:strike w:val="0"/>
                <w:dstrike w:val="0"/>
                <w:color w:val="auto"/>
                <w:sz w:val="24"/>
                <w:highlight w:val="none"/>
                <w:lang w:val="en-US" w:eastAsia="zh-CN"/>
              </w:rPr>
              <w:t>242.53</w:t>
            </w:r>
            <w:r>
              <w:rPr>
                <w:strike w:val="0"/>
                <w:dstrike w:val="0"/>
                <w:color w:val="auto"/>
                <w:sz w:val="24"/>
                <w:highlight w:val="none"/>
              </w:rPr>
              <w:t>m</w:t>
            </w:r>
            <w:r>
              <w:rPr>
                <w:strike w:val="0"/>
                <w:dstrike w:val="0"/>
                <w:color w:val="auto"/>
                <w:sz w:val="24"/>
                <w:highlight w:val="none"/>
                <w:vertAlign w:val="superscript"/>
              </w:rPr>
              <w:t>3</w:t>
            </w:r>
            <w:r>
              <w:rPr>
                <w:bCs/>
                <w:strike w:val="0"/>
                <w:dstrike w:val="0"/>
                <w:color w:val="auto"/>
                <w:sz w:val="24"/>
                <w:highlight w:val="none"/>
              </w:rPr>
              <w:t>/a）。</w:t>
            </w:r>
            <w:r>
              <w:rPr>
                <w:strike w:val="0"/>
                <w:dstrike w:val="0"/>
                <w:color w:val="auto"/>
                <w:sz w:val="24"/>
                <w:highlight w:val="none"/>
              </w:rPr>
              <w:t>主要污染物浓度为：SS：450mg/L、石油类：150mg/L。</w:t>
            </w:r>
          </w:p>
          <w:p w14:paraId="67495B9D">
            <w:pPr>
              <w:pStyle w:val="51"/>
              <w:autoSpaceDE w:val="0"/>
              <w:autoSpaceDN w:val="0"/>
              <w:spacing w:line="360" w:lineRule="auto"/>
              <w:ind w:firstLine="496" w:firstLineChars="200"/>
              <w:textAlignment w:val="baseline"/>
              <w:outlineLvl w:val="9"/>
              <w:rPr>
                <w:strike w:val="0"/>
                <w:dstrike w:val="0"/>
                <w:color w:val="auto"/>
                <w:sz w:val="24"/>
                <w:highlight w:val="none"/>
              </w:rPr>
            </w:pPr>
            <w:r>
              <w:rPr>
                <w:strike w:val="0"/>
                <w:dstrike w:val="0"/>
                <w:color w:val="auto"/>
                <w:kern w:val="0"/>
                <w:sz w:val="24"/>
                <w:highlight w:val="none"/>
              </w:rPr>
              <w:t>场地冲洗废水经三段式隔油池</w:t>
            </w:r>
            <w:r>
              <w:rPr>
                <w:strike w:val="0"/>
                <w:dstrike w:val="0"/>
                <w:color w:val="auto"/>
                <w:sz w:val="24"/>
                <w:highlight w:val="none"/>
              </w:rPr>
              <w:t>处理达</w:t>
            </w:r>
            <w:r>
              <w:rPr>
                <w:strike w:val="0"/>
                <w:dstrike w:val="0"/>
                <w:color w:val="auto"/>
                <w:kern w:val="0"/>
                <w:sz w:val="24"/>
                <w:highlight w:val="none"/>
              </w:rPr>
              <w:t>《污水综合排放标准》（GB8978-1996）三级标准后</w:t>
            </w:r>
            <w:r>
              <w:rPr>
                <w:strike w:val="0"/>
                <w:dstrike w:val="0"/>
                <w:color w:val="auto"/>
                <w:sz w:val="24"/>
                <w:highlight w:val="none"/>
              </w:rPr>
              <w:t>经</w:t>
            </w:r>
            <w:r>
              <w:rPr>
                <w:rFonts w:hint="eastAsia"/>
                <w:strike w:val="0"/>
                <w:dstrike w:val="0"/>
                <w:color w:val="auto"/>
                <w:sz w:val="24"/>
                <w:highlight w:val="none"/>
              </w:rPr>
              <w:t>市政污水管网</w:t>
            </w:r>
            <w:r>
              <w:rPr>
                <w:strike w:val="0"/>
                <w:dstrike w:val="0"/>
                <w:color w:val="auto"/>
                <w:sz w:val="24"/>
                <w:highlight w:val="none"/>
              </w:rPr>
              <w:t>排入</w:t>
            </w:r>
            <w:r>
              <w:rPr>
                <w:rFonts w:hint="eastAsia"/>
                <w:strike w:val="0"/>
                <w:dstrike w:val="0"/>
                <w:color w:val="auto"/>
                <w:sz w:val="24"/>
                <w:highlight w:val="none"/>
                <w:lang w:eastAsia="zh-CN"/>
              </w:rPr>
              <w:t>微车基地污水处理厂</w:t>
            </w:r>
            <w:r>
              <w:rPr>
                <w:strike w:val="0"/>
                <w:dstrike w:val="0"/>
                <w:color w:val="auto"/>
                <w:sz w:val="24"/>
                <w:highlight w:val="none"/>
              </w:rPr>
              <w:t>处理达《城镇污水处理</w:t>
            </w:r>
            <w:r>
              <w:rPr>
                <w:bCs/>
                <w:strike w:val="0"/>
                <w:dstrike w:val="0"/>
                <w:color w:val="auto"/>
                <w:sz w:val="24"/>
                <w:highlight w:val="none"/>
              </w:rPr>
              <w:t>厂污染物排放标准》(GB18918-2002)一级A标后排入柏水溪，最终汇入嘉陵江。</w:t>
            </w:r>
          </w:p>
          <w:p w14:paraId="7CBF753B">
            <w:pPr>
              <w:pStyle w:val="66"/>
              <w:spacing w:line="360" w:lineRule="auto"/>
              <w:ind w:firstLine="480" w:firstLineChars="200"/>
              <w:jc w:val="both"/>
              <w:rPr>
                <w:rFonts w:ascii="Times New Roman" w:cs="Times New Roman"/>
                <w:strike w:val="0"/>
                <w:dstrike w:val="0"/>
                <w:color w:val="auto"/>
                <w:highlight w:val="none"/>
              </w:rPr>
            </w:pPr>
            <w:r>
              <w:rPr>
                <w:rFonts w:ascii="Times New Roman" w:cs="Times New Roman"/>
                <w:strike w:val="0"/>
                <w:dstrike w:val="0"/>
                <w:color w:val="auto"/>
                <w:highlight w:val="none"/>
              </w:rPr>
              <w:t>②生活污水</w:t>
            </w:r>
          </w:p>
          <w:p w14:paraId="2D7DFCC1">
            <w:pPr>
              <w:spacing w:line="360" w:lineRule="auto"/>
              <w:ind w:firstLine="480" w:firstLineChars="200"/>
              <w:rPr>
                <w:strike w:val="0"/>
                <w:dstrike w:val="0"/>
                <w:color w:val="auto"/>
                <w:sz w:val="24"/>
                <w:highlight w:val="none"/>
              </w:rPr>
            </w:pPr>
            <w:r>
              <w:rPr>
                <w:strike w:val="0"/>
                <w:dstrike w:val="0"/>
                <w:color w:val="auto"/>
                <w:sz w:val="24"/>
                <w:highlight w:val="none"/>
              </w:rPr>
              <w:t>员工生活污水排放量约1.08m</w:t>
            </w:r>
            <w:bookmarkStart w:id="101" w:name="OfficeAI_Del_2_15"/>
            <w:r>
              <w:rPr>
                <w:strike w:val="0"/>
                <w:dstrike w:val="0"/>
                <w:color w:val="auto"/>
                <w:sz w:val="24"/>
                <w:highlight w:val="none"/>
                <w:vertAlign w:val="superscript"/>
              </w:rPr>
              <w:t>3</w:t>
            </w:r>
            <w:bookmarkEnd w:id="101"/>
            <w:r>
              <w:rPr>
                <w:strike w:val="0"/>
                <w:dstrike w:val="0"/>
                <w:color w:val="auto"/>
                <w:sz w:val="24"/>
                <w:highlight w:val="none"/>
              </w:rPr>
              <w:t>/d（394.2m</w:t>
            </w:r>
            <w:bookmarkStart w:id="102" w:name="OfficeAI_Del_2_26"/>
            <w:r>
              <w:rPr>
                <w:strike w:val="0"/>
                <w:dstrike w:val="0"/>
                <w:color w:val="auto"/>
                <w:sz w:val="24"/>
                <w:highlight w:val="none"/>
                <w:vertAlign w:val="superscript"/>
              </w:rPr>
              <w:t>3</w:t>
            </w:r>
            <w:bookmarkEnd w:id="102"/>
            <w:r>
              <w:rPr>
                <w:strike w:val="0"/>
                <w:dstrike w:val="0"/>
                <w:color w:val="auto"/>
                <w:sz w:val="24"/>
                <w:highlight w:val="none"/>
              </w:rPr>
              <w:t>/a），过往驾乘人员生活污水约</w:t>
            </w:r>
            <w:r>
              <w:rPr>
                <w:rFonts w:hint="eastAsia"/>
                <w:strike w:val="0"/>
                <w:dstrike w:val="0"/>
                <w:color w:val="auto"/>
                <w:sz w:val="24"/>
                <w:highlight w:val="none"/>
                <w:lang w:val="en-US" w:eastAsia="zh-CN"/>
              </w:rPr>
              <w:t>2.25</w:t>
            </w:r>
            <w:r>
              <w:rPr>
                <w:strike w:val="0"/>
                <w:dstrike w:val="0"/>
                <w:color w:val="auto"/>
                <w:sz w:val="24"/>
                <w:highlight w:val="none"/>
              </w:rPr>
              <w:t>m</w:t>
            </w:r>
            <w:bookmarkStart w:id="103" w:name="OfficeAI_Del_2_48"/>
            <w:r>
              <w:rPr>
                <w:strike w:val="0"/>
                <w:dstrike w:val="0"/>
                <w:color w:val="auto"/>
                <w:sz w:val="24"/>
                <w:highlight w:val="none"/>
                <w:vertAlign w:val="superscript"/>
              </w:rPr>
              <w:t>3</w:t>
            </w:r>
            <w:bookmarkEnd w:id="103"/>
            <w:r>
              <w:rPr>
                <w:strike w:val="0"/>
                <w:dstrike w:val="0"/>
                <w:color w:val="auto"/>
                <w:sz w:val="24"/>
                <w:highlight w:val="none"/>
              </w:rPr>
              <w:t>/d（</w:t>
            </w:r>
            <w:r>
              <w:rPr>
                <w:rFonts w:hint="eastAsia"/>
                <w:strike w:val="0"/>
                <w:dstrike w:val="0"/>
                <w:color w:val="auto"/>
                <w:sz w:val="24"/>
                <w:highlight w:val="none"/>
                <w:lang w:eastAsia="zh-CN"/>
              </w:rPr>
              <w:t>821.25</w:t>
            </w:r>
            <w:r>
              <w:rPr>
                <w:strike w:val="0"/>
                <w:dstrike w:val="0"/>
                <w:color w:val="auto"/>
                <w:sz w:val="24"/>
                <w:highlight w:val="none"/>
              </w:rPr>
              <w:t>m</w:t>
            </w:r>
            <w:bookmarkStart w:id="104" w:name="OfficeAI_Del_2_60"/>
            <w:r>
              <w:rPr>
                <w:strike w:val="0"/>
                <w:dstrike w:val="0"/>
                <w:color w:val="auto"/>
                <w:sz w:val="24"/>
                <w:highlight w:val="none"/>
                <w:vertAlign w:val="superscript"/>
              </w:rPr>
              <w:t>3</w:t>
            </w:r>
            <w:bookmarkEnd w:id="104"/>
            <w:r>
              <w:rPr>
                <w:rFonts w:hint="eastAsia"/>
                <w:strike w:val="0"/>
                <w:dstrike w:val="0"/>
                <w:color w:val="auto"/>
                <w:sz w:val="24"/>
                <w:highlight w:val="none"/>
                <w:vertAlign w:val="superscript"/>
                <w:lang w:val="en-US" w:eastAsia="zh-CN"/>
              </w:rPr>
              <w:t>/</w:t>
            </w:r>
            <w:r>
              <w:rPr>
                <w:strike w:val="0"/>
                <w:dstrike w:val="0"/>
                <w:color w:val="auto"/>
                <w:sz w:val="24"/>
                <w:highlight w:val="none"/>
              </w:rPr>
              <w:t>a）。主要污染物浓度</w:t>
            </w:r>
            <w:r>
              <w:rPr>
                <w:strike w:val="0"/>
                <w:dstrike w:val="0"/>
                <w:color w:val="auto"/>
                <w:sz w:val="24"/>
                <w:szCs w:val="24"/>
                <w:highlight w:val="none"/>
              </w:rPr>
              <w:t>为：</w:t>
            </w:r>
            <w:r>
              <w:rPr>
                <w:rFonts w:hint="eastAsia"/>
                <w:bCs/>
                <w:strike w:val="0"/>
                <w:dstrike w:val="0"/>
                <w:color w:val="auto"/>
                <w:kern w:val="0"/>
                <w:sz w:val="24"/>
                <w:szCs w:val="24"/>
                <w:highlight w:val="none"/>
                <w:lang w:val="en-US" w:eastAsia="zh-CN"/>
              </w:rPr>
              <w:t>pH：6-9（无量纲）、</w:t>
            </w:r>
            <w:r>
              <w:rPr>
                <w:strike w:val="0"/>
                <w:dstrike w:val="0"/>
                <w:color w:val="auto"/>
                <w:sz w:val="24"/>
                <w:szCs w:val="24"/>
                <w:highlight w:val="none"/>
              </w:rPr>
              <w:t>CO</w:t>
            </w:r>
            <w:r>
              <w:rPr>
                <w:strike w:val="0"/>
                <w:dstrike w:val="0"/>
                <w:color w:val="auto"/>
                <w:sz w:val="24"/>
                <w:highlight w:val="none"/>
              </w:rPr>
              <w:t>D：450mg/L、BOD</w:t>
            </w:r>
            <w:bookmarkStart w:id="105" w:name="OfficeAI_Del_2_102"/>
            <w:r>
              <w:rPr>
                <w:strike w:val="0"/>
                <w:dstrike w:val="0"/>
                <w:color w:val="auto"/>
                <w:sz w:val="24"/>
                <w:highlight w:val="none"/>
                <w:vertAlign w:val="subscript"/>
              </w:rPr>
              <w:t>5</w:t>
            </w:r>
            <w:bookmarkEnd w:id="105"/>
            <w:r>
              <w:rPr>
                <w:strike w:val="0"/>
                <w:dstrike w:val="0"/>
                <w:color w:val="auto"/>
                <w:sz w:val="24"/>
                <w:highlight w:val="none"/>
              </w:rPr>
              <w:t>：</w:t>
            </w:r>
            <w:r>
              <w:rPr>
                <w:rFonts w:hint="eastAsia"/>
                <w:strike w:val="0"/>
                <w:dstrike w:val="0"/>
                <w:color w:val="auto"/>
                <w:sz w:val="24"/>
                <w:highlight w:val="none"/>
                <w:lang w:val="en-US" w:eastAsia="zh-CN"/>
              </w:rPr>
              <w:t>300</w:t>
            </w:r>
            <w:r>
              <w:rPr>
                <w:strike w:val="0"/>
                <w:dstrike w:val="0"/>
                <w:color w:val="auto"/>
                <w:sz w:val="24"/>
                <w:highlight w:val="none"/>
              </w:rPr>
              <w:t>mg/L、SS：450mg/L、NH</w:t>
            </w:r>
            <w:bookmarkStart w:id="106" w:name="OfficeAI_Del_2_126"/>
            <w:r>
              <w:rPr>
                <w:strike w:val="0"/>
                <w:dstrike w:val="0"/>
                <w:color w:val="auto"/>
                <w:sz w:val="24"/>
                <w:highlight w:val="none"/>
                <w:vertAlign w:val="subscript"/>
              </w:rPr>
              <w:t>3</w:t>
            </w:r>
            <w:bookmarkEnd w:id="106"/>
            <w:bookmarkStart w:id="107" w:name="OfficeAI_Add_2_127"/>
            <w:r>
              <w:rPr>
                <w:rFonts w:hint="eastAsia"/>
                <w:strike w:val="0"/>
                <w:dstrike w:val="0"/>
                <w:color w:val="auto"/>
                <w:sz w:val="24"/>
                <w:highlight w:val="none"/>
                <w:vertAlign w:val="subscript"/>
                <w:lang w:eastAsia="zh-CN"/>
              </w:rPr>
              <w:t xml:space="preserve"> </w:t>
            </w:r>
            <w:bookmarkEnd w:id="107"/>
            <w:r>
              <w:rPr>
                <w:strike w:val="0"/>
                <w:dstrike w:val="0"/>
                <w:color w:val="auto"/>
                <w:sz w:val="24"/>
                <w:highlight w:val="none"/>
              </w:rPr>
              <w:t>-N：</w:t>
            </w:r>
            <w:r>
              <w:rPr>
                <w:rFonts w:hint="eastAsia"/>
                <w:strike w:val="0"/>
                <w:dstrike w:val="0"/>
                <w:color w:val="auto"/>
                <w:sz w:val="24"/>
                <w:highlight w:val="none"/>
                <w:lang w:val="en-US" w:eastAsia="zh-CN"/>
              </w:rPr>
              <w:t>40</w:t>
            </w:r>
            <w:r>
              <w:rPr>
                <w:strike w:val="0"/>
                <w:dstrike w:val="0"/>
                <w:color w:val="auto"/>
                <w:sz w:val="24"/>
                <w:highlight w:val="none"/>
              </w:rPr>
              <w:t>mg/L。</w:t>
            </w:r>
          </w:p>
          <w:p w14:paraId="123AD304">
            <w:pPr>
              <w:pStyle w:val="46"/>
              <w:widowControl/>
              <w:spacing w:line="360" w:lineRule="auto"/>
              <w:ind w:firstLine="480" w:firstLineChars="200"/>
              <w:rPr>
                <w:strike w:val="0"/>
                <w:dstrike w:val="0"/>
                <w:color w:val="auto"/>
                <w:highlight w:val="none"/>
              </w:rPr>
            </w:pPr>
            <w:r>
              <w:rPr>
                <w:strike w:val="0"/>
                <w:dstrike w:val="0"/>
                <w:color w:val="auto"/>
                <w:highlight w:val="none"/>
              </w:rPr>
              <w:t>员工生活污水和过往驾乘人员生活污水经生化池处理达</w:t>
            </w:r>
            <w:r>
              <w:rPr>
                <w:strike w:val="0"/>
                <w:dstrike w:val="0"/>
                <w:color w:val="auto"/>
                <w:kern w:val="0"/>
                <w:highlight w:val="none"/>
              </w:rPr>
              <w:t>《污水综合排放标准》（GB8978-1996）三级标准（其中氨氮执行《污水排入城镇下水道水质标准》（GB/T31962-2015））后</w:t>
            </w:r>
            <w:r>
              <w:rPr>
                <w:strike w:val="0"/>
                <w:dstrike w:val="0"/>
                <w:color w:val="auto"/>
                <w:highlight w:val="none"/>
              </w:rPr>
              <w:t>经</w:t>
            </w:r>
            <w:r>
              <w:rPr>
                <w:rFonts w:hint="eastAsia"/>
                <w:strike w:val="0"/>
                <w:dstrike w:val="0"/>
                <w:color w:val="auto"/>
                <w:highlight w:val="none"/>
              </w:rPr>
              <w:t>市政污水管网</w:t>
            </w:r>
            <w:r>
              <w:rPr>
                <w:strike w:val="0"/>
                <w:dstrike w:val="0"/>
                <w:color w:val="auto"/>
                <w:highlight w:val="none"/>
              </w:rPr>
              <w:t>排入</w:t>
            </w:r>
            <w:r>
              <w:rPr>
                <w:rFonts w:hint="eastAsia"/>
                <w:strike w:val="0"/>
                <w:dstrike w:val="0"/>
                <w:color w:val="auto"/>
                <w:highlight w:val="none"/>
                <w:lang w:eastAsia="zh-CN"/>
              </w:rPr>
              <w:t>微车基地污水处理厂</w:t>
            </w:r>
            <w:r>
              <w:rPr>
                <w:strike w:val="0"/>
                <w:dstrike w:val="0"/>
                <w:color w:val="auto"/>
                <w:highlight w:val="none"/>
              </w:rPr>
              <w:t>处理达《城镇污水处理</w:t>
            </w:r>
            <w:r>
              <w:rPr>
                <w:bCs/>
                <w:strike w:val="0"/>
                <w:dstrike w:val="0"/>
                <w:color w:val="auto"/>
                <w:highlight w:val="none"/>
              </w:rPr>
              <w:t>厂污染物排放标准》(GB18918-2002)一级A标后排入柏水溪，最终汇入嘉陵江。</w:t>
            </w:r>
          </w:p>
          <w:p w14:paraId="6F0E3F2E">
            <w:pPr>
              <w:pStyle w:val="46"/>
              <w:widowControl/>
              <w:spacing w:line="360" w:lineRule="auto"/>
              <w:ind w:firstLine="480" w:firstLineChars="200"/>
              <w:rPr>
                <w:strike w:val="0"/>
                <w:dstrike w:val="0"/>
                <w:color w:val="auto"/>
                <w:highlight w:val="none"/>
              </w:rPr>
            </w:pPr>
            <w:r>
              <w:rPr>
                <w:strike w:val="0"/>
                <w:dstrike w:val="0"/>
                <w:color w:val="auto"/>
                <w:highlight w:val="none"/>
              </w:rPr>
              <w:t>③初期雨水</w:t>
            </w:r>
          </w:p>
          <w:p w14:paraId="767FB244">
            <w:pPr>
              <w:spacing w:line="360" w:lineRule="auto"/>
              <w:ind w:firstLine="480" w:firstLineChars="200"/>
              <w:jc w:val="left"/>
              <w:rPr>
                <w:strike w:val="0"/>
                <w:dstrike w:val="0"/>
                <w:color w:val="auto"/>
                <w:sz w:val="24"/>
                <w:highlight w:val="none"/>
              </w:rPr>
            </w:pPr>
            <w:r>
              <w:rPr>
                <w:strike w:val="0"/>
                <w:dstrike w:val="0"/>
                <w:color w:val="auto"/>
                <w:sz w:val="24"/>
                <w:highlight w:val="none"/>
              </w:rPr>
              <w:t>初期雨水量按以下公式计算：</w:t>
            </w:r>
          </w:p>
          <w:p w14:paraId="083846B1">
            <w:pPr>
              <w:spacing w:line="360" w:lineRule="auto"/>
              <w:jc w:val="center"/>
              <w:rPr>
                <w:strike w:val="0"/>
                <w:dstrike w:val="0"/>
                <w:color w:val="auto"/>
                <w:sz w:val="24"/>
                <w:highlight w:val="none"/>
              </w:rPr>
            </w:pPr>
            <w:r>
              <w:rPr>
                <w:rStyle w:val="27"/>
                <w:i w:val="0"/>
                <w:strike w:val="0"/>
                <w:dstrike w:val="0"/>
                <w:color w:val="auto"/>
                <w:sz w:val="24"/>
                <w:highlight w:val="none"/>
                <w:shd w:val="clear" w:color="auto" w:fill="FFFFFF"/>
              </w:rPr>
              <w:t>Q=q•ψ•F</w:t>
            </w:r>
          </w:p>
          <w:p w14:paraId="2647ADB1">
            <w:pPr>
              <w:spacing w:line="360" w:lineRule="auto"/>
              <w:ind w:firstLine="480" w:firstLineChars="200"/>
              <w:jc w:val="left"/>
              <w:rPr>
                <w:strike w:val="0"/>
                <w:dstrike w:val="0"/>
                <w:color w:val="auto"/>
                <w:sz w:val="24"/>
                <w:highlight w:val="none"/>
              </w:rPr>
            </w:pPr>
            <w:r>
              <w:rPr>
                <w:strike w:val="0"/>
                <w:dstrike w:val="0"/>
                <w:color w:val="auto"/>
                <w:sz w:val="24"/>
                <w:highlight w:val="none"/>
              </w:rPr>
              <w:t>式中：</w:t>
            </w:r>
            <w:r>
              <w:rPr>
                <w:rFonts w:eastAsia="TimesNewRomanPSMT"/>
                <w:strike w:val="0"/>
                <w:dstrike w:val="0"/>
                <w:color w:val="auto"/>
                <w:sz w:val="24"/>
                <w:highlight w:val="none"/>
              </w:rPr>
              <w:t>Q——</w:t>
            </w:r>
            <w:r>
              <w:rPr>
                <w:strike w:val="0"/>
                <w:dstrike w:val="0"/>
                <w:color w:val="auto"/>
                <w:sz w:val="24"/>
                <w:highlight w:val="none"/>
              </w:rPr>
              <w:t>雨水流量，</w:t>
            </w:r>
            <w:r>
              <w:rPr>
                <w:rFonts w:eastAsia="TimesNewRomanPSMT"/>
                <w:strike w:val="0"/>
                <w:dstrike w:val="0"/>
                <w:color w:val="auto"/>
                <w:sz w:val="24"/>
                <w:highlight w:val="none"/>
              </w:rPr>
              <w:t>L/s</w:t>
            </w:r>
            <w:r>
              <w:rPr>
                <w:strike w:val="0"/>
                <w:dstrike w:val="0"/>
                <w:color w:val="auto"/>
                <w:sz w:val="24"/>
                <w:highlight w:val="none"/>
              </w:rPr>
              <w:t>；</w:t>
            </w:r>
          </w:p>
          <w:p w14:paraId="37766DA6">
            <w:pPr>
              <w:spacing w:line="360" w:lineRule="auto"/>
              <w:ind w:firstLine="1200" w:firstLineChars="500"/>
              <w:jc w:val="left"/>
              <w:rPr>
                <w:strike w:val="0"/>
                <w:dstrike w:val="0"/>
                <w:color w:val="auto"/>
                <w:sz w:val="24"/>
                <w:highlight w:val="none"/>
              </w:rPr>
            </w:pPr>
            <w:r>
              <w:rPr>
                <w:strike w:val="0"/>
                <w:dstrike w:val="0"/>
                <w:color w:val="auto"/>
                <w:sz w:val="24"/>
                <w:highlight w:val="none"/>
                <w:shd w:val="clear" w:color="auto" w:fill="FFFFFF"/>
              </w:rPr>
              <w:t>Ψ</w:t>
            </w:r>
            <w:r>
              <w:rPr>
                <w:rFonts w:eastAsia="TimesNewRomanPSMT"/>
                <w:strike w:val="0"/>
                <w:dstrike w:val="0"/>
                <w:color w:val="auto"/>
                <w:sz w:val="24"/>
                <w:highlight w:val="none"/>
              </w:rPr>
              <w:t>—</w:t>
            </w:r>
            <w:r>
              <w:rPr>
                <w:strike w:val="0"/>
                <w:dstrike w:val="0"/>
                <w:color w:val="auto"/>
                <w:sz w:val="24"/>
                <w:highlight w:val="none"/>
              </w:rPr>
              <w:t>径流系数，本项目为混凝土路面，取值为</w:t>
            </w:r>
            <w:r>
              <w:rPr>
                <w:rFonts w:eastAsia="TimesNewRomanPSMT"/>
                <w:strike w:val="0"/>
                <w:dstrike w:val="0"/>
                <w:color w:val="auto"/>
                <w:sz w:val="24"/>
                <w:highlight w:val="none"/>
              </w:rPr>
              <w:t>0.85~0.95</w:t>
            </w:r>
            <w:r>
              <w:rPr>
                <w:strike w:val="0"/>
                <w:dstrike w:val="0"/>
                <w:color w:val="auto"/>
                <w:sz w:val="24"/>
                <w:highlight w:val="none"/>
              </w:rPr>
              <w:t>，本评价取中间值</w:t>
            </w:r>
            <w:r>
              <w:rPr>
                <w:rFonts w:eastAsia="TimesNewRomanPSMT"/>
                <w:strike w:val="0"/>
                <w:dstrike w:val="0"/>
                <w:color w:val="auto"/>
                <w:sz w:val="24"/>
                <w:highlight w:val="none"/>
              </w:rPr>
              <w:t>0.9</w:t>
            </w:r>
            <w:r>
              <w:rPr>
                <w:strike w:val="0"/>
                <w:dstrike w:val="0"/>
                <w:color w:val="auto"/>
                <w:sz w:val="24"/>
                <w:highlight w:val="none"/>
              </w:rPr>
              <w:t>；</w:t>
            </w:r>
          </w:p>
          <w:p w14:paraId="5A7B68F0">
            <w:pPr>
              <w:spacing w:line="360" w:lineRule="auto"/>
              <w:ind w:firstLine="1200" w:firstLineChars="500"/>
              <w:jc w:val="left"/>
              <w:rPr>
                <w:strike w:val="0"/>
                <w:dstrike w:val="0"/>
                <w:color w:val="auto"/>
                <w:sz w:val="24"/>
                <w:highlight w:val="none"/>
              </w:rPr>
            </w:pPr>
            <w:r>
              <w:rPr>
                <w:rFonts w:eastAsia="TimesNewRomanPSMT"/>
                <w:strike w:val="0"/>
                <w:dstrike w:val="0"/>
                <w:color w:val="auto"/>
                <w:sz w:val="24"/>
                <w:highlight w:val="none"/>
              </w:rPr>
              <w:t>q——</w:t>
            </w:r>
            <w:r>
              <w:rPr>
                <w:strike w:val="0"/>
                <w:dstrike w:val="0"/>
                <w:color w:val="auto"/>
                <w:sz w:val="24"/>
                <w:highlight w:val="none"/>
              </w:rPr>
              <w:t>设计暴雨强度，</w:t>
            </w:r>
            <w:r>
              <w:rPr>
                <w:rFonts w:eastAsia="TimesNewRomanPSMT"/>
                <w:strike w:val="0"/>
                <w:dstrike w:val="0"/>
                <w:color w:val="auto"/>
                <w:sz w:val="24"/>
                <w:highlight w:val="none"/>
              </w:rPr>
              <w:t>L/s·hm</w:t>
            </w:r>
            <w:r>
              <w:rPr>
                <w:strike w:val="0"/>
                <w:dstrike w:val="0"/>
                <w:color w:val="auto"/>
                <w:sz w:val="24"/>
                <w:highlight w:val="none"/>
                <w:vertAlign w:val="superscript"/>
              </w:rPr>
              <w:t>2</w:t>
            </w:r>
            <w:r>
              <w:rPr>
                <w:strike w:val="0"/>
                <w:dstrike w:val="0"/>
                <w:color w:val="auto"/>
                <w:sz w:val="24"/>
                <w:highlight w:val="none"/>
              </w:rPr>
              <w:t>；</w:t>
            </w:r>
          </w:p>
          <w:p w14:paraId="704A83C3">
            <w:pPr>
              <w:spacing w:line="360" w:lineRule="auto"/>
              <w:ind w:firstLine="1200" w:firstLineChars="500"/>
              <w:jc w:val="left"/>
              <w:rPr>
                <w:strike w:val="0"/>
                <w:dstrike w:val="0"/>
                <w:color w:val="auto"/>
                <w:sz w:val="24"/>
                <w:highlight w:val="none"/>
              </w:rPr>
            </w:pPr>
            <w:r>
              <w:rPr>
                <w:rFonts w:eastAsia="TimesNewRomanPSMT"/>
                <w:strike w:val="0"/>
                <w:dstrike w:val="0"/>
                <w:color w:val="auto"/>
                <w:sz w:val="24"/>
                <w:highlight w:val="none"/>
              </w:rPr>
              <w:t>F——</w:t>
            </w:r>
            <w:r>
              <w:rPr>
                <w:strike w:val="0"/>
                <w:dstrike w:val="0"/>
                <w:color w:val="auto"/>
                <w:sz w:val="24"/>
                <w:highlight w:val="none"/>
              </w:rPr>
              <w:t>汇水面积，</w:t>
            </w:r>
            <w:r>
              <w:rPr>
                <w:rFonts w:eastAsia="TimesNewRomanPSMT"/>
                <w:strike w:val="0"/>
                <w:dstrike w:val="0"/>
                <w:color w:val="auto"/>
                <w:sz w:val="24"/>
                <w:highlight w:val="none"/>
              </w:rPr>
              <w:t>hm</w:t>
            </w:r>
            <w:r>
              <w:rPr>
                <w:strike w:val="0"/>
                <w:dstrike w:val="0"/>
                <w:color w:val="auto"/>
                <w:sz w:val="24"/>
                <w:highlight w:val="none"/>
                <w:vertAlign w:val="superscript"/>
              </w:rPr>
              <w:t>2</w:t>
            </w:r>
            <w:r>
              <w:rPr>
                <w:rFonts w:hint="eastAsia"/>
                <w:strike w:val="0"/>
                <w:dstrike w:val="0"/>
                <w:color w:val="auto"/>
                <w:sz w:val="24"/>
                <w:highlight w:val="none"/>
                <w:lang w:eastAsia="zh-CN"/>
              </w:rPr>
              <w:t>；</w:t>
            </w:r>
            <w:r>
              <w:rPr>
                <w:strike w:val="0"/>
                <w:dstrike w:val="0"/>
                <w:color w:val="auto"/>
                <w:sz w:val="24"/>
                <w:highlight w:val="none"/>
              </w:rPr>
              <w:t>仅考虑卸油区域，面积约</w:t>
            </w:r>
            <w:r>
              <w:rPr>
                <w:rFonts w:hint="eastAsia"/>
                <w:strike w:val="0"/>
                <w:dstrike w:val="0"/>
                <w:color w:val="auto"/>
                <w:sz w:val="24"/>
                <w:highlight w:val="none"/>
                <w:lang w:val="en-US" w:eastAsia="zh-CN"/>
              </w:rPr>
              <w:t>0.003h</w:t>
            </w:r>
            <w:r>
              <w:rPr>
                <w:rFonts w:eastAsia="TimesNewRomanPSMT"/>
                <w:strike w:val="0"/>
                <w:dstrike w:val="0"/>
                <w:color w:val="auto"/>
                <w:sz w:val="24"/>
                <w:highlight w:val="none"/>
              </w:rPr>
              <w:t>m</w:t>
            </w:r>
            <w:r>
              <w:rPr>
                <w:strike w:val="0"/>
                <w:dstrike w:val="0"/>
                <w:color w:val="auto"/>
                <w:sz w:val="24"/>
                <w:highlight w:val="none"/>
                <w:vertAlign w:val="superscript"/>
              </w:rPr>
              <w:t>2</w:t>
            </w:r>
            <w:r>
              <w:rPr>
                <w:strike w:val="0"/>
                <w:dstrike w:val="0"/>
                <w:color w:val="auto"/>
                <w:sz w:val="24"/>
                <w:highlight w:val="none"/>
              </w:rPr>
              <w:t>。</w:t>
            </w:r>
          </w:p>
          <w:p w14:paraId="6506B3C8">
            <w:pPr>
              <w:spacing w:line="360" w:lineRule="auto"/>
              <w:ind w:firstLine="480" w:firstLineChars="200"/>
              <w:jc w:val="left"/>
              <w:rPr>
                <w:strike w:val="0"/>
                <w:dstrike w:val="0"/>
                <w:color w:val="auto"/>
                <w:sz w:val="24"/>
                <w:highlight w:val="none"/>
              </w:rPr>
            </w:pPr>
            <w:r>
              <w:rPr>
                <w:strike w:val="0"/>
                <w:dstrike w:val="0"/>
                <w:color w:val="auto"/>
                <w:sz w:val="24"/>
                <w:highlight w:val="none"/>
              </w:rPr>
              <w:t>根据《关于发布重庆市暴雨强度修订公式及设计暴雨雨型的通知》（渝建</w:t>
            </w:r>
            <w:r>
              <w:rPr>
                <w:rFonts w:eastAsia="TimesNewRomanPSMT"/>
                <w:strike w:val="0"/>
                <w:dstrike w:val="0"/>
                <w:color w:val="auto"/>
                <w:sz w:val="24"/>
                <w:highlight w:val="none"/>
              </w:rPr>
              <w:t xml:space="preserve">[2017]443 </w:t>
            </w:r>
            <w:r>
              <w:rPr>
                <w:strike w:val="0"/>
                <w:dstrike w:val="0"/>
                <w:color w:val="auto"/>
                <w:sz w:val="24"/>
                <w:highlight w:val="none"/>
              </w:rPr>
              <w:t>号）可知，暴雨流量计算公式：</w:t>
            </w:r>
          </w:p>
          <w:p w14:paraId="4E62C44C">
            <w:pPr>
              <w:spacing w:line="360" w:lineRule="auto"/>
              <w:jc w:val="center"/>
              <w:rPr>
                <w:strike w:val="0"/>
                <w:dstrike w:val="0"/>
                <w:color w:val="auto"/>
                <w:sz w:val="24"/>
                <w:highlight w:val="none"/>
              </w:rPr>
            </w:pPr>
            <w:r>
              <w:rPr>
                <w:strike w:val="0"/>
                <w:dstrike w:val="0"/>
                <w:color w:val="auto"/>
                <w:sz w:val="24"/>
                <w:highlight w:val="none"/>
              </w:rPr>
              <w:drawing>
                <wp:inline distT="0" distB="0" distL="114300" distR="114300">
                  <wp:extent cx="1714500" cy="514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1714500" cy="514350"/>
                          </a:xfrm>
                          <a:prstGeom prst="rect">
                            <a:avLst/>
                          </a:prstGeom>
                          <a:noFill/>
                          <a:ln>
                            <a:noFill/>
                          </a:ln>
                        </pic:spPr>
                      </pic:pic>
                    </a:graphicData>
                  </a:graphic>
                </wp:inline>
              </w:drawing>
            </w:r>
          </w:p>
          <w:p w14:paraId="7C8153BA">
            <w:pPr>
              <w:spacing w:line="360" w:lineRule="auto"/>
              <w:ind w:firstLine="480" w:firstLineChars="200"/>
              <w:jc w:val="left"/>
              <w:rPr>
                <w:strike w:val="0"/>
                <w:dstrike w:val="0"/>
                <w:color w:val="auto"/>
                <w:sz w:val="24"/>
                <w:highlight w:val="none"/>
              </w:rPr>
            </w:pPr>
            <w:r>
              <w:rPr>
                <w:strike w:val="0"/>
                <w:dstrike w:val="0"/>
                <w:color w:val="auto"/>
                <w:sz w:val="24"/>
                <w:highlight w:val="none"/>
              </w:rPr>
              <w:t>式中：</w:t>
            </w:r>
            <w:r>
              <w:rPr>
                <w:rFonts w:eastAsia="TimesNewRomanPSMT"/>
                <w:strike w:val="0"/>
                <w:dstrike w:val="0"/>
                <w:color w:val="auto"/>
                <w:sz w:val="24"/>
                <w:highlight w:val="none"/>
              </w:rPr>
              <w:t>q—</w:t>
            </w:r>
            <w:r>
              <w:rPr>
                <w:strike w:val="0"/>
                <w:dstrike w:val="0"/>
                <w:color w:val="auto"/>
                <w:sz w:val="24"/>
                <w:highlight w:val="none"/>
              </w:rPr>
              <w:t>暴雨强度（</w:t>
            </w:r>
            <w:r>
              <w:rPr>
                <w:rFonts w:eastAsia="TimesNewRomanPSMT"/>
                <w:strike w:val="0"/>
                <w:dstrike w:val="0"/>
                <w:color w:val="auto"/>
                <w:sz w:val="24"/>
                <w:highlight w:val="none"/>
              </w:rPr>
              <w:t>L/s·</w:t>
            </w:r>
            <w:r>
              <w:rPr>
                <w:strike w:val="0"/>
                <w:dstrike w:val="0"/>
                <w:color w:val="auto"/>
                <w:sz w:val="24"/>
                <w:highlight w:val="none"/>
              </w:rPr>
              <w:t>公顷）。</w:t>
            </w:r>
          </w:p>
          <w:p w14:paraId="00CCF6F0">
            <w:pPr>
              <w:spacing w:line="360" w:lineRule="auto"/>
              <w:ind w:firstLine="1200" w:firstLineChars="500"/>
              <w:jc w:val="left"/>
              <w:rPr>
                <w:strike w:val="0"/>
                <w:dstrike w:val="0"/>
                <w:color w:val="auto"/>
                <w:sz w:val="24"/>
                <w:highlight w:val="none"/>
              </w:rPr>
            </w:pPr>
            <w:r>
              <w:rPr>
                <w:rFonts w:eastAsia="TimesNewRomanPSMT"/>
                <w:strike w:val="0"/>
                <w:dstrike w:val="0"/>
                <w:color w:val="auto"/>
                <w:sz w:val="24"/>
                <w:highlight w:val="none"/>
              </w:rPr>
              <w:t>P—</w:t>
            </w:r>
            <w:r>
              <w:rPr>
                <w:strike w:val="0"/>
                <w:dstrike w:val="0"/>
                <w:color w:val="auto"/>
                <w:sz w:val="24"/>
                <w:highlight w:val="none"/>
              </w:rPr>
              <w:t>设计重现期（</w:t>
            </w:r>
            <w:r>
              <w:rPr>
                <w:rFonts w:eastAsia="TimesNewRomanPSMT"/>
                <w:strike w:val="0"/>
                <w:dstrike w:val="0"/>
                <w:color w:val="auto"/>
                <w:sz w:val="24"/>
                <w:highlight w:val="none"/>
              </w:rPr>
              <w:t>a</w:t>
            </w:r>
            <w:r>
              <w:rPr>
                <w:strike w:val="0"/>
                <w:dstrike w:val="0"/>
                <w:color w:val="auto"/>
                <w:sz w:val="24"/>
                <w:highlight w:val="none"/>
              </w:rPr>
              <w:t>）。</w:t>
            </w:r>
          </w:p>
          <w:p w14:paraId="05A35D7C">
            <w:pPr>
              <w:spacing w:line="360" w:lineRule="auto"/>
              <w:ind w:firstLine="1200" w:firstLineChars="500"/>
              <w:jc w:val="left"/>
              <w:rPr>
                <w:strike w:val="0"/>
                <w:dstrike w:val="0"/>
                <w:color w:val="auto"/>
                <w:sz w:val="24"/>
                <w:highlight w:val="none"/>
              </w:rPr>
            </w:pPr>
            <w:r>
              <w:rPr>
                <w:rFonts w:eastAsia="TimesNewRomanPSMT"/>
                <w:strike w:val="0"/>
                <w:dstrike w:val="0"/>
                <w:color w:val="auto"/>
                <w:sz w:val="24"/>
                <w:highlight w:val="none"/>
              </w:rPr>
              <w:t>t—</w:t>
            </w:r>
            <w:r>
              <w:rPr>
                <w:strike w:val="0"/>
                <w:dstrike w:val="0"/>
                <w:color w:val="auto"/>
                <w:sz w:val="24"/>
                <w:highlight w:val="none"/>
              </w:rPr>
              <w:t>降雨历时（</w:t>
            </w:r>
            <w:r>
              <w:rPr>
                <w:rFonts w:eastAsia="TimesNewRomanPSMT"/>
                <w:strike w:val="0"/>
                <w:dstrike w:val="0"/>
                <w:color w:val="auto"/>
                <w:sz w:val="24"/>
                <w:highlight w:val="none"/>
              </w:rPr>
              <w:t>min</w:t>
            </w:r>
            <w:r>
              <w:rPr>
                <w:strike w:val="0"/>
                <w:dstrike w:val="0"/>
                <w:color w:val="auto"/>
                <w:sz w:val="24"/>
                <w:highlight w:val="none"/>
              </w:rPr>
              <w:t>）。</w:t>
            </w:r>
          </w:p>
          <w:p w14:paraId="014CB7B0">
            <w:pPr>
              <w:spacing w:line="360" w:lineRule="auto"/>
              <w:ind w:firstLine="480" w:firstLineChars="200"/>
              <w:jc w:val="left"/>
              <w:rPr>
                <w:strike w:val="0"/>
                <w:dstrike w:val="0"/>
                <w:color w:val="auto"/>
                <w:sz w:val="24"/>
                <w:highlight w:val="none"/>
              </w:rPr>
            </w:pPr>
            <w:r>
              <w:rPr>
                <w:strike w:val="0"/>
                <w:dstrike w:val="0"/>
                <w:color w:val="auto"/>
                <w:sz w:val="24"/>
                <w:highlight w:val="none"/>
              </w:rPr>
              <w:t>设计雨水重现期地面采用</w:t>
            </w:r>
            <w:r>
              <w:rPr>
                <w:rFonts w:eastAsia="TimesNewRomanPSMT"/>
                <w:strike w:val="0"/>
                <w:dstrike w:val="0"/>
                <w:color w:val="auto"/>
                <w:sz w:val="24"/>
                <w:highlight w:val="none"/>
              </w:rPr>
              <w:t xml:space="preserve">5 </w:t>
            </w:r>
            <w:r>
              <w:rPr>
                <w:strike w:val="0"/>
                <w:dstrike w:val="0"/>
                <w:color w:val="auto"/>
                <w:sz w:val="24"/>
                <w:highlight w:val="none"/>
              </w:rPr>
              <w:t>年，降雨历时</w:t>
            </w:r>
            <w:r>
              <w:rPr>
                <w:rFonts w:eastAsia="TimesNewRomanPSMT"/>
                <w:strike w:val="0"/>
                <w:dstrike w:val="0"/>
                <w:color w:val="auto"/>
                <w:sz w:val="24"/>
                <w:highlight w:val="none"/>
              </w:rPr>
              <w:t>10min</w:t>
            </w:r>
            <w:r>
              <w:rPr>
                <w:strike w:val="0"/>
                <w:dstrike w:val="0"/>
                <w:color w:val="auto"/>
                <w:sz w:val="24"/>
                <w:highlight w:val="none"/>
              </w:rPr>
              <w:t>，设计暴雨强度</w:t>
            </w:r>
            <w:r>
              <w:rPr>
                <w:rFonts w:eastAsia="TimesNewRomanPSMT"/>
                <w:strike w:val="0"/>
                <w:dstrike w:val="0"/>
                <w:color w:val="auto"/>
                <w:sz w:val="24"/>
                <w:highlight w:val="none"/>
              </w:rPr>
              <w:t>q=346.4L/s·hm</w:t>
            </w:r>
            <w:r>
              <w:rPr>
                <w:strike w:val="0"/>
                <w:dstrike w:val="0"/>
                <w:color w:val="auto"/>
                <w:sz w:val="24"/>
                <w:highlight w:val="none"/>
                <w:vertAlign w:val="superscript"/>
              </w:rPr>
              <w:t>2</w:t>
            </w:r>
            <w:r>
              <w:rPr>
                <w:strike w:val="0"/>
                <w:dstrike w:val="0"/>
                <w:color w:val="auto"/>
                <w:sz w:val="24"/>
                <w:highlight w:val="none"/>
              </w:rPr>
              <w:t>。</w:t>
            </w:r>
          </w:p>
          <w:p w14:paraId="369EAFED">
            <w:pPr>
              <w:spacing w:line="360" w:lineRule="auto"/>
              <w:ind w:firstLine="480" w:firstLineChars="200"/>
              <w:rPr>
                <w:strike w:val="0"/>
                <w:dstrike w:val="0"/>
                <w:color w:val="auto"/>
                <w:sz w:val="24"/>
                <w:highlight w:val="none"/>
              </w:rPr>
            </w:pPr>
            <w:r>
              <w:rPr>
                <w:strike w:val="0"/>
                <w:dstrike w:val="0"/>
                <w:color w:val="auto"/>
                <w:sz w:val="24"/>
                <w:highlight w:val="none"/>
              </w:rPr>
              <w:t>加油加气站易受污染部分主要为加气区、加油区及卸油区，加气区设置有加气雨棚，加油区设置有加油棚，经管道收集至雨水管网，不会受雨水冲刷。因此，本次评价初期雨水集雨面积仅考虑卸油区域，面积约30</w:t>
            </w:r>
            <w:r>
              <w:rPr>
                <w:rFonts w:eastAsia="TimesNewRomanPSMT"/>
                <w:strike w:val="0"/>
                <w:dstrike w:val="0"/>
                <w:color w:val="auto"/>
                <w:sz w:val="24"/>
                <w:highlight w:val="none"/>
              </w:rPr>
              <w:t>m</w:t>
            </w:r>
            <w:bookmarkStart w:id="108" w:name="OfficeAI_Del_0_95"/>
            <w:r>
              <w:rPr>
                <w:strike w:val="0"/>
                <w:dstrike w:val="0"/>
                <w:color w:val="auto"/>
                <w:sz w:val="24"/>
                <w:highlight w:val="none"/>
                <w:vertAlign w:val="superscript"/>
              </w:rPr>
              <w:t>2</w:t>
            </w:r>
            <w:bookmarkEnd w:id="108"/>
            <w:r>
              <w:rPr>
                <w:strike w:val="0"/>
                <w:dstrike w:val="0"/>
                <w:color w:val="auto"/>
                <w:sz w:val="24"/>
                <w:highlight w:val="none"/>
              </w:rPr>
              <w:t>。经计算，本项目初期雨水量为0.935</w:t>
            </w:r>
            <w:r>
              <w:rPr>
                <w:rFonts w:eastAsia="TimesNewRomanPSMT"/>
                <w:strike w:val="0"/>
                <w:dstrike w:val="0"/>
                <w:color w:val="auto"/>
                <w:sz w:val="24"/>
                <w:highlight w:val="none"/>
              </w:rPr>
              <w:t>L/s</w:t>
            </w:r>
            <w:r>
              <w:rPr>
                <w:strike w:val="0"/>
                <w:dstrike w:val="0"/>
                <w:color w:val="auto"/>
                <w:sz w:val="24"/>
                <w:highlight w:val="none"/>
              </w:rPr>
              <w:t>，暴雨持续时间按照10min</w:t>
            </w:r>
            <w:r>
              <w:rPr>
                <w:rFonts w:hint="eastAsia"/>
                <w:strike w:val="0"/>
                <w:dstrike w:val="0"/>
                <w:color w:val="auto"/>
                <w:sz w:val="24"/>
                <w:highlight w:val="none"/>
                <w:lang w:eastAsia="zh-CN"/>
              </w:rPr>
              <w:t xml:space="preserve"> </w:t>
            </w:r>
            <w:r>
              <w:rPr>
                <w:strike w:val="0"/>
                <w:dstrike w:val="0"/>
                <w:color w:val="auto"/>
                <w:sz w:val="24"/>
                <w:highlight w:val="none"/>
              </w:rPr>
              <w:t>计算，则一次雨水量约0.561m</w:t>
            </w:r>
            <w:bookmarkStart w:id="109" w:name="OfficeAI_Del_0_150"/>
            <w:r>
              <w:rPr>
                <w:strike w:val="0"/>
                <w:dstrike w:val="0"/>
                <w:color w:val="auto"/>
                <w:sz w:val="24"/>
                <w:highlight w:val="none"/>
                <w:vertAlign w:val="superscript"/>
              </w:rPr>
              <w:t>3</w:t>
            </w:r>
            <w:bookmarkEnd w:id="109"/>
            <w:r>
              <w:rPr>
                <w:strike w:val="0"/>
                <w:dstrike w:val="0"/>
                <w:color w:val="auto"/>
                <w:sz w:val="24"/>
                <w:highlight w:val="none"/>
              </w:rPr>
              <w:t>/次。主要污染物及产生浓度为SS 500mg/L、石油类</w:t>
            </w:r>
            <w:r>
              <w:rPr>
                <w:rFonts w:hint="eastAsia"/>
                <w:strike w:val="0"/>
                <w:dstrike w:val="0"/>
                <w:color w:val="auto"/>
                <w:sz w:val="24"/>
                <w:highlight w:val="none"/>
                <w:lang w:val="en-US" w:eastAsia="zh-CN"/>
              </w:rPr>
              <w:t>20</w:t>
            </w:r>
            <w:r>
              <w:rPr>
                <w:strike w:val="0"/>
                <w:dstrike w:val="0"/>
                <w:color w:val="auto"/>
                <w:sz w:val="24"/>
                <w:highlight w:val="none"/>
              </w:rPr>
              <w:t>mg/L。项目三段式隔油池</w:t>
            </w:r>
            <w:r>
              <w:rPr>
                <w:rFonts w:hint="eastAsia"/>
                <w:strike w:val="0"/>
                <w:dstrike w:val="0"/>
                <w:color w:val="auto"/>
                <w:sz w:val="24"/>
                <w:highlight w:val="none"/>
                <w:lang w:val="en-US" w:eastAsia="zh-CN"/>
              </w:rPr>
              <w:t>处理能力6</w:t>
            </w:r>
            <w:r>
              <w:rPr>
                <w:strike w:val="0"/>
                <w:dstrike w:val="0"/>
                <w:color w:val="auto"/>
                <w:sz w:val="24"/>
                <w:highlight w:val="none"/>
              </w:rPr>
              <w:t>m</w:t>
            </w:r>
            <w:bookmarkStart w:id="110" w:name="OfficeAI_Del_0_201"/>
            <w:r>
              <w:rPr>
                <w:strike w:val="0"/>
                <w:dstrike w:val="0"/>
                <w:color w:val="auto"/>
                <w:sz w:val="24"/>
                <w:highlight w:val="none"/>
                <w:vertAlign w:val="superscript"/>
              </w:rPr>
              <w:t>3</w:t>
            </w:r>
            <w:bookmarkEnd w:id="110"/>
            <w:r>
              <w:rPr>
                <w:strike w:val="0"/>
                <w:dstrike w:val="0"/>
                <w:color w:val="auto"/>
                <w:sz w:val="24"/>
                <w:highlight w:val="none"/>
              </w:rPr>
              <w:t>/</w:t>
            </w:r>
            <w:r>
              <w:rPr>
                <w:rFonts w:hint="eastAsia"/>
                <w:strike w:val="0"/>
                <w:dstrike w:val="0"/>
                <w:color w:val="auto"/>
                <w:sz w:val="24"/>
                <w:highlight w:val="none"/>
                <w:lang w:val="en-US" w:eastAsia="zh-CN"/>
              </w:rPr>
              <w:t>d</w:t>
            </w:r>
            <w:r>
              <w:rPr>
                <w:strike w:val="0"/>
                <w:dstrike w:val="0"/>
                <w:color w:val="auto"/>
                <w:sz w:val="24"/>
                <w:highlight w:val="none"/>
              </w:rPr>
              <w:t>，</w:t>
            </w:r>
            <w:r>
              <w:rPr>
                <w:bCs/>
                <w:strike w:val="0"/>
                <w:dstrike w:val="0"/>
                <w:color w:val="auto"/>
                <w:sz w:val="24"/>
                <w:highlight w:val="none"/>
              </w:rPr>
              <w:t>场地冲洗废水产生量为</w:t>
            </w:r>
            <w:r>
              <w:rPr>
                <w:rFonts w:hint="eastAsia"/>
                <w:bCs/>
                <w:strike w:val="0"/>
                <w:dstrike w:val="0"/>
                <w:color w:val="auto"/>
                <w:sz w:val="24"/>
                <w:highlight w:val="none"/>
                <w:lang w:val="en-US" w:eastAsia="zh-CN"/>
              </w:rPr>
              <w:t>4.664</w:t>
            </w:r>
            <w:r>
              <w:rPr>
                <w:strike w:val="0"/>
                <w:dstrike w:val="0"/>
                <w:color w:val="auto"/>
                <w:sz w:val="24"/>
                <w:highlight w:val="none"/>
              </w:rPr>
              <w:t>m</w:t>
            </w:r>
            <w:bookmarkStart w:id="111" w:name="OfficeAI_Del_0_222"/>
            <w:r>
              <w:rPr>
                <w:strike w:val="0"/>
                <w:dstrike w:val="0"/>
                <w:color w:val="auto"/>
                <w:sz w:val="24"/>
                <w:highlight w:val="none"/>
                <w:vertAlign w:val="superscript"/>
              </w:rPr>
              <w:t>3</w:t>
            </w:r>
            <w:bookmarkEnd w:id="111"/>
            <w:r>
              <w:rPr>
                <w:strike w:val="0"/>
                <w:dstrike w:val="0"/>
                <w:color w:val="auto"/>
                <w:sz w:val="24"/>
                <w:highlight w:val="none"/>
              </w:rPr>
              <w:t>/次，剩余</w:t>
            </w:r>
            <w:r>
              <w:rPr>
                <w:rFonts w:hint="eastAsia"/>
                <w:strike w:val="0"/>
                <w:dstrike w:val="0"/>
                <w:color w:val="auto"/>
                <w:sz w:val="24"/>
                <w:highlight w:val="none"/>
                <w:lang w:val="en-US" w:eastAsia="zh-CN"/>
              </w:rPr>
              <w:t>处理</w:t>
            </w:r>
            <w:r>
              <w:rPr>
                <w:strike w:val="0"/>
                <w:dstrike w:val="0"/>
                <w:color w:val="auto"/>
                <w:sz w:val="24"/>
                <w:highlight w:val="none"/>
              </w:rPr>
              <w:t>容量为</w:t>
            </w:r>
            <w:r>
              <w:rPr>
                <w:rFonts w:hint="eastAsia"/>
                <w:strike w:val="0"/>
                <w:dstrike w:val="0"/>
                <w:color w:val="auto"/>
                <w:sz w:val="24"/>
                <w:highlight w:val="none"/>
                <w:lang w:val="en-US" w:eastAsia="zh-CN"/>
              </w:rPr>
              <w:t>1</w:t>
            </w:r>
            <w:r>
              <w:rPr>
                <w:strike w:val="0"/>
                <w:dstrike w:val="0"/>
                <w:color w:val="auto"/>
                <w:sz w:val="24"/>
                <w:highlight w:val="none"/>
              </w:rPr>
              <w:t>.</w:t>
            </w:r>
            <w:r>
              <w:rPr>
                <w:rFonts w:hint="eastAsia"/>
                <w:strike w:val="0"/>
                <w:dstrike w:val="0"/>
                <w:color w:val="auto"/>
                <w:sz w:val="24"/>
                <w:highlight w:val="none"/>
                <w:lang w:val="en-US" w:eastAsia="zh-CN"/>
              </w:rPr>
              <w:t>336</w:t>
            </w:r>
            <w:r>
              <w:rPr>
                <w:strike w:val="0"/>
                <w:dstrike w:val="0"/>
                <w:color w:val="auto"/>
                <w:sz w:val="24"/>
                <w:highlight w:val="none"/>
              </w:rPr>
              <w:t>m</w:t>
            </w:r>
            <w:bookmarkStart w:id="112" w:name="OfficeAI_Del_0_241"/>
            <w:r>
              <w:rPr>
                <w:strike w:val="0"/>
                <w:dstrike w:val="0"/>
                <w:color w:val="auto"/>
                <w:sz w:val="24"/>
                <w:highlight w:val="none"/>
                <w:vertAlign w:val="superscript"/>
              </w:rPr>
              <w:t>3</w:t>
            </w:r>
            <w:bookmarkEnd w:id="112"/>
            <w:r>
              <w:rPr>
                <w:strike w:val="0"/>
                <w:dstrike w:val="0"/>
                <w:color w:val="auto"/>
                <w:sz w:val="24"/>
                <w:highlight w:val="none"/>
              </w:rPr>
              <w:t>，能容纳初期雨水量。站内初期雨水通过</w:t>
            </w:r>
            <w:r>
              <w:rPr>
                <w:rFonts w:hint="eastAsia"/>
                <w:strike w:val="0"/>
                <w:dstrike w:val="0"/>
                <w:color w:val="auto"/>
                <w:sz w:val="24"/>
                <w:highlight w:val="none"/>
                <w:lang w:eastAsia="zh-CN"/>
              </w:rPr>
              <w:t>截流沟</w:t>
            </w:r>
            <w:r>
              <w:rPr>
                <w:strike w:val="0"/>
                <w:dstrike w:val="0"/>
                <w:color w:val="auto"/>
                <w:sz w:val="24"/>
                <w:highlight w:val="none"/>
              </w:rPr>
              <w:t>进入隔油池处理后排入市政污水管网，其他区域雨水经站内雨水管网收集排放至市政雨水管网。</w:t>
            </w:r>
          </w:p>
          <w:p w14:paraId="21DED1BE">
            <w:pPr>
              <w:pStyle w:val="66"/>
              <w:spacing w:line="360" w:lineRule="auto"/>
              <w:jc w:val="both"/>
              <w:rPr>
                <w:rFonts w:ascii="Times New Roman" w:cs="Times New Roman"/>
                <w:b/>
                <w:bCs/>
                <w:strike w:val="0"/>
                <w:dstrike w:val="0"/>
                <w:color w:val="auto"/>
                <w:highlight w:val="none"/>
              </w:rPr>
            </w:pPr>
            <w:r>
              <w:rPr>
                <w:rFonts w:ascii="Times New Roman" w:cs="Times New Roman"/>
                <w:b/>
                <w:bCs/>
                <w:strike w:val="0"/>
                <w:dstrike w:val="0"/>
                <w:color w:val="auto"/>
                <w:highlight w:val="none"/>
              </w:rPr>
              <w:t>4.2.2.2 废水处理设施</w:t>
            </w:r>
          </w:p>
          <w:p w14:paraId="4D3EA18D">
            <w:pPr>
              <w:pStyle w:val="46"/>
              <w:widowControl/>
              <w:spacing w:line="360" w:lineRule="auto"/>
              <w:ind w:firstLine="480" w:firstLineChars="200"/>
              <w:rPr>
                <w:bCs/>
                <w:strike w:val="0"/>
                <w:dstrike w:val="0"/>
                <w:color w:val="auto"/>
                <w:highlight w:val="none"/>
              </w:rPr>
            </w:pPr>
            <w:r>
              <w:rPr>
                <w:strike w:val="0"/>
                <w:dstrike w:val="0"/>
                <w:color w:val="auto"/>
                <w:kern w:val="0"/>
                <w:highlight w:val="none"/>
              </w:rPr>
              <w:t>场地冲洗废水经三段式隔油池</w:t>
            </w:r>
            <w:r>
              <w:rPr>
                <w:strike w:val="0"/>
                <w:dstrike w:val="0"/>
                <w:color w:val="auto"/>
                <w:highlight w:val="none"/>
              </w:rPr>
              <w:t>处理，员工生活污水和过往驾乘人员生活污水经生化池处理；废水处理达</w:t>
            </w:r>
            <w:r>
              <w:rPr>
                <w:strike w:val="0"/>
                <w:dstrike w:val="0"/>
                <w:color w:val="auto"/>
                <w:kern w:val="0"/>
                <w:highlight w:val="none"/>
              </w:rPr>
              <w:t>《污水综合排放标准》（GB8978-1996）三级标准（其中氨氮执行《污水排入城镇下水道水质标准》（GB/T31962-2015））后</w:t>
            </w:r>
            <w:r>
              <w:rPr>
                <w:strike w:val="0"/>
                <w:dstrike w:val="0"/>
                <w:color w:val="auto"/>
                <w:highlight w:val="none"/>
              </w:rPr>
              <w:t>经</w:t>
            </w:r>
            <w:r>
              <w:rPr>
                <w:rFonts w:hint="eastAsia"/>
                <w:strike w:val="0"/>
                <w:dstrike w:val="0"/>
                <w:color w:val="auto"/>
                <w:highlight w:val="none"/>
              </w:rPr>
              <w:t>市政污水管网</w:t>
            </w:r>
            <w:r>
              <w:rPr>
                <w:strike w:val="0"/>
                <w:dstrike w:val="0"/>
                <w:color w:val="auto"/>
                <w:highlight w:val="none"/>
              </w:rPr>
              <w:t>排入</w:t>
            </w:r>
            <w:r>
              <w:rPr>
                <w:rFonts w:hint="eastAsia"/>
                <w:strike w:val="0"/>
                <w:dstrike w:val="0"/>
                <w:color w:val="auto"/>
                <w:highlight w:val="none"/>
                <w:lang w:eastAsia="zh-CN"/>
              </w:rPr>
              <w:t>微车基地污水处理厂</w:t>
            </w:r>
            <w:r>
              <w:rPr>
                <w:strike w:val="0"/>
                <w:dstrike w:val="0"/>
                <w:color w:val="auto"/>
                <w:highlight w:val="none"/>
              </w:rPr>
              <w:t>处理达《城镇污水处理</w:t>
            </w:r>
            <w:r>
              <w:rPr>
                <w:bCs/>
                <w:strike w:val="0"/>
                <w:dstrike w:val="0"/>
                <w:color w:val="auto"/>
                <w:highlight w:val="none"/>
              </w:rPr>
              <w:t>厂污染物排放标准》(GB18918-2002)一级A标后排入柏水溪，最终汇入嘉陵江。</w:t>
            </w:r>
            <w:r>
              <w:rPr>
                <w:strike w:val="0"/>
                <w:dstrike w:val="0"/>
                <w:color w:val="auto"/>
                <w:highlight w:val="none"/>
              </w:rPr>
              <w:t>站内初期雨水通过</w:t>
            </w:r>
            <w:r>
              <w:rPr>
                <w:rFonts w:hint="eastAsia"/>
                <w:strike w:val="0"/>
                <w:dstrike w:val="0"/>
                <w:color w:val="auto"/>
                <w:highlight w:val="none"/>
                <w:lang w:eastAsia="zh-CN"/>
              </w:rPr>
              <w:t>截流沟</w:t>
            </w:r>
            <w:r>
              <w:rPr>
                <w:strike w:val="0"/>
                <w:dstrike w:val="0"/>
                <w:color w:val="auto"/>
                <w:highlight w:val="none"/>
              </w:rPr>
              <w:t>进入隔油池处理后排入市政污水管网。</w:t>
            </w:r>
          </w:p>
          <w:p w14:paraId="0B4A8BC1">
            <w:pPr>
              <w:pStyle w:val="46"/>
              <w:widowControl/>
              <w:spacing w:line="360" w:lineRule="auto"/>
              <w:ind w:firstLine="480" w:firstLineChars="200"/>
              <w:rPr>
                <w:rFonts w:ascii="Times New Roman" w:hAnsi="Times New Roman" w:eastAsia="宋体" w:cs="Times New Roman"/>
                <w:bCs/>
                <w:strike w:val="0"/>
                <w:dstrike w:val="0"/>
                <w:color w:val="auto"/>
                <w:kern w:val="2"/>
                <w:sz w:val="24"/>
                <w:szCs w:val="24"/>
                <w:highlight w:val="none"/>
                <w:lang w:val="en-US" w:eastAsia="zh-CN" w:bidi="ar-SA"/>
              </w:rPr>
            </w:pPr>
            <w:r>
              <w:rPr>
                <w:rFonts w:ascii="Times New Roman" w:hAnsi="Times New Roman" w:eastAsia="宋体" w:cs="Times New Roman"/>
                <w:bCs/>
                <w:strike w:val="0"/>
                <w:dstrike w:val="0"/>
                <w:color w:val="auto"/>
                <w:kern w:val="2"/>
                <w:sz w:val="24"/>
                <w:szCs w:val="24"/>
                <w:highlight w:val="none"/>
                <w:lang w:val="en-US" w:eastAsia="zh-CN" w:bidi="ar-SA"/>
              </w:rPr>
              <w:t>项目废水三段式隔油池</w:t>
            </w:r>
            <w:r>
              <w:rPr>
                <w:rFonts w:hint="eastAsia" w:ascii="Times New Roman" w:hAnsi="Times New Roman" w:eastAsia="宋体" w:cs="Times New Roman"/>
                <w:bCs/>
                <w:strike w:val="0"/>
                <w:dstrike w:val="0"/>
                <w:color w:val="auto"/>
                <w:kern w:val="2"/>
                <w:sz w:val="24"/>
                <w:szCs w:val="24"/>
                <w:highlight w:val="none"/>
                <w:lang w:val="en-US" w:eastAsia="zh-CN" w:bidi="ar-SA"/>
              </w:rPr>
              <w:t>处理能力为6m</w:t>
            </w:r>
            <w:r>
              <w:rPr>
                <w:rFonts w:ascii="Times New Roman" w:hAnsi="Times New Roman" w:eastAsia="宋体" w:cs="Times New Roman"/>
                <w:bCs/>
                <w:strike w:val="0"/>
                <w:dstrike w:val="0"/>
                <w:color w:val="auto"/>
                <w:kern w:val="2"/>
                <w:sz w:val="24"/>
                <w:szCs w:val="24"/>
                <w:highlight w:val="none"/>
                <w:vertAlign w:val="superscript"/>
                <w:lang w:val="en-US" w:eastAsia="zh-CN" w:bidi="ar-SA"/>
              </w:rPr>
              <w:t>3</w:t>
            </w:r>
            <w:r>
              <w:rPr>
                <w:rFonts w:ascii="Times New Roman" w:hAnsi="Times New Roman" w:eastAsia="宋体" w:cs="Times New Roman"/>
                <w:bCs/>
                <w:strike w:val="0"/>
                <w:dstrike w:val="0"/>
                <w:color w:val="auto"/>
                <w:kern w:val="2"/>
                <w:sz w:val="24"/>
                <w:szCs w:val="24"/>
                <w:highlight w:val="none"/>
                <w:lang w:val="en-US" w:eastAsia="zh-CN" w:bidi="ar-SA"/>
              </w:rPr>
              <w:t>/d，采用“隔油沉淀</w:t>
            </w:r>
            <w:r>
              <w:rPr>
                <w:rFonts w:hint="eastAsia" w:ascii="Times New Roman" w:hAnsi="Times New Roman" w:eastAsia="宋体" w:cs="Times New Roman"/>
                <w:bCs/>
                <w:strike w:val="0"/>
                <w:dstrike w:val="0"/>
                <w:color w:val="auto"/>
                <w:kern w:val="2"/>
                <w:sz w:val="24"/>
                <w:szCs w:val="24"/>
                <w:highlight w:val="none"/>
                <w:lang w:val="en-US" w:eastAsia="zh-CN" w:bidi="ar-SA"/>
              </w:rPr>
              <w:t>”</w:t>
            </w:r>
            <w:r>
              <w:rPr>
                <w:rFonts w:ascii="Times New Roman" w:hAnsi="Times New Roman" w:eastAsia="宋体" w:cs="Times New Roman"/>
                <w:bCs/>
                <w:strike w:val="0"/>
                <w:dstrike w:val="0"/>
                <w:color w:val="auto"/>
                <w:kern w:val="2"/>
                <w:sz w:val="24"/>
                <w:szCs w:val="24"/>
                <w:highlight w:val="none"/>
                <w:lang w:val="en-US" w:eastAsia="zh-CN" w:bidi="ar-SA"/>
              </w:rPr>
              <w:t>工艺；生化池</w:t>
            </w:r>
            <w:r>
              <w:rPr>
                <w:rFonts w:hint="eastAsia" w:ascii="Times New Roman" w:hAnsi="Times New Roman" w:eastAsia="宋体" w:cs="Times New Roman"/>
                <w:bCs/>
                <w:strike w:val="0"/>
                <w:dstrike w:val="0"/>
                <w:color w:val="auto"/>
                <w:kern w:val="2"/>
                <w:sz w:val="24"/>
                <w:szCs w:val="24"/>
                <w:highlight w:val="none"/>
                <w:lang w:val="en-US" w:eastAsia="zh-CN" w:bidi="ar-SA"/>
              </w:rPr>
              <w:t>处理能力为6m</w:t>
            </w:r>
            <w:r>
              <w:rPr>
                <w:rFonts w:ascii="Times New Roman" w:hAnsi="Times New Roman" w:eastAsia="宋体" w:cs="Times New Roman"/>
                <w:bCs/>
                <w:strike w:val="0"/>
                <w:dstrike w:val="0"/>
                <w:color w:val="auto"/>
                <w:kern w:val="2"/>
                <w:sz w:val="24"/>
                <w:szCs w:val="24"/>
                <w:highlight w:val="none"/>
                <w:vertAlign w:val="superscript"/>
                <w:lang w:val="en-US" w:eastAsia="zh-CN" w:bidi="ar-SA"/>
              </w:rPr>
              <w:t>3</w:t>
            </w:r>
            <w:r>
              <w:rPr>
                <w:rFonts w:ascii="Times New Roman" w:hAnsi="Times New Roman" w:eastAsia="宋体" w:cs="Times New Roman"/>
                <w:bCs/>
                <w:strike w:val="0"/>
                <w:dstrike w:val="0"/>
                <w:color w:val="auto"/>
                <w:kern w:val="2"/>
                <w:sz w:val="24"/>
                <w:szCs w:val="24"/>
                <w:highlight w:val="none"/>
                <w:lang w:val="en-US" w:eastAsia="zh-CN" w:bidi="ar-SA"/>
              </w:rPr>
              <w:t>/d，采用“沉淀+厌氧</w:t>
            </w:r>
            <w:r>
              <w:rPr>
                <w:rFonts w:hint="eastAsia" w:ascii="Times New Roman" w:hAnsi="Times New Roman" w:eastAsia="宋体" w:cs="Times New Roman"/>
                <w:bCs/>
                <w:strike w:val="0"/>
                <w:dstrike w:val="0"/>
                <w:color w:val="auto"/>
                <w:kern w:val="2"/>
                <w:sz w:val="24"/>
                <w:szCs w:val="24"/>
                <w:highlight w:val="none"/>
                <w:lang w:val="en-US" w:eastAsia="zh-CN" w:bidi="ar-SA"/>
              </w:rPr>
              <w:t>”</w:t>
            </w:r>
            <w:r>
              <w:rPr>
                <w:rFonts w:ascii="Times New Roman" w:hAnsi="Times New Roman" w:eastAsia="宋体" w:cs="Times New Roman"/>
                <w:bCs/>
                <w:strike w:val="0"/>
                <w:dstrike w:val="0"/>
                <w:color w:val="auto"/>
                <w:kern w:val="2"/>
                <w:sz w:val="24"/>
                <w:szCs w:val="24"/>
                <w:highlight w:val="none"/>
                <w:lang w:val="en-US" w:eastAsia="zh-CN" w:bidi="ar-SA"/>
              </w:rPr>
              <w:t>工艺。</w:t>
            </w:r>
          </w:p>
          <w:p w14:paraId="62237451">
            <w:pPr>
              <w:pStyle w:val="66"/>
              <w:spacing w:line="360" w:lineRule="auto"/>
              <w:ind w:firstLine="480" w:firstLineChars="200"/>
              <w:jc w:val="both"/>
              <w:rPr>
                <w:rFonts w:ascii="Times New Roman" w:cs="Times New Roman"/>
                <w:strike w:val="0"/>
                <w:dstrike w:val="0"/>
                <w:color w:val="auto"/>
                <w:highlight w:val="none"/>
              </w:rPr>
            </w:pPr>
            <w:r>
              <w:rPr>
                <w:rFonts w:ascii="Times New Roman" w:cs="Times New Roman"/>
                <w:strike w:val="0"/>
                <w:dstrike w:val="0"/>
                <w:color w:val="auto"/>
                <w:highlight w:val="none"/>
              </w:rPr>
              <w:t>本项目废水产生及排放汇总情况见表4.2-</w:t>
            </w:r>
            <w:r>
              <w:rPr>
                <w:rFonts w:hint="eastAsia" w:ascii="Times New Roman" w:cs="Times New Roman"/>
                <w:strike w:val="0"/>
                <w:dstrike w:val="0"/>
                <w:color w:val="auto"/>
                <w:highlight w:val="none"/>
                <w:lang w:val="en-US" w:eastAsia="zh-CN"/>
              </w:rPr>
              <w:t>9</w:t>
            </w:r>
            <w:r>
              <w:rPr>
                <w:rFonts w:ascii="Times New Roman" w:cs="Times New Roman"/>
                <w:strike w:val="0"/>
                <w:dstrike w:val="0"/>
                <w:color w:val="auto"/>
                <w:highlight w:val="none"/>
              </w:rPr>
              <w:t>。</w:t>
            </w:r>
          </w:p>
          <w:p w14:paraId="7A22D480">
            <w:pPr>
              <w:pStyle w:val="38"/>
              <w:spacing w:line="240" w:lineRule="auto"/>
              <w:ind w:firstLine="0"/>
              <w:jc w:val="center"/>
              <w:rPr>
                <w:rFonts w:ascii="Times New Roman" w:hAnsi="Times New Roman" w:cs="Times New Roman"/>
                <w:strike w:val="0"/>
                <w:dstrike w:val="0"/>
                <w:color w:val="auto"/>
                <w:highlight w:val="none"/>
              </w:rPr>
            </w:pPr>
            <w:r>
              <w:rPr>
                <w:rFonts w:ascii="Times New Roman" w:hAnsi="Times New Roman" w:cs="Times New Roman"/>
                <w:b/>
                <w:bCs/>
                <w:strike w:val="0"/>
                <w:dstrike w:val="0"/>
                <w:color w:val="auto"/>
                <w:highlight w:val="none"/>
              </w:rPr>
              <w:t>表4.2-</w:t>
            </w:r>
            <w:r>
              <w:rPr>
                <w:rFonts w:hint="eastAsia" w:ascii="Times New Roman" w:hAnsi="Times New Roman" w:cs="Times New Roman"/>
                <w:b/>
                <w:bCs/>
                <w:strike w:val="0"/>
                <w:dstrike w:val="0"/>
                <w:color w:val="auto"/>
                <w:highlight w:val="none"/>
                <w:lang w:val="en-US" w:eastAsia="zh-CN"/>
              </w:rPr>
              <w:t>9</w:t>
            </w:r>
            <w:r>
              <w:rPr>
                <w:rFonts w:ascii="Times New Roman" w:hAnsi="Times New Roman" w:cs="Times New Roman"/>
                <w:b/>
                <w:bCs/>
                <w:strike w:val="0"/>
                <w:dstrike w:val="0"/>
                <w:color w:val="auto"/>
                <w:highlight w:val="none"/>
              </w:rPr>
              <w:t xml:space="preserve">  本项目废水产排情况表</w:t>
            </w:r>
          </w:p>
          <w:tbl>
            <w:tblPr>
              <w:tblStyle w:val="22"/>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069"/>
              <w:gridCol w:w="890"/>
              <w:gridCol w:w="1050"/>
              <w:gridCol w:w="1351"/>
              <w:gridCol w:w="865"/>
              <w:gridCol w:w="1497"/>
              <w:gridCol w:w="1008"/>
              <w:gridCol w:w="817"/>
            </w:tblGrid>
            <w:tr w14:paraId="345A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restart"/>
                  <w:shd w:val="clear" w:color="auto" w:fill="auto"/>
                  <w:vAlign w:val="center"/>
                </w:tcPr>
                <w:p w14:paraId="01CB60C5">
                  <w:pPr>
                    <w:jc w:val="center"/>
                    <w:rPr>
                      <w:strike w:val="0"/>
                      <w:dstrike w:val="0"/>
                      <w:color w:val="auto"/>
                      <w:sz w:val="21"/>
                      <w:szCs w:val="21"/>
                      <w:highlight w:val="none"/>
                    </w:rPr>
                  </w:pPr>
                  <w:r>
                    <w:rPr>
                      <w:b/>
                      <w:bCs/>
                      <w:strike w:val="0"/>
                      <w:dstrike w:val="0"/>
                      <w:color w:val="auto"/>
                      <w:sz w:val="21"/>
                      <w:szCs w:val="21"/>
                      <w:highlight w:val="none"/>
                    </w:rPr>
                    <w:t>序号</w:t>
                  </w:r>
                </w:p>
              </w:tc>
              <w:tc>
                <w:tcPr>
                  <w:tcW w:w="1069" w:type="dxa"/>
                  <w:vMerge w:val="restart"/>
                  <w:shd w:val="clear" w:color="auto" w:fill="auto"/>
                  <w:vAlign w:val="center"/>
                </w:tcPr>
                <w:p w14:paraId="690825EB">
                  <w:pPr>
                    <w:jc w:val="center"/>
                    <w:rPr>
                      <w:strike w:val="0"/>
                      <w:dstrike w:val="0"/>
                      <w:color w:val="auto"/>
                      <w:sz w:val="21"/>
                      <w:szCs w:val="21"/>
                      <w:highlight w:val="none"/>
                    </w:rPr>
                  </w:pPr>
                  <w:r>
                    <w:rPr>
                      <w:b/>
                      <w:bCs/>
                      <w:strike w:val="0"/>
                      <w:dstrike w:val="0"/>
                      <w:color w:val="auto"/>
                      <w:sz w:val="21"/>
                      <w:szCs w:val="21"/>
                      <w:highlight w:val="none"/>
                    </w:rPr>
                    <w:t>类别</w:t>
                  </w:r>
                </w:p>
              </w:tc>
              <w:tc>
                <w:tcPr>
                  <w:tcW w:w="890" w:type="dxa"/>
                  <w:vMerge w:val="restart"/>
                  <w:shd w:val="clear" w:color="auto" w:fill="auto"/>
                  <w:vAlign w:val="center"/>
                </w:tcPr>
                <w:p w14:paraId="056FEE1B">
                  <w:pPr>
                    <w:jc w:val="center"/>
                    <w:rPr>
                      <w:strike w:val="0"/>
                      <w:dstrike w:val="0"/>
                      <w:color w:val="auto"/>
                      <w:sz w:val="21"/>
                      <w:szCs w:val="21"/>
                      <w:highlight w:val="none"/>
                    </w:rPr>
                  </w:pPr>
                  <w:r>
                    <w:rPr>
                      <w:b/>
                      <w:bCs/>
                      <w:strike w:val="0"/>
                      <w:dstrike w:val="0"/>
                      <w:color w:val="auto"/>
                      <w:sz w:val="21"/>
                      <w:szCs w:val="21"/>
                      <w:highlight w:val="none"/>
                    </w:rPr>
                    <w:t>污染物</w:t>
                  </w:r>
                </w:p>
              </w:tc>
              <w:tc>
                <w:tcPr>
                  <w:tcW w:w="3266" w:type="dxa"/>
                  <w:gridSpan w:val="3"/>
                  <w:shd w:val="clear" w:color="auto" w:fill="auto"/>
                  <w:vAlign w:val="center"/>
                </w:tcPr>
                <w:p w14:paraId="5E232440">
                  <w:pPr>
                    <w:jc w:val="center"/>
                    <w:rPr>
                      <w:b/>
                      <w:bCs/>
                      <w:strike w:val="0"/>
                      <w:dstrike w:val="0"/>
                      <w:color w:val="auto"/>
                      <w:sz w:val="21"/>
                      <w:szCs w:val="21"/>
                      <w:highlight w:val="none"/>
                    </w:rPr>
                  </w:pPr>
                  <w:r>
                    <w:rPr>
                      <w:b/>
                      <w:bCs/>
                      <w:strike w:val="0"/>
                      <w:dstrike w:val="0"/>
                      <w:color w:val="auto"/>
                      <w:sz w:val="21"/>
                      <w:szCs w:val="21"/>
                      <w:highlight w:val="none"/>
                    </w:rPr>
                    <w:t>污染物产生</w:t>
                  </w:r>
                </w:p>
              </w:tc>
              <w:tc>
                <w:tcPr>
                  <w:tcW w:w="1497" w:type="dxa"/>
                  <w:vMerge w:val="restart"/>
                  <w:shd w:val="clear" w:color="auto" w:fill="auto"/>
                  <w:vAlign w:val="center"/>
                </w:tcPr>
                <w:p w14:paraId="5B0D307D">
                  <w:pPr>
                    <w:jc w:val="center"/>
                    <w:rPr>
                      <w:strike w:val="0"/>
                      <w:dstrike w:val="0"/>
                      <w:color w:val="auto"/>
                      <w:sz w:val="21"/>
                      <w:szCs w:val="21"/>
                      <w:highlight w:val="none"/>
                    </w:rPr>
                  </w:pPr>
                  <w:r>
                    <w:rPr>
                      <w:b/>
                      <w:bCs/>
                      <w:strike w:val="0"/>
                      <w:dstrike w:val="0"/>
                      <w:color w:val="auto"/>
                      <w:sz w:val="21"/>
                      <w:szCs w:val="21"/>
                      <w:highlight w:val="none"/>
                    </w:rPr>
                    <w:t>治理措施及去向</w:t>
                  </w:r>
                </w:p>
              </w:tc>
              <w:tc>
                <w:tcPr>
                  <w:tcW w:w="1825" w:type="dxa"/>
                  <w:gridSpan w:val="2"/>
                  <w:shd w:val="clear" w:color="auto" w:fill="auto"/>
                  <w:vAlign w:val="center"/>
                </w:tcPr>
                <w:p w14:paraId="1D71C749">
                  <w:pPr>
                    <w:jc w:val="center"/>
                    <w:rPr>
                      <w:b/>
                      <w:bCs/>
                      <w:strike w:val="0"/>
                      <w:dstrike w:val="0"/>
                      <w:color w:val="auto"/>
                      <w:sz w:val="21"/>
                      <w:szCs w:val="21"/>
                      <w:highlight w:val="none"/>
                    </w:rPr>
                  </w:pPr>
                  <w:r>
                    <w:rPr>
                      <w:b/>
                      <w:bCs/>
                      <w:strike w:val="0"/>
                      <w:dstrike w:val="0"/>
                      <w:color w:val="auto"/>
                      <w:sz w:val="21"/>
                      <w:szCs w:val="21"/>
                      <w:highlight w:val="none"/>
                    </w:rPr>
                    <w:t>污染物排放</w:t>
                  </w:r>
                </w:p>
              </w:tc>
            </w:tr>
            <w:tr w14:paraId="50C8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48998457">
                  <w:pPr>
                    <w:jc w:val="center"/>
                    <w:rPr>
                      <w:strike w:val="0"/>
                      <w:dstrike w:val="0"/>
                      <w:color w:val="auto"/>
                      <w:sz w:val="21"/>
                      <w:szCs w:val="21"/>
                      <w:highlight w:val="none"/>
                    </w:rPr>
                  </w:pPr>
                </w:p>
              </w:tc>
              <w:tc>
                <w:tcPr>
                  <w:tcW w:w="1069" w:type="dxa"/>
                  <w:vMerge w:val="continue"/>
                  <w:vAlign w:val="center"/>
                </w:tcPr>
                <w:p w14:paraId="67E4E8FF">
                  <w:pPr>
                    <w:jc w:val="center"/>
                    <w:rPr>
                      <w:strike w:val="0"/>
                      <w:dstrike w:val="0"/>
                      <w:color w:val="auto"/>
                      <w:sz w:val="21"/>
                      <w:szCs w:val="21"/>
                      <w:highlight w:val="none"/>
                    </w:rPr>
                  </w:pPr>
                </w:p>
              </w:tc>
              <w:tc>
                <w:tcPr>
                  <w:tcW w:w="890" w:type="dxa"/>
                  <w:vMerge w:val="continue"/>
                  <w:vAlign w:val="center"/>
                </w:tcPr>
                <w:p w14:paraId="0BF9DD81">
                  <w:pPr>
                    <w:jc w:val="center"/>
                    <w:rPr>
                      <w:strike w:val="0"/>
                      <w:dstrike w:val="0"/>
                      <w:color w:val="auto"/>
                      <w:sz w:val="21"/>
                      <w:szCs w:val="21"/>
                      <w:highlight w:val="none"/>
                    </w:rPr>
                  </w:pPr>
                </w:p>
              </w:tc>
              <w:tc>
                <w:tcPr>
                  <w:tcW w:w="1050" w:type="dxa"/>
                  <w:shd w:val="clear" w:color="auto" w:fill="auto"/>
                  <w:vAlign w:val="center"/>
                </w:tcPr>
                <w:p w14:paraId="0C3419D7">
                  <w:pPr>
                    <w:jc w:val="center"/>
                    <w:rPr>
                      <w:b/>
                      <w:bCs/>
                      <w:strike w:val="0"/>
                      <w:dstrike w:val="0"/>
                      <w:color w:val="auto"/>
                      <w:sz w:val="21"/>
                      <w:szCs w:val="21"/>
                      <w:highlight w:val="none"/>
                    </w:rPr>
                  </w:pPr>
                  <w:r>
                    <w:rPr>
                      <w:b/>
                      <w:bCs/>
                      <w:strike w:val="0"/>
                      <w:dstrike w:val="0"/>
                      <w:color w:val="auto"/>
                      <w:sz w:val="21"/>
                      <w:szCs w:val="21"/>
                      <w:highlight w:val="none"/>
                    </w:rPr>
                    <w:t>废水产生量（m</w:t>
                  </w:r>
                  <w:r>
                    <w:rPr>
                      <w:b/>
                      <w:bCs/>
                      <w:strike w:val="0"/>
                      <w:dstrike w:val="0"/>
                      <w:color w:val="auto"/>
                      <w:sz w:val="21"/>
                      <w:szCs w:val="21"/>
                      <w:highlight w:val="none"/>
                      <w:vertAlign w:val="superscript"/>
                    </w:rPr>
                    <w:t>3</w:t>
                  </w:r>
                  <w:r>
                    <w:rPr>
                      <w:b/>
                      <w:bCs/>
                      <w:strike w:val="0"/>
                      <w:dstrike w:val="0"/>
                      <w:color w:val="auto"/>
                      <w:sz w:val="21"/>
                      <w:szCs w:val="21"/>
                      <w:highlight w:val="none"/>
                    </w:rPr>
                    <w:t>/a）</w:t>
                  </w:r>
                </w:p>
              </w:tc>
              <w:tc>
                <w:tcPr>
                  <w:tcW w:w="1351" w:type="dxa"/>
                  <w:shd w:val="clear" w:color="auto" w:fill="auto"/>
                  <w:vAlign w:val="center"/>
                </w:tcPr>
                <w:p w14:paraId="6F447A6B">
                  <w:pPr>
                    <w:jc w:val="center"/>
                    <w:rPr>
                      <w:b/>
                      <w:bCs/>
                      <w:strike w:val="0"/>
                      <w:dstrike w:val="0"/>
                      <w:color w:val="auto"/>
                      <w:sz w:val="21"/>
                      <w:szCs w:val="21"/>
                      <w:highlight w:val="none"/>
                    </w:rPr>
                  </w:pPr>
                  <w:r>
                    <w:rPr>
                      <w:b/>
                      <w:bCs/>
                      <w:strike w:val="0"/>
                      <w:dstrike w:val="0"/>
                      <w:color w:val="auto"/>
                      <w:sz w:val="21"/>
                      <w:szCs w:val="21"/>
                      <w:highlight w:val="none"/>
                    </w:rPr>
                    <w:t>浓度（mg/L）</w:t>
                  </w:r>
                </w:p>
              </w:tc>
              <w:tc>
                <w:tcPr>
                  <w:tcW w:w="865" w:type="dxa"/>
                  <w:shd w:val="clear" w:color="auto" w:fill="auto"/>
                  <w:vAlign w:val="center"/>
                </w:tcPr>
                <w:p w14:paraId="5CD733B2">
                  <w:pPr>
                    <w:jc w:val="center"/>
                    <w:rPr>
                      <w:b/>
                      <w:bCs/>
                      <w:strike w:val="0"/>
                      <w:dstrike w:val="0"/>
                      <w:color w:val="auto"/>
                      <w:sz w:val="21"/>
                      <w:szCs w:val="21"/>
                      <w:highlight w:val="none"/>
                    </w:rPr>
                  </w:pPr>
                  <w:r>
                    <w:rPr>
                      <w:b/>
                      <w:bCs/>
                      <w:strike w:val="0"/>
                      <w:dstrike w:val="0"/>
                      <w:color w:val="auto"/>
                      <w:sz w:val="21"/>
                      <w:szCs w:val="21"/>
                      <w:highlight w:val="none"/>
                    </w:rPr>
                    <w:t>产生量（t/a）</w:t>
                  </w:r>
                </w:p>
              </w:tc>
              <w:tc>
                <w:tcPr>
                  <w:tcW w:w="1497" w:type="dxa"/>
                  <w:vMerge w:val="continue"/>
                  <w:vAlign w:val="center"/>
                </w:tcPr>
                <w:p w14:paraId="44EABE68">
                  <w:pPr>
                    <w:jc w:val="center"/>
                    <w:rPr>
                      <w:strike w:val="0"/>
                      <w:dstrike w:val="0"/>
                      <w:color w:val="auto"/>
                      <w:sz w:val="21"/>
                      <w:szCs w:val="21"/>
                      <w:highlight w:val="none"/>
                    </w:rPr>
                  </w:pPr>
                </w:p>
              </w:tc>
              <w:tc>
                <w:tcPr>
                  <w:tcW w:w="1008" w:type="dxa"/>
                  <w:shd w:val="clear" w:color="auto" w:fill="auto"/>
                  <w:vAlign w:val="center"/>
                </w:tcPr>
                <w:p w14:paraId="1D237469">
                  <w:pPr>
                    <w:jc w:val="center"/>
                    <w:rPr>
                      <w:b/>
                      <w:bCs/>
                      <w:strike w:val="0"/>
                      <w:dstrike w:val="0"/>
                      <w:color w:val="auto"/>
                      <w:sz w:val="21"/>
                      <w:szCs w:val="21"/>
                      <w:highlight w:val="none"/>
                    </w:rPr>
                  </w:pPr>
                  <w:r>
                    <w:rPr>
                      <w:b/>
                      <w:bCs/>
                      <w:strike w:val="0"/>
                      <w:dstrike w:val="0"/>
                      <w:color w:val="auto"/>
                      <w:sz w:val="21"/>
                      <w:szCs w:val="21"/>
                      <w:highlight w:val="none"/>
                    </w:rPr>
                    <w:t>浓度（mg/L）</w:t>
                  </w:r>
                </w:p>
              </w:tc>
              <w:tc>
                <w:tcPr>
                  <w:tcW w:w="817" w:type="dxa"/>
                  <w:shd w:val="clear" w:color="auto" w:fill="auto"/>
                  <w:vAlign w:val="center"/>
                </w:tcPr>
                <w:p w14:paraId="02E7D572">
                  <w:pPr>
                    <w:jc w:val="center"/>
                    <w:rPr>
                      <w:b/>
                      <w:bCs/>
                      <w:strike w:val="0"/>
                      <w:dstrike w:val="0"/>
                      <w:color w:val="auto"/>
                      <w:sz w:val="21"/>
                      <w:szCs w:val="21"/>
                      <w:highlight w:val="none"/>
                    </w:rPr>
                  </w:pPr>
                  <w:r>
                    <w:rPr>
                      <w:b/>
                      <w:bCs/>
                      <w:strike w:val="0"/>
                      <w:dstrike w:val="0"/>
                      <w:color w:val="auto"/>
                      <w:sz w:val="21"/>
                      <w:szCs w:val="21"/>
                      <w:highlight w:val="none"/>
                    </w:rPr>
                    <w:t>排放量（t/a）</w:t>
                  </w:r>
                </w:p>
              </w:tc>
            </w:tr>
            <w:tr w14:paraId="1ECE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restart"/>
                  <w:vAlign w:val="center"/>
                </w:tcPr>
                <w:p w14:paraId="3392F57D">
                  <w:pPr>
                    <w:jc w:val="center"/>
                    <w:rPr>
                      <w:strike w:val="0"/>
                      <w:dstrike w:val="0"/>
                      <w:color w:val="auto"/>
                      <w:sz w:val="21"/>
                      <w:szCs w:val="21"/>
                      <w:highlight w:val="none"/>
                    </w:rPr>
                  </w:pPr>
                  <w:r>
                    <w:rPr>
                      <w:strike w:val="0"/>
                      <w:dstrike w:val="0"/>
                      <w:color w:val="auto"/>
                      <w:sz w:val="21"/>
                      <w:szCs w:val="21"/>
                      <w:highlight w:val="none"/>
                    </w:rPr>
                    <w:t>1</w:t>
                  </w:r>
                </w:p>
              </w:tc>
              <w:tc>
                <w:tcPr>
                  <w:tcW w:w="1069" w:type="dxa"/>
                  <w:vMerge w:val="restart"/>
                  <w:vAlign w:val="center"/>
                </w:tcPr>
                <w:p w14:paraId="51138071">
                  <w:pPr>
                    <w:jc w:val="center"/>
                    <w:rPr>
                      <w:strike w:val="0"/>
                      <w:dstrike w:val="0"/>
                      <w:color w:val="auto"/>
                      <w:sz w:val="21"/>
                      <w:szCs w:val="21"/>
                      <w:highlight w:val="none"/>
                    </w:rPr>
                  </w:pPr>
                  <w:r>
                    <w:rPr>
                      <w:strike w:val="0"/>
                      <w:dstrike w:val="0"/>
                      <w:color w:val="auto"/>
                      <w:sz w:val="21"/>
                      <w:szCs w:val="21"/>
                      <w:highlight w:val="none"/>
                    </w:rPr>
                    <w:t>生活污水</w:t>
                  </w:r>
                </w:p>
              </w:tc>
              <w:tc>
                <w:tcPr>
                  <w:tcW w:w="890" w:type="dxa"/>
                  <w:shd w:val="clear" w:color="auto" w:fill="auto"/>
                  <w:vAlign w:val="center"/>
                </w:tcPr>
                <w:p w14:paraId="028ECA47">
                  <w:pPr>
                    <w:widowControl/>
                    <w:jc w:val="center"/>
                    <w:rPr>
                      <w:rFonts w:ascii="Times New Roman" w:hAnsi="Times New Roman" w:eastAsia="宋体" w:cs="Times New Roman"/>
                      <w:bCs/>
                      <w:strike w:val="0"/>
                      <w:dstrike w:val="0"/>
                      <w:color w:val="auto"/>
                      <w:kern w:val="0"/>
                      <w:sz w:val="21"/>
                      <w:szCs w:val="21"/>
                      <w:highlight w:val="none"/>
                      <w:lang w:val="en-US" w:eastAsia="zh-CN" w:bidi="ar-SA"/>
                    </w:rPr>
                  </w:pPr>
                  <w:r>
                    <w:rPr>
                      <w:rFonts w:hint="eastAsia"/>
                      <w:bCs/>
                      <w:strike w:val="0"/>
                      <w:dstrike w:val="0"/>
                      <w:color w:val="auto"/>
                      <w:kern w:val="0"/>
                      <w:sz w:val="21"/>
                      <w:szCs w:val="21"/>
                      <w:highlight w:val="none"/>
                      <w:lang w:val="en-US" w:eastAsia="zh-CN"/>
                    </w:rPr>
                    <w:t>pH</w:t>
                  </w:r>
                </w:p>
              </w:tc>
              <w:tc>
                <w:tcPr>
                  <w:tcW w:w="1050" w:type="dxa"/>
                  <w:vMerge w:val="restart"/>
                  <w:shd w:val="clear" w:color="auto" w:fill="auto"/>
                  <w:vAlign w:val="center"/>
                </w:tcPr>
                <w:p w14:paraId="17568351">
                  <w:pPr>
                    <w:widowControl/>
                    <w:jc w:val="center"/>
                    <w:rPr>
                      <w:rFonts w:hint="eastAsia" w:eastAsia="宋体"/>
                      <w:strike w:val="0"/>
                      <w:dstrike w:val="0"/>
                      <w:color w:val="auto"/>
                      <w:sz w:val="21"/>
                      <w:szCs w:val="21"/>
                      <w:highlight w:val="none"/>
                      <w:lang w:eastAsia="zh-CN"/>
                    </w:rPr>
                  </w:pPr>
                  <w:r>
                    <w:rPr>
                      <w:rFonts w:hint="eastAsia"/>
                      <w:strike w:val="0"/>
                      <w:dstrike w:val="0"/>
                      <w:color w:val="auto"/>
                      <w:sz w:val="21"/>
                      <w:szCs w:val="21"/>
                      <w:highlight w:val="none"/>
                      <w:lang w:eastAsia="zh-CN"/>
                    </w:rPr>
                    <w:t>1215.45</w:t>
                  </w:r>
                </w:p>
              </w:tc>
              <w:tc>
                <w:tcPr>
                  <w:tcW w:w="1351" w:type="dxa"/>
                  <w:shd w:val="clear" w:color="auto" w:fill="auto"/>
                  <w:vAlign w:val="center"/>
                </w:tcPr>
                <w:p w14:paraId="796B9773">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6-9（无量纲）</w:t>
                  </w:r>
                </w:p>
              </w:tc>
              <w:tc>
                <w:tcPr>
                  <w:tcW w:w="865" w:type="dxa"/>
                  <w:shd w:val="clear" w:color="auto" w:fill="auto"/>
                  <w:vAlign w:val="center"/>
                </w:tcPr>
                <w:p w14:paraId="432BDA6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w:t>
                  </w:r>
                </w:p>
              </w:tc>
              <w:tc>
                <w:tcPr>
                  <w:tcW w:w="1497" w:type="dxa"/>
                  <w:vMerge w:val="restart"/>
                  <w:vAlign w:val="center"/>
                </w:tcPr>
                <w:p w14:paraId="32BA7F2A">
                  <w:pPr>
                    <w:widowControl/>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ascii="Times New Roman" w:hAnsi="Times New Roman" w:eastAsia="宋体" w:cs="Times New Roman"/>
                      <w:bCs/>
                      <w:strike w:val="0"/>
                      <w:dstrike w:val="0"/>
                      <w:color w:val="auto"/>
                      <w:kern w:val="2"/>
                      <w:sz w:val="21"/>
                      <w:szCs w:val="21"/>
                      <w:highlight w:val="none"/>
                      <w:lang w:val="en-US" w:eastAsia="zh-CN" w:bidi="ar-SA"/>
                    </w:rPr>
                    <w:t>经生化池处理后排入市政污水管网</w:t>
                  </w:r>
                </w:p>
              </w:tc>
              <w:tc>
                <w:tcPr>
                  <w:tcW w:w="1008" w:type="dxa"/>
                  <w:shd w:val="clear" w:color="auto" w:fill="auto"/>
                  <w:vAlign w:val="center"/>
                </w:tcPr>
                <w:p w14:paraId="7736B138">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6-9（无量纲）</w:t>
                  </w:r>
                </w:p>
              </w:tc>
              <w:tc>
                <w:tcPr>
                  <w:tcW w:w="817" w:type="dxa"/>
                  <w:shd w:val="clear" w:color="auto" w:fill="auto"/>
                  <w:vAlign w:val="center"/>
                </w:tcPr>
                <w:p w14:paraId="0C1D0D26">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w:t>
                  </w:r>
                </w:p>
              </w:tc>
            </w:tr>
            <w:tr w14:paraId="1E72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shd w:val="clear" w:color="auto" w:fill="auto"/>
                  <w:vAlign w:val="center"/>
                </w:tcPr>
                <w:p w14:paraId="3D3BF088">
                  <w:pPr>
                    <w:jc w:val="center"/>
                    <w:rPr>
                      <w:strike w:val="0"/>
                      <w:dstrike w:val="0"/>
                      <w:color w:val="auto"/>
                      <w:sz w:val="21"/>
                      <w:szCs w:val="21"/>
                      <w:highlight w:val="none"/>
                    </w:rPr>
                  </w:pPr>
                </w:p>
              </w:tc>
              <w:tc>
                <w:tcPr>
                  <w:tcW w:w="1069" w:type="dxa"/>
                  <w:vMerge w:val="continue"/>
                  <w:shd w:val="clear" w:color="auto" w:fill="auto"/>
                  <w:vAlign w:val="center"/>
                </w:tcPr>
                <w:p w14:paraId="6EA7EB91">
                  <w:pPr>
                    <w:jc w:val="center"/>
                    <w:rPr>
                      <w:strike w:val="0"/>
                      <w:dstrike w:val="0"/>
                      <w:color w:val="auto"/>
                      <w:sz w:val="21"/>
                      <w:szCs w:val="21"/>
                      <w:highlight w:val="none"/>
                    </w:rPr>
                  </w:pPr>
                </w:p>
              </w:tc>
              <w:tc>
                <w:tcPr>
                  <w:tcW w:w="890" w:type="dxa"/>
                  <w:shd w:val="clear" w:color="auto" w:fill="auto"/>
                  <w:vAlign w:val="center"/>
                </w:tcPr>
                <w:p w14:paraId="5C04B8D9">
                  <w:pPr>
                    <w:widowControl/>
                    <w:jc w:val="center"/>
                    <w:rPr>
                      <w:bCs/>
                      <w:strike w:val="0"/>
                      <w:dstrike w:val="0"/>
                      <w:color w:val="auto"/>
                      <w:kern w:val="0"/>
                      <w:sz w:val="21"/>
                      <w:szCs w:val="21"/>
                      <w:highlight w:val="none"/>
                    </w:rPr>
                  </w:pPr>
                  <w:r>
                    <w:rPr>
                      <w:bCs/>
                      <w:strike w:val="0"/>
                      <w:dstrike w:val="0"/>
                      <w:color w:val="auto"/>
                      <w:kern w:val="0"/>
                      <w:sz w:val="21"/>
                      <w:szCs w:val="21"/>
                      <w:highlight w:val="none"/>
                    </w:rPr>
                    <w:t>COD</w:t>
                  </w:r>
                </w:p>
              </w:tc>
              <w:tc>
                <w:tcPr>
                  <w:tcW w:w="1050" w:type="dxa"/>
                  <w:vMerge w:val="continue"/>
                  <w:shd w:val="clear" w:color="auto" w:fill="auto"/>
                  <w:vAlign w:val="center"/>
                </w:tcPr>
                <w:p w14:paraId="2FE35B00">
                  <w:pPr>
                    <w:widowControl/>
                    <w:jc w:val="center"/>
                    <w:rPr>
                      <w:rFonts w:hint="eastAsia" w:eastAsia="宋体"/>
                      <w:strike w:val="0"/>
                      <w:dstrike w:val="0"/>
                      <w:color w:val="auto"/>
                      <w:sz w:val="21"/>
                      <w:szCs w:val="21"/>
                      <w:highlight w:val="none"/>
                      <w:lang w:eastAsia="zh-CN"/>
                    </w:rPr>
                  </w:pPr>
                </w:p>
              </w:tc>
              <w:tc>
                <w:tcPr>
                  <w:tcW w:w="1351" w:type="dxa"/>
                  <w:shd w:val="clear" w:color="auto" w:fill="auto"/>
                  <w:vAlign w:val="center"/>
                </w:tcPr>
                <w:p w14:paraId="30D8A9BE">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450</w:t>
                  </w:r>
                </w:p>
              </w:tc>
              <w:tc>
                <w:tcPr>
                  <w:tcW w:w="865" w:type="dxa"/>
                  <w:shd w:val="clear" w:color="auto" w:fill="auto"/>
                  <w:vAlign w:val="center"/>
                </w:tcPr>
                <w:p w14:paraId="3BD4D62A">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0.5470</w:t>
                  </w:r>
                </w:p>
              </w:tc>
              <w:tc>
                <w:tcPr>
                  <w:tcW w:w="1497" w:type="dxa"/>
                  <w:vMerge w:val="continue"/>
                  <w:shd w:val="clear" w:color="auto" w:fill="auto"/>
                  <w:vAlign w:val="center"/>
                </w:tcPr>
                <w:p w14:paraId="1DB90B18">
                  <w:pPr>
                    <w:widowControl/>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3D3B8069">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400</w:t>
                  </w:r>
                </w:p>
              </w:tc>
              <w:tc>
                <w:tcPr>
                  <w:tcW w:w="817" w:type="dxa"/>
                  <w:shd w:val="clear" w:color="auto" w:fill="auto"/>
                  <w:vAlign w:val="center"/>
                </w:tcPr>
                <w:p w14:paraId="4F4A0FAD">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0.4862</w:t>
                  </w:r>
                </w:p>
              </w:tc>
            </w:tr>
            <w:tr w14:paraId="231D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6D419441">
                  <w:pPr>
                    <w:jc w:val="center"/>
                    <w:rPr>
                      <w:strike w:val="0"/>
                      <w:dstrike w:val="0"/>
                      <w:color w:val="auto"/>
                      <w:sz w:val="21"/>
                      <w:szCs w:val="21"/>
                      <w:highlight w:val="none"/>
                    </w:rPr>
                  </w:pPr>
                </w:p>
              </w:tc>
              <w:tc>
                <w:tcPr>
                  <w:tcW w:w="1069" w:type="dxa"/>
                  <w:vMerge w:val="continue"/>
                  <w:vAlign w:val="center"/>
                </w:tcPr>
                <w:p w14:paraId="0BFDA2F6">
                  <w:pPr>
                    <w:jc w:val="center"/>
                    <w:rPr>
                      <w:strike w:val="0"/>
                      <w:dstrike w:val="0"/>
                      <w:color w:val="auto"/>
                      <w:sz w:val="21"/>
                      <w:szCs w:val="21"/>
                      <w:highlight w:val="none"/>
                    </w:rPr>
                  </w:pPr>
                </w:p>
              </w:tc>
              <w:tc>
                <w:tcPr>
                  <w:tcW w:w="890" w:type="dxa"/>
                  <w:shd w:val="clear" w:color="auto" w:fill="auto"/>
                  <w:vAlign w:val="center"/>
                </w:tcPr>
                <w:p w14:paraId="600904F8">
                  <w:pPr>
                    <w:widowControl/>
                    <w:jc w:val="center"/>
                    <w:rPr>
                      <w:bCs/>
                      <w:strike w:val="0"/>
                      <w:dstrike w:val="0"/>
                      <w:color w:val="auto"/>
                      <w:kern w:val="0"/>
                      <w:sz w:val="21"/>
                      <w:szCs w:val="21"/>
                      <w:highlight w:val="none"/>
                    </w:rPr>
                  </w:pPr>
                  <w:r>
                    <w:rPr>
                      <w:strike w:val="0"/>
                      <w:dstrike w:val="0"/>
                      <w:color w:val="auto"/>
                      <w:sz w:val="21"/>
                      <w:szCs w:val="21"/>
                      <w:highlight w:val="none"/>
                    </w:rPr>
                    <w:t>BOD</w:t>
                  </w:r>
                  <w:r>
                    <w:rPr>
                      <w:strike w:val="0"/>
                      <w:dstrike w:val="0"/>
                      <w:color w:val="auto"/>
                      <w:sz w:val="21"/>
                      <w:szCs w:val="21"/>
                      <w:highlight w:val="none"/>
                      <w:vertAlign w:val="subscript"/>
                    </w:rPr>
                    <w:t>5</w:t>
                  </w:r>
                </w:p>
              </w:tc>
              <w:tc>
                <w:tcPr>
                  <w:tcW w:w="1050" w:type="dxa"/>
                  <w:vMerge w:val="continue"/>
                  <w:vAlign w:val="center"/>
                </w:tcPr>
                <w:p w14:paraId="1601B668">
                  <w:pPr>
                    <w:widowControl/>
                    <w:jc w:val="center"/>
                    <w:rPr>
                      <w:strike w:val="0"/>
                      <w:dstrike w:val="0"/>
                      <w:color w:val="auto"/>
                      <w:sz w:val="21"/>
                      <w:szCs w:val="21"/>
                      <w:highlight w:val="none"/>
                    </w:rPr>
                  </w:pPr>
                </w:p>
              </w:tc>
              <w:tc>
                <w:tcPr>
                  <w:tcW w:w="1351" w:type="dxa"/>
                  <w:shd w:val="clear" w:color="auto" w:fill="auto"/>
                  <w:vAlign w:val="center"/>
                </w:tcPr>
                <w:p w14:paraId="1CC0AE1C">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300</w:t>
                  </w:r>
                </w:p>
              </w:tc>
              <w:tc>
                <w:tcPr>
                  <w:tcW w:w="865" w:type="dxa"/>
                  <w:shd w:val="clear" w:color="auto" w:fill="auto"/>
                  <w:vAlign w:val="center"/>
                </w:tcPr>
                <w:p w14:paraId="0D09DF5D">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0.3646</w:t>
                  </w:r>
                </w:p>
              </w:tc>
              <w:tc>
                <w:tcPr>
                  <w:tcW w:w="1497" w:type="dxa"/>
                  <w:vMerge w:val="continue"/>
                  <w:vAlign w:val="center"/>
                </w:tcPr>
                <w:p w14:paraId="56060F2D">
                  <w:pPr>
                    <w:widowControl/>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366AF615">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300</w:t>
                  </w:r>
                </w:p>
              </w:tc>
              <w:tc>
                <w:tcPr>
                  <w:tcW w:w="817" w:type="dxa"/>
                  <w:shd w:val="clear" w:color="auto" w:fill="auto"/>
                  <w:vAlign w:val="center"/>
                </w:tcPr>
                <w:p w14:paraId="55C21A59">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0.3646</w:t>
                  </w:r>
                </w:p>
              </w:tc>
            </w:tr>
            <w:tr w14:paraId="59C8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24F3BF2F">
                  <w:pPr>
                    <w:jc w:val="center"/>
                    <w:rPr>
                      <w:strike w:val="0"/>
                      <w:dstrike w:val="0"/>
                      <w:color w:val="auto"/>
                      <w:sz w:val="21"/>
                      <w:szCs w:val="21"/>
                      <w:highlight w:val="none"/>
                    </w:rPr>
                  </w:pPr>
                </w:p>
              </w:tc>
              <w:tc>
                <w:tcPr>
                  <w:tcW w:w="1069" w:type="dxa"/>
                  <w:vMerge w:val="continue"/>
                  <w:vAlign w:val="center"/>
                </w:tcPr>
                <w:p w14:paraId="1F54A3B0">
                  <w:pPr>
                    <w:jc w:val="center"/>
                    <w:rPr>
                      <w:strike w:val="0"/>
                      <w:dstrike w:val="0"/>
                      <w:color w:val="auto"/>
                      <w:sz w:val="21"/>
                      <w:szCs w:val="21"/>
                      <w:highlight w:val="none"/>
                    </w:rPr>
                  </w:pPr>
                </w:p>
              </w:tc>
              <w:tc>
                <w:tcPr>
                  <w:tcW w:w="890" w:type="dxa"/>
                  <w:shd w:val="clear" w:color="auto" w:fill="auto"/>
                  <w:vAlign w:val="center"/>
                </w:tcPr>
                <w:p w14:paraId="5C1E3F65">
                  <w:pPr>
                    <w:widowControl/>
                    <w:jc w:val="center"/>
                    <w:rPr>
                      <w:bCs/>
                      <w:strike w:val="0"/>
                      <w:dstrike w:val="0"/>
                      <w:color w:val="auto"/>
                      <w:kern w:val="0"/>
                      <w:sz w:val="21"/>
                      <w:szCs w:val="21"/>
                      <w:highlight w:val="none"/>
                    </w:rPr>
                  </w:pPr>
                  <w:r>
                    <w:rPr>
                      <w:bCs/>
                      <w:strike w:val="0"/>
                      <w:dstrike w:val="0"/>
                      <w:color w:val="auto"/>
                      <w:kern w:val="0"/>
                      <w:sz w:val="21"/>
                      <w:szCs w:val="21"/>
                      <w:highlight w:val="none"/>
                    </w:rPr>
                    <w:t>SS</w:t>
                  </w:r>
                </w:p>
              </w:tc>
              <w:tc>
                <w:tcPr>
                  <w:tcW w:w="1050" w:type="dxa"/>
                  <w:vMerge w:val="continue"/>
                  <w:vAlign w:val="center"/>
                </w:tcPr>
                <w:p w14:paraId="38463EE6">
                  <w:pPr>
                    <w:widowControl/>
                    <w:jc w:val="center"/>
                    <w:rPr>
                      <w:strike w:val="0"/>
                      <w:dstrike w:val="0"/>
                      <w:color w:val="auto"/>
                      <w:sz w:val="21"/>
                      <w:szCs w:val="21"/>
                      <w:highlight w:val="none"/>
                    </w:rPr>
                  </w:pPr>
                </w:p>
              </w:tc>
              <w:tc>
                <w:tcPr>
                  <w:tcW w:w="1351" w:type="dxa"/>
                  <w:shd w:val="clear" w:color="auto" w:fill="auto"/>
                  <w:vAlign w:val="center"/>
                </w:tcPr>
                <w:p w14:paraId="4346A216">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450</w:t>
                  </w:r>
                </w:p>
              </w:tc>
              <w:tc>
                <w:tcPr>
                  <w:tcW w:w="865" w:type="dxa"/>
                  <w:shd w:val="clear" w:color="auto" w:fill="auto"/>
                  <w:vAlign w:val="center"/>
                </w:tcPr>
                <w:p w14:paraId="555DA935">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0.5470</w:t>
                  </w:r>
                </w:p>
              </w:tc>
              <w:tc>
                <w:tcPr>
                  <w:tcW w:w="1497" w:type="dxa"/>
                  <w:vMerge w:val="continue"/>
                  <w:vAlign w:val="center"/>
                </w:tcPr>
                <w:p w14:paraId="781B0FB3">
                  <w:pPr>
                    <w:widowControl/>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7FD29F15">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400</w:t>
                  </w:r>
                </w:p>
              </w:tc>
              <w:tc>
                <w:tcPr>
                  <w:tcW w:w="817" w:type="dxa"/>
                  <w:shd w:val="clear" w:color="auto" w:fill="auto"/>
                  <w:vAlign w:val="center"/>
                </w:tcPr>
                <w:p w14:paraId="58499660">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0.4862</w:t>
                  </w:r>
                </w:p>
              </w:tc>
            </w:tr>
            <w:tr w14:paraId="284F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713F1533">
                  <w:pPr>
                    <w:widowControl/>
                    <w:jc w:val="center"/>
                    <w:rPr>
                      <w:strike w:val="0"/>
                      <w:dstrike w:val="0"/>
                      <w:color w:val="auto"/>
                      <w:sz w:val="21"/>
                      <w:szCs w:val="21"/>
                      <w:highlight w:val="none"/>
                    </w:rPr>
                  </w:pPr>
                </w:p>
              </w:tc>
              <w:tc>
                <w:tcPr>
                  <w:tcW w:w="1069" w:type="dxa"/>
                  <w:vMerge w:val="continue"/>
                  <w:vAlign w:val="center"/>
                </w:tcPr>
                <w:p w14:paraId="64507D13">
                  <w:pPr>
                    <w:widowControl/>
                    <w:jc w:val="center"/>
                    <w:rPr>
                      <w:strike w:val="0"/>
                      <w:dstrike w:val="0"/>
                      <w:color w:val="auto"/>
                      <w:sz w:val="21"/>
                      <w:szCs w:val="21"/>
                      <w:highlight w:val="none"/>
                    </w:rPr>
                  </w:pPr>
                </w:p>
              </w:tc>
              <w:tc>
                <w:tcPr>
                  <w:tcW w:w="890" w:type="dxa"/>
                  <w:shd w:val="clear" w:color="auto" w:fill="auto"/>
                  <w:vAlign w:val="center"/>
                </w:tcPr>
                <w:p w14:paraId="3168D887">
                  <w:pPr>
                    <w:widowControl/>
                    <w:jc w:val="center"/>
                    <w:rPr>
                      <w:bCs/>
                      <w:strike w:val="0"/>
                      <w:dstrike w:val="0"/>
                      <w:color w:val="auto"/>
                      <w:kern w:val="0"/>
                      <w:sz w:val="21"/>
                      <w:szCs w:val="21"/>
                      <w:highlight w:val="none"/>
                    </w:rPr>
                  </w:pPr>
                  <w:r>
                    <w:rPr>
                      <w:strike w:val="0"/>
                      <w:dstrike w:val="0"/>
                      <w:color w:val="auto"/>
                      <w:sz w:val="21"/>
                      <w:szCs w:val="21"/>
                      <w:highlight w:val="none"/>
                    </w:rPr>
                    <w:t>NH</w:t>
                  </w:r>
                  <w:r>
                    <w:rPr>
                      <w:strike w:val="0"/>
                      <w:dstrike w:val="0"/>
                      <w:color w:val="auto"/>
                      <w:sz w:val="21"/>
                      <w:szCs w:val="21"/>
                      <w:highlight w:val="none"/>
                      <w:vertAlign w:val="subscript"/>
                    </w:rPr>
                    <w:t>3</w:t>
                  </w:r>
                  <w:r>
                    <w:rPr>
                      <w:strike w:val="0"/>
                      <w:dstrike w:val="0"/>
                      <w:color w:val="auto"/>
                      <w:sz w:val="21"/>
                      <w:szCs w:val="21"/>
                      <w:highlight w:val="none"/>
                    </w:rPr>
                    <w:t>-N</w:t>
                  </w:r>
                </w:p>
              </w:tc>
              <w:tc>
                <w:tcPr>
                  <w:tcW w:w="1050" w:type="dxa"/>
                  <w:vMerge w:val="continue"/>
                  <w:vAlign w:val="center"/>
                </w:tcPr>
                <w:p w14:paraId="67A24B6E">
                  <w:pPr>
                    <w:widowControl/>
                    <w:jc w:val="center"/>
                    <w:rPr>
                      <w:bCs/>
                      <w:strike w:val="0"/>
                      <w:dstrike w:val="0"/>
                      <w:color w:val="auto"/>
                      <w:kern w:val="0"/>
                      <w:sz w:val="21"/>
                      <w:szCs w:val="21"/>
                      <w:highlight w:val="none"/>
                    </w:rPr>
                  </w:pPr>
                </w:p>
              </w:tc>
              <w:tc>
                <w:tcPr>
                  <w:tcW w:w="1351" w:type="dxa"/>
                  <w:shd w:val="clear" w:color="auto" w:fill="auto"/>
                  <w:vAlign w:val="center"/>
                </w:tcPr>
                <w:p w14:paraId="4914E402">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40</w:t>
                  </w:r>
                </w:p>
              </w:tc>
              <w:tc>
                <w:tcPr>
                  <w:tcW w:w="865" w:type="dxa"/>
                  <w:shd w:val="clear" w:color="auto" w:fill="auto"/>
                  <w:vAlign w:val="center"/>
                </w:tcPr>
                <w:p w14:paraId="0BA76B44">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0.0486</w:t>
                  </w:r>
                </w:p>
              </w:tc>
              <w:tc>
                <w:tcPr>
                  <w:tcW w:w="1497" w:type="dxa"/>
                  <w:vMerge w:val="continue"/>
                  <w:vAlign w:val="center"/>
                </w:tcPr>
                <w:p w14:paraId="184A8F3F">
                  <w:pPr>
                    <w:widowControl/>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56FCEC58">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30</w:t>
                  </w:r>
                </w:p>
              </w:tc>
              <w:tc>
                <w:tcPr>
                  <w:tcW w:w="817" w:type="dxa"/>
                  <w:shd w:val="clear" w:color="auto" w:fill="auto"/>
                  <w:vAlign w:val="center"/>
                </w:tcPr>
                <w:p w14:paraId="0D35332A">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kern w:val="2"/>
                      <w:sz w:val="21"/>
                      <w:szCs w:val="21"/>
                      <w:highlight w:val="none"/>
                      <w:lang w:val="en-US" w:eastAsia="zh-CN" w:bidi="ar-SA"/>
                    </w:rPr>
                    <w:t>0.0365</w:t>
                  </w:r>
                </w:p>
              </w:tc>
            </w:tr>
            <w:tr w14:paraId="5A46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restart"/>
                  <w:shd w:val="clear" w:color="auto" w:fill="auto"/>
                  <w:vAlign w:val="center"/>
                </w:tcPr>
                <w:p w14:paraId="74A019E0">
                  <w:pPr>
                    <w:widowControl/>
                    <w:jc w:val="center"/>
                    <w:rPr>
                      <w:strike w:val="0"/>
                      <w:dstrike w:val="0"/>
                      <w:color w:val="auto"/>
                      <w:sz w:val="21"/>
                      <w:szCs w:val="21"/>
                      <w:highlight w:val="none"/>
                    </w:rPr>
                  </w:pPr>
                  <w:r>
                    <w:rPr>
                      <w:strike w:val="0"/>
                      <w:dstrike w:val="0"/>
                      <w:color w:val="auto"/>
                      <w:sz w:val="21"/>
                      <w:szCs w:val="21"/>
                      <w:highlight w:val="none"/>
                    </w:rPr>
                    <w:t>2</w:t>
                  </w:r>
                </w:p>
              </w:tc>
              <w:tc>
                <w:tcPr>
                  <w:tcW w:w="1069" w:type="dxa"/>
                  <w:vMerge w:val="restart"/>
                  <w:shd w:val="clear" w:color="auto" w:fill="auto"/>
                  <w:vAlign w:val="center"/>
                </w:tcPr>
                <w:p w14:paraId="26B8D866">
                  <w:pPr>
                    <w:widowControl/>
                    <w:jc w:val="center"/>
                    <w:rPr>
                      <w:strike w:val="0"/>
                      <w:dstrike w:val="0"/>
                      <w:color w:val="auto"/>
                      <w:sz w:val="21"/>
                      <w:szCs w:val="21"/>
                      <w:highlight w:val="none"/>
                    </w:rPr>
                  </w:pPr>
                  <w:r>
                    <w:rPr>
                      <w:strike w:val="0"/>
                      <w:dstrike w:val="0"/>
                      <w:color w:val="auto"/>
                      <w:sz w:val="21"/>
                      <w:szCs w:val="21"/>
                      <w:highlight w:val="none"/>
                    </w:rPr>
                    <w:t>场地冲洗废水</w:t>
                  </w:r>
                </w:p>
              </w:tc>
              <w:tc>
                <w:tcPr>
                  <w:tcW w:w="890" w:type="dxa"/>
                  <w:shd w:val="clear" w:color="auto" w:fill="auto"/>
                  <w:vAlign w:val="center"/>
                </w:tcPr>
                <w:p w14:paraId="68062C12">
                  <w:pPr>
                    <w:widowControl/>
                    <w:jc w:val="center"/>
                    <w:rPr>
                      <w:bCs/>
                      <w:strike w:val="0"/>
                      <w:dstrike w:val="0"/>
                      <w:color w:val="auto"/>
                      <w:kern w:val="0"/>
                      <w:sz w:val="21"/>
                      <w:szCs w:val="21"/>
                      <w:highlight w:val="none"/>
                    </w:rPr>
                  </w:pPr>
                  <w:r>
                    <w:rPr>
                      <w:strike w:val="0"/>
                      <w:dstrike w:val="0"/>
                      <w:color w:val="auto"/>
                      <w:sz w:val="21"/>
                      <w:szCs w:val="21"/>
                      <w:highlight w:val="none"/>
                    </w:rPr>
                    <w:t>SS</w:t>
                  </w:r>
                </w:p>
              </w:tc>
              <w:tc>
                <w:tcPr>
                  <w:tcW w:w="1050" w:type="dxa"/>
                  <w:vMerge w:val="restart"/>
                  <w:shd w:val="clear" w:color="auto" w:fill="auto"/>
                  <w:vAlign w:val="center"/>
                </w:tcPr>
                <w:p w14:paraId="0F39E987">
                  <w:pPr>
                    <w:widowControl/>
                    <w:jc w:val="center"/>
                    <w:rPr>
                      <w:rFonts w:hint="eastAsia" w:eastAsia="宋体"/>
                      <w:bCs/>
                      <w:strike w:val="0"/>
                      <w:dstrike w:val="0"/>
                      <w:color w:val="auto"/>
                      <w:kern w:val="0"/>
                      <w:sz w:val="21"/>
                      <w:szCs w:val="21"/>
                      <w:highlight w:val="none"/>
                      <w:lang w:eastAsia="zh-CN"/>
                    </w:rPr>
                  </w:pPr>
                  <w:r>
                    <w:rPr>
                      <w:rFonts w:hint="eastAsia"/>
                      <w:bCs/>
                      <w:strike w:val="0"/>
                      <w:dstrike w:val="0"/>
                      <w:color w:val="auto"/>
                      <w:sz w:val="21"/>
                      <w:szCs w:val="21"/>
                      <w:highlight w:val="none"/>
                      <w:lang w:eastAsia="zh-CN"/>
                    </w:rPr>
                    <w:t>242.53</w:t>
                  </w:r>
                </w:p>
              </w:tc>
              <w:tc>
                <w:tcPr>
                  <w:tcW w:w="1351" w:type="dxa"/>
                  <w:shd w:val="clear" w:color="auto" w:fill="auto"/>
                  <w:vAlign w:val="center"/>
                </w:tcPr>
                <w:p w14:paraId="2EE21032">
                  <w:pPr>
                    <w:widowControl/>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ascii="Times New Roman" w:hAnsi="Times New Roman" w:eastAsia="宋体" w:cs="Times New Roman"/>
                      <w:bCs/>
                      <w:strike w:val="0"/>
                      <w:dstrike w:val="0"/>
                      <w:color w:val="auto"/>
                      <w:kern w:val="2"/>
                      <w:sz w:val="21"/>
                      <w:szCs w:val="21"/>
                      <w:highlight w:val="none"/>
                      <w:lang w:val="en-US" w:eastAsia="zh-CN" w:bidi="ar-SA"/>
                    </w:rPr>
                    <w:t>450</w:t>
                  </w:r>
                </w:p>
              </w:tc>
              <w:tc>
                <w:tcPr>
                  <w:tcW w:w="865" w:type="dxa"/>
                  <w:shd w:val="clear" w:color="auto" w:fill="auto"/>
                  <w:vAlign w:val="center"/>
                </w:tcPr>
                <w:p w14:paraId="242447F5">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0.1091 </w:t>
                  </w:r>
                </w:p>
              </w:tc>
              <w:tc>
                <w:tcPr>
                  <w:tcW w:w="1497" w:type="dxa"/>
                  <w:vMerge w:val="restart"/>
                  <w:shd w:val="clear" w:color="auto" w:fill="auto"/>
                  <w:vAlign w:val="center"/>
                </w:tcPr>
                <w:p w14:paraId="6C7DD896">
                  <w:pPr>
                    <w:widowControl/>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ascii="Times New Roman" w:hAnsi="Times New Roman" w:eastAsia="宋体" w:cs="Times New Roman"/>
                      <w:bCs/>
                      <w:strike w:val="0"/>
                      <w:dstrike w:val="0"/>
                      <w:color w:val="auto"/>
                      <w:kern w:val="2"/>
                      <w:sz w:val="21"/>
                      <w:szCs w:val="21"/>
                      <w:highlight w:val="none"/>
                      <w:lang w:val="en-US" w:eastAsia="zh-CN" w:bidi="ar-SA"/>
                    </w:rPr>
                    <w:t>经三段式隔油池处理后排入市政污水管网</w:t>
                  </w:r>
                </w:p>
              </w:tc>
              <w:tc>
                <w:tcPr>
                  <w:tcW w:w="1008" w:type="dxa"/>
                  <w:shd w:val="clear" w:color="auto" w:fill="auto"/>
                  <w:vAlign w:val="center"/>
                </w:tcPr>
                <w:p w14:paraId="23955048">
                  <w:pPr>
                    <w:widowControl/>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ascii="Times New Roman" w:hAnsi="Times New Roman" w:eastAsia="宋体" w:cs="Times New Roman"/>
                      <w:bCs/>
                      <w:strike w:val="0"/>
                      <w:dstrike w:val="0"/>
                      <w:color w:val="auto"/>
                      <w:kern w:val="2"/>
                      <w:sz w:val="21"/>
                      <w:szCs w:val="21"/>
                      <w:highlight w:val="none"/>
                      <w:lang w:val="en-US" w:eastAsia="zh-CN" w:bidi="ar-SA"/>
                    </w:rPr>
                    <w:t>400</w:t>
                  </w:r>
                </w:p>
              </w:tc>
              <w:tc>
                <w:tcPr>
                  <w:tcW w:w="817" w:type="dxa"/>
                  <w:shd w:val="clear" w:color="auto" w:fill="auto"/>
                  <w:vAlign w:val="center"/>
                </w:tcPr>
                <w:p w14:paraId="38CB0FFD">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0.0970 </w:t>
                  </w:r>
                </w:p>
              </w:tc>
            </w:tr>
            <w:tr w14:paraId="0614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50C37E28">
                  <w:pPr>
                    <w:widowControl/>
                    <w:jc w:val="center"/>
                    <w:rPr>
                      <w:strike w:val="0"/>
                      <w:dstrike w:val="0"/>
                      <w:color w:val="auto"/>
                      <w:sz w:val="21"/>
                      <w:szCs w:val="21"/>
                      <w:highlight w:val="none"/>
                    </w:rPr>
                  </w:pPr>
                </w:p>
              </w:tc>
              <w:tc>
                <w:tcPr>
                  <w:tcW w:w="1069" w:type="dxa"/>
                  <w:vMerge w:val="continue"/>
                  <w:vAlign w:val="center"/>
                </w:tcPr>
                <w:p w14:paraId="145BE729">
                  <w:pPr>
                    <w:widowControl/>
                    <w:jc w:val="center"/>
                    <w:rPr>
                      <w:strike w:val="0"/>
                      <w:dstrike w:val="0"/>
                      <w:color w:val="auto"/>
                      <w:sz w:val="21"/>
                      <w:szCs w:val="21"/>
                      <w:highlight w:val="none"/>
                    </w:rPr>
                  </w:pPr>
                </w:p>
              </w:tc>
              <w:tc>
                <w:tcPr>
                  <w:tcW w:w="890" w:type="dxa"/>
                  <w:shd w:val="clear" w:color="auto" w:fill="auto"/>
                  <w:vAlign w:val="center"/>
                </w:tcPr>
                <w:p w14:paraId="47C1F257">
                  <w:pPr>
                    <w:jc w:val="center"/>
                    <w:rPr>
                      <w:strike w:val="0"/>
                      <w:dstrike w:val="0"/>
                      <w:color w:val="auto"/>
                      <w:sz w:val="21"/>
                      <w:szCs w:val="21"/>
                      <w:highlight w:val="none"/>
                    </w:rPr>
                  </w:pPr>
                  <w:r>
                    <w:rPr>
                      <w:strike w:val="0"/>
                      <w:dstrike w:val="0"/>
                      <w:color w:val="auto"/>
                      <w:sz w:val="21"/>
                      <w:szCs w:val="21"/>
                      <w:highlight w:val="none"/>
                    </w:rPr>
                    <w:t>石油类</w:t>
                  </w:r>
                </w:p>
              </w:tc>
              <w:tc>
                <w:tcPr>
                  <w:tcW w:w="1050" w:type="dxa"/>
                  <w:vMerge w:val="continue"/>
                  <w:vAlign w:val="center"/>
                </w:tcPr>
                <w:p w14:paraId="26D16F9E">
                  <w:pPr>
                    <w:jc w:val="center"/>
                    <w:rPr>
                      <w:strike w:val="0"/>
                      <w:dstrike w:val="0"/>
                      <w:color w:val="auto"/>
                      <w:sz w:val="21"/>
                      <w:szCs w:val="21"/>
                      <w:highlight w:val="none"/>
                    </w:rPr>
                  </w:pPr>
                </w:p>
              </w:tc>
              <w:tc>
                <w:tcPr>
                  <w:tcW w:w="1351" w:type="dxa"/>
                  <w:shd w:val="clear" w:color="auto" w:fill="auto"/>
                  <w:vAlign w:val="center"/>
                </w:tcPr>
                <w:p w14:paraId="2BC6A70D">
                  <w:pPr>
                    <w:widowControl/>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ascii="Times New Roman" w:hAnsi="Times New Roman" w:eastAsia="宋体" w:cs="Times New Roman"/>
                      <w:bCs/>
                      <w:strike w:val="0"/>
                      <w:dstrike w:val="0"/>
                      <w:color w:val="auto"/>
                      <w:kern w:val="2"/>
                      <w:sz w:val="21"/>
                      <w:szCs w:val="21"/>
                      <w:highlight w:val="none"/>
                      <w:lang w:val="en-US" w:eastAsia="zh-CN" w:bidi="ar-SA"/>
                    </w:rPr>
                    <w:t>150</w:t>
                  </w:r>
                </w:p>
              </w:tc>
              <w:tc>
                <w:tcPr>
                  <w:tcW w:w="865" w:type="dxa"/>
                  <w:shd w:val="clear" w:color="auto" w:fill="auto"/>
                  <w:vAlign w:val="center"/>
                </w:tcPr>
                <w:p w14:paraId="134BE6DB">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0.0364 </w:t>
                  </w:r>
                </w:p>
              </w:tc>
              <w:tc>
                <w:tcPr>
                  <w:tcW w:w="1497" w:type="dxa"/>
                  <w:vMerge w:val="continue"/>
                  <w:vAlign w:val="center"/>
                </w:tcPr>
                <w:p w14:paraId="5A601589">
                  <w:pPr>
                    <w:widowControl/>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2DDB8354">
                  <w:pPr>
                    <w:widowControl/>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ascii="Times New Roman" w:hAnsi="Times New Roman" w:eastAsia="宋体" w:cs="Times New Roman"/>
                      <w:bCs/>
                      <w:strike w:val="0"/>
                      <w:dstrike w:val="0"/>
                      <w:color w:val="auto"/>
                      <w:kern w:val="2"/>
                      <w:sz w:val="21"/>
                      <w:szCs w:val="21"/>
                      <w:highlight w:val="none"/>
                      <w:lang w:val="en-US" w:eastAsia="zh-CN" w:bidi="ar-SA"/>
                    </w:rPr>
                    <w:t>15</w:t>
                  </w:r>
                </w:p>
              </w:tc>
              <w:tc>
                <w:tcPr>
                  <w:tcW w:w="817" w:type="dxa"/>
                  <w:shd w:val="clear" w:color="auto" w:fill="auto"/>
                  <w:vAlign w:val="center"/>
                </w:tcPr>
                <w:p w14:paraId="3BBF3F57">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0.0036 </w:t>
                  </w:r>
                </w:p>
              </w:tc>
            </w:tr>
            <w:tr w14:paraId="1812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restart"/>
                  <w:vAlign w:val="center"/>
                </w:tcPr>
                <w:p w14:paraId="452C3ACF">
                  <w:pPr>
                    <w:widowControl/>
                    <w:jc w:val="center"/>
                    <w:rPr>
                      <w:strike w:val="0"/>
                      <w:dstrike w:val="0"/>
                      <w:color w:val="auto"/>
                      <w:sz w:val="21"/>
                      <w:szCs w:val="21"/>
                      <w:highlight w:val="none"/>
                    </w:rPr>
                  </w:pPr>
                  <w:r>
                    <w:rPr>
                      <w:strike w:val="0"/>
                      <w:dstrike w:val="0"/>
                      <w:color w:val="auto"/>
                      <w:sz w:val="21"/>
                      <w:szCs w:val="21"/>
                      <w:highlight w:val="none"/>
                    </w:rPr>
                    <w:t>3</w:t>
                  </w:r>
                </w:p>
              </w:tc>
              <w:tc>
                <w:tcPr>
                  <w:tcW w:w="1069" w:type="dxa"/>
                  <w:vMerge w:val="restart"/>
                  <w:vAlign w:val="center"/>
                </w:tcPr>
                <w:p w14:paraId="1D975CDC">
                  <w:pPr>
                    <w:widowControl/>
                    <w:jc w:val="center"/>
                    <w:rPr>
                      <w:strike w:val="0"/>
                      <w:dstrike w:val="0"/>
                      <w:color w:val="auto"/>
                      <w:sz w:val="21"/>
                      <w:szCs w:val="21"/>
                      <w:highlight w:val="none"/>
                    </w:rPr>
                  </w:pPr>
                  <w:r>
                    <w:rPr>
                      <w:strike w:val="0"/>
                      <w:dstrike w:val="0"/>
                      <w:color w:val="auto"/>
                      <w:sz w:val="21"/>
                      <w:szCs w:val="21"/>
                      <w:highlight w:val="none"/>
                    </w:rPr>
                    <w:t>综合废水</w:t>
                  </w:r>
                </w:p>
              </w:tc>
              <w:tc>
                <w:tcPr>
                  <w:tcW w:w="890" w:type="dxa"/>
                  <w:shd w:val="clear" w:color="auto" w:fill="auto"/>
                  <w:vAlign w:val="center"/>
                </w:tcPr>
                <w:p w14:paraId="7D1247BA">
                  <w:pPr>
                    <w:widowControl/>
                    <w:jc w:val="center"/>
                    <w:rPr>
                      <w:rFonts w:ascii="Times New Roman" w:hAnsi="Times New Roman" w:eastAsia="宋体" w:cs="Times New Roman"/>
                      <w:bCs/>
                      <w:strike w:val="0"/>
                      <w:dstrike w:val="0"/>
                      <w:color w:val="auto"/>
                      <w:kern w:val="0"/>
                      <w:sz w:val="21"/>
                      <w:szCs w:val="21"/>
                      <w:highlight w:val="none"/>
                      <w:lang w:val="en-US" w:eastAsia="zh-CN" w:bidi="ar-SA"/>
                    </w:rPr>
                  </w:pPr>
                  <w:r>
                    <w:rPr>
                      <w:rFonts w:hint="eastAsia"/>
                      <w:bCs/>
                      <w:strike w:val="0"/>
                      <w:dstrike w:val="0"/>
                      <w:color w:val="auto"/>
                      <w:kern w:val="0"/>
                      <w:sz w:val="21"/>
                      <w:szCs w:val="21"/>
                      <w:highlight w:val="none"/>
                      <w:lang w:val="en-US" w:eastAsia="zh-CN"/>
                    </w:rPr>
                    <w:t>pH</w:t>
                  </w:r>
                </w:p>
              </w:tc>
              <w:tc>
                <w:tcPr>
                  <w:tcW w:w="1050" w:type="dxa"/>
                  <w:vMerge w:val="restart"/>
                  <w:vAlign w:val="center"/>
                </w:tcPr>
                <w:p w14:paraId="462E8501">
                  <w:pPr>
                    <w:jc w:val="center"/>
                    <w:rPr>
                      <w:rFonts w:hint="eastAsia" w:eastAsia="宋体"/>
                      <w:strike w:val="0"/>
                      <w:dstrike w:val="0"/>
                      <w:color w:val="auto"/>
                      <w:sz w:val="21"/>
                      <w:szCs w:val="21"/>
                      <w:highlight w:val="none"/>
                      <w:lang w:eastAsia="zh-CN"/>
                    </w:rPr>
                  </w:pPr>
                  <w:r>
                    <w:rPr>
                      <w:rFonts w:hint="eastAsia"/>
                      <w:strike w:val="0"/>
                      <w:dstrike w:val="0"/>
                      <w:color w:val="auto"/>
                      <w:sz w:val="21"/>
                      <w:szCs w:val="21"/>
                      <w:highlight w:val="none"/>
                      <w:lang w:eastAsia="zh-CN"/>
                    </w:rPr>
                    <w:t>1457.98</w:t>
                  </w:r>
                  <w:r>
                    <w:rPr>
                      <w:rFonts w:hint="eastAsia"/>
                      <w:b w:val="0"/>
                      <w:bCs w:val="0"/>
                      <w:strike w:val="0"/>
                      <w:dstrike w:val="0"/>
                      <w:color w:val="auto"/>
                      <w:sz w:val="21"/>
                      <w:szCs w:val="21"/>
                      <w:highlight w:val="none"/>
                      <w:lang w:eastAsia="zh-CN"/>
                    </w:rPr>
                    <w:t>（</w:t>
                  </w:r>
                  <w:r>
                    <w:rPr>
                      <w:rFonts w:hint="default" w:ascii="Times New Roman" w:hAnsi="Times New Roman" w:eastAsia="宋体" w:cs="Times New Roman"/>
                      <w:b w:val="0"/>
                      <w:bCs w:val="0"/>
                      <w:i w:val="0"/>
                      <w:iCs w:val="0"/>
                      <w:strike w:val="0"/>
                      <w:dstrike w:val="0"/>
                      <w:color w:val="auto"/>
                      <w:kern w:val="0"/>
                      <w:sz w:val="21"/>
                      <w:szCs w:val="21"/>
                      <w:highlight w:val="none"/>
                      <w:u w:val="none"/>
                      <w:lang w:val="en-US" w:eastAsia="zh-CN" w:bidi="ar"/>
                    </w:rPr>
                    <w:t>7.994</w:t>
                  </w:r>
                  <w:r>
                    <w:rPr>
                      <w:b w:val="0"/>
                      <w:bCs w:val="0"/>
                      <w:strike w:val="0"/>
                      <w:dstrike w:val="0"/>
                      <w:color w:val="auto"/>
                      <w:sz w:val="21"/>
                      <w:szCs w:val="21"/>
                      <w:highlight w:val="none"/>
                    </w:rPr>
                    <w:t>m</w:t>
                  </w:r>
                  <w:r>
                    <w:rPr>
                      <w:b w:val="0"/>
                      <w:bCs w:val="0"/>
                      <w:strike w:val="0"/>
                      <w:dstrike w:val="0"/>
                      <w:color w:val="auto"/>
                      <w:sz w:val="21"/>
                      <w:szCs w:val="21"/>
                      <w:highlight w:val="none"/>
                      <w:vertAlign w:val="superscript"/>
                    </w:rPr>
                    <w:t>3</w:t>
                  </w:r>
                  <w:r>
                    <w:rPr>
                      <w:b w:val="0"/>
                      <w:bCs w:val="0"/>
                      <w:strike w:val="0"/>
                      <w:dstrike w:val="0"/>
                      <w:color w:val="auto"/>
                      <w:sz w:val="21"/>
                      <w:szCs w:val="21"/>
                      <w:highlight w:val="none"/>
                    </w:rPr>
                    <w:t>/</w:t>
                  </w:r>
                  <w:r>
                    <w:rPr>
                      <w:rFonts w:hint="eastAsia"/>
                      <w:b w:val="0"/>
                      <w:bCs w:val="0"/>
                      <w:strike w:val="0"/>
                      <w:dstrike w:val="0"/>
                      <w:color w:val="auto"/>
                      <w:sz w:val="21"/>
                      <w:szCs w:val="21"/>
                      <w:highlight w:val="none"/>
                      <w:lang w:val="en-US" w:eastAsia="zh-CN"/>
                    </w:rPr>
                    <w:t>d</w:t>
                  </w:r>
                  <w:r>
                    <w:rPr>
                      <w:rFonts w:hint="eastAsia"/>
                      <w:b w:val="0"/>
                      <w:bCs w:val="0"/>
                      <w:strike w:val="0"/>
                      <w:dstrike w:val="0"/>
                      <w:color w:val="auto"/>
                      <w:sz w:val="21"/>
                      <w:szCs w:val="21"/>
                      <w:highlight w:val="none"/>
                      <w:lang w:eastAsia="zh-CN"/>
                    </w:rPr>
                    <w:t>）</w:t>
                  </w:r>
                </w:p>
              </w:tc>
              <w:tc>
                <w:tcPr>
                  <w:tcW w:w="1351" w:type="dxa"/>
                  <w:shd w:val="clear" w:color="auto" w:fill="auto"/>
                  <w:vAlign w:val="center"/>
                </w:tcPr>
                <w:p w14:paraId="5C529327">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6-9（无量纲）</w:t>
                  </w:r>
                </w:p>
              </w:tc>
              <w:tc>
                <w:tcPr>
                  <w:tcW w:w="865" w:type="dxa"/>
                  <w:shd w:val="clear" w:color="auto" w:fill="auto"/>
                  <w:vAlign w:val="center"/>
                </w:tcPr>
                <w:p w14:paraId="045D1C98">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w:t>
                  </w:r>
                </w:p>
              </w:tc>
              <w:tc>
                <w:tcPr>
                  <w:tcW w:w="1497" w:type="dxa"/>
                  <w:vMerge w:val="restart"/>
                  <w:vAlign w:val="center"/>
                </w:tcPr>
                <w:p w14:paraId="2D7E8988">
                  <w:pPr>
                    <w:jc w:val="center"/>
                    <w:rPr>
                      <w:rFonts w:ascii="Times New Roman" w:hAnsi="Times New Roman" w:eastAsia="宋体" w:cs="Times New Roman"/>
                      <w:bCs/>
                      <w:strike w:val="0"/>
                      <w:dstrike w:val="0"/>
                      <w:color w:val="auto"/>
                      <w:kern w:val="2"/>
                      <w:sz w:val="21"/>
                      <w:szCs w:val="21"/>
                      <w:highlight w:val="none"/>
                      <w:lang w:val="en-US" w:eastAsia="zh-CN" w:bidi="ar-SA"/>
                    </w:rPr>
                  </w:pPr>
                  <w:r>
                    <w:rPr>
                      <w:rFonts w:ascii="Times New Roman" w:hAnsi="Times New Roman" w:eastAsia="宋体" w:cs="Times New Roman"/>
                      <w:bCs/>
                      <w:strike w:val="0"/>
                      <w:dstrike w:val="0"/>
                      <w:color w:val="auto"/>
                      <w:kern w:val="2"/>
                      <w:sz w:val="21"/>
                      <w:szCs w:val="21"/>
                      <w:highlight w:val="none"/>
                      <w:lang w:val="en-US" w:eastAsia="zh-CN" w:bidi="ar-SA"/>
                    </w:rPr>
                    <w:t>经隔油池、生化池处理后排入市政管网</w:t>
                  </w:r>
                </w:p>
              </w:tc>
              <w:tc>
                <w:tcPr>
                  <w:tcW w:w="1008" w:type="dxa"/>
                  <w:shd w:val="clear" w:color="auto" w:fill="auto"/>
                  <w:vAlign w:val="center"/>
                </w:tcPr>
                <w:p w14:paraId="79101F2B">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6-9（无量纲）</w:t>
                  </w:r>
                </w:p>
              </w:tc>
              <w:tc>
                <w:tcPr>
                  <w:tcW w:w="817" w:type="dxa"/>
                  <w:shd w:val="clear" w:color="auto" w:fill="auto"/>
                  <w:vAlign w:val="center"/>
                </w:tcPr>
                <w:p w14:paraId="51A34B0B">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w:t>
                  </w:r>
                </w:p>
              </w:tc>
            </w:tr>
            <w:tr w14:paraId="2F16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shd w:val="clear" w:color="auto" w:fill="auto"/>
                  <w:vAlign w:val="center"/>
                </w:tcPr>
                <w:p w14:paraId="563E62B8">
                  <w:pPr>
                    <w:widowControl/>
                    <w:jc w:val="center"/>
                    <w:rPr>
                      <w:strike w:val="0"/>
                      <w:dstrike w:val="0"/>
                      <w:color w:val="auto"/>
                      <w:sz w:val="21"/>
                      <w:szCs w:val="21"/>
                      <w:highlight w:val="none"/>
                    </w:rPr>
                  </w:pPr>
                </w:p>
              </w:tc>
              <w:tc>
                <w:tcPr>
                  <w:tcW w:w="1069" w:type="dxa"/>
                  <w:vMerge w:val="continue"/>
                  <w:shd w:val="clear" w:color="auto" w:fill="auto"/>
                  <w:vAlign w:val="center"/>
                </w:tcPr>
                <w:p w14:paraId="783461D6">
                  <w:pPr>
                    <w:widowControl/>
                    <w:jc w:val="center"/>
                    <w:rPr>
                      <w:strike w:val="0"/>
                      <w:dstrike w:val="0"/>
                      <w:color w:val="auto"/>
                      <w:sz w:val="21"/>
                      <w:szCs w:val="21"/>
                      <w:highlight w:val="none"/>
                    </w:rPr>
                  </w:pPr>
                </w:p>
              </w:tc>
              <w:tc>
                <w:tcPr>
                  <w:tcW w:w="890" w:type="dxa"/>
                  <w:shd w:val="clear" w:color="auto" w:fill="auto"/>
                  <w:vAlign w:val="center"/>
                </w:tcPr>
                <w:p w14:paraId="7C74589B">
                  <w:pPr>
                    <w:widowControl/>
                    <w:jc w:val="center"/>
                    <w:rPr>
                      <w:bCs/>
                      <w:strike w:val="0"/>
                      <w:dstrike w:val="0"/>
                      <w:color w:val="auto"/>
                      <w:kern w:val="0"/>
                      <w:sz w:val="21"/>
                      <w:szCs w:val="21"/>
                      <w:highlight w:val="none"/>
                    </w:rPr>
                  </w:pPr>
                  <w:r>
                    <w:rPr>
                      <w:bCs/>
                      <w:strike w:val="0"/>
                      <w:dstrike w:val="0"/>
                      <w:color w:val="auto"/>
                      <w:kern w:val="0"/>
                      <w:sz w:val="21"/>
                      <w:szCs w:val="21"/>
                      <w:highlight w:val="none"/>
                    </w:rPr>
                    <w:t>COD</w:t>
                  </w:r>
                </w:p>
              </w:tc>
              <w:tc>
                <w:tcPr>
                  <w:tcW w:w="1050" w:type="dxa"/>
                  <w:vMerge w:val="continue"/>
                  <w:shd w:val="clear" w:color="auto" w:fill="auto"/>
                  <w:vAlign w:val="center"/>
                </w:tcPr>
                <w:p w14:paraId="5588FCCB">
                  <w:pPr>
                    <w:jc w:val="center"/>
                    <w:rPr>
                      <w:rFonts w:hint="eastAsia" w:eastAsia="宋体"/>
                      <w:strike w:val="0"/>
                      <w:dstrike w:val="0"/>
                      <w:color w:val="auto"/>
                      <w:sz w:val="21"/>
                      <w:szCs w:val="21"/>
                      <w:highlight w:val="none"/>
                      <w:lang w:eastAsia="zh-CN"/>
                    </w:rPr>
                  </w:pPr>
                </w:p>
              </w:tc>
              <w:tc>
                <w:tcPr>
                  <w:tcW w:w="1351" w:type="dxa"/>
                  <w:shd w:val="clear" w:color="auto" w:fill="auto"/>
                  <w:vAlign w:val="center"/>
                </w:tcPr>
                <w:p w14:paraId="7DBDCE0F">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375 </w:t>
                  </w:r>
                </w:p>
              </w:tc>
              <w:tc>
                <w:tcPr>
                  <w:tcW w:w="865" w:type="dxa"/>
                  <w:shd w:val="clear" w:color="auto" w:fill="auto"/>
                  <w:vAlign w:val="center"/>
                </w:tcPr>
                <w:p w14:paraId="6746FEFA">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0.5470 </w:t>
                  </w:r>
                </w:p>
              </w:tc>
              <w:tc>
                <w:tcPr>
                  <w:tcW w:w="1497" w:type="dxa"/>
                  <w:vMerge w:val="continue"/>
                  <w:shd w:val="clear" w:color="auto" w:fill="auto"/>
                  <w:vAlign w:val="center"/>
                </w:tcPr>
                <w:p w14:paraId="1A7F03C6">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58FE05CC">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400</w:t>
                  </w:r>
                </w:p>
              </w:tc>
              <w:tc>
                <w:tcPr>
                  <w:tcW w:w="817" w:type="dxa"/>
                  <w:shd w:val="clear" w:color="auto" w:fill="auto"/>
                  <w:vAlign w:val="center"/>
                </w:tcPr>
                <w:p w14:paraId="71F27602">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0.5832 </w:t>
                  </w:r>
                </w:p>
              </w:tc>
            </w:tr>
            <w:tr w14:paraId="0DA0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0116BF2A">
                  <w:pPr>
                    <w:widowControl/>
                    <w:jc w:val="center"/>
                    <w:rPr>
                      <w:strike w:val="0"/>
                      <w:dstrike w:val="0"/>
                      <w:color w:val="auto"/>
                      <w:sz w:val="21"/>
                      <w:szCs w:val="21"/>
                      <w:highlight w:val="none"/>
                    </w:rPr>
                  </w:pPr>
                </w:p>
              </w:tc>
              <w:tc>
                <w:tcPr>
                  <w:tcW w:w="1069" w:type="dxa"/>
                  <w:vMerge w:val="continue"/>
                  <w:vAlign w:val="center"/>
                </w:tcPr>
                <w:p w14:paraId="3552DD8F">
                  <w:pPr>
                    <w:widowControl/>
                    <w:jc w:val="center"/>
                    <w:rPr>
                      <w:strike w:val="0"/>
                      <w:dstrike w:val="0"/>
                      <w:color w:val="auto"/>
                      <w:sz w:val="21"/>
                      <w:szCs w:val="21"/>
                      <w:highlight w:val="none"/>
                    </w:rPr>
                  </w:pPr>
                </w:p>
              </w:tc>
              <w:tc>
                <w:tcPr>
                  <w:tcW w:w="890" w:type="dxa"/>
                  <w:shd w:val="clear" w:color="auto" w:fill="auto"/>
                  <w:vAlign w:val="center"/>
                </w:tcPr>
                <w:p w14:paraId="1D6B4F0F">
                  <w:pPr>
                    <w:widowControl/>
                    <w:jc w:val="center"/>
                    <w:rPr>
                      <w:bCs/>
                      <w:strike w:val="0"/>
                      <w:dstrike w:val="0"/>
                      <w:color w:val="auto"/>
                      <w:kern w:val="0"/>
                      <w:sz w:val="21"/>
                      <w:szCs w:val="21"/>
                      <w:highlight w:val="none"/>
                    </w:rPr>
                  </w:pPr>
                  <w:r>
                    <w:rPr>
                      <w:strike w:val="0"/>
                      <w:dstrike w:val="0"/>
                      <w:color w:val="auto"/>
                      <w:sz w:val="21"/>
                      <w:szCs w:val="21"/>
                      <w:highlight w:val="none"/>
                    </w:rPr>
                    <w:t>BOD</w:t>
                  </w:r>
                  <w:r>
                    <w:rPr>
                      <w:strike w:val="0"/>
                      <w:dstrike w:val="0"/>
                      <w:color w:val="auto"/>
                      <w:sz w:val="21"/>
                      <w:szCs w:val="21"/>
                      <w:highlight w:val="none"/>
                      <w:vertAlign w:val="subscript"/>
                    </w:rPr>
                    <w:t>5</w:t>
                  </w:r>
                </w:p>
              </w:tc>
              <w:tc>
                <w:tcPr>
                  <w:tcW w:w="1050" w:type="dxa"/>
                  <w:vMerge w:val="continue"/>
                  <w:shd w:val="clear" w:color="auto" w:fill="auto"/>
                  <w:vAlign w:val="center"/>
                </w:tcPr>
                <w:p w14:paraId="388B94B9">
                  <w:pPr>
                    <w:jc w:val="center"/>
                    <w:rPr>
                      <w:strike w:val="0"/>
                      <w:dstrike w:val="0"/>
                      <w:color w:val="auto"/>
                      <w:sz w:val="21"/>
                      <w:szCs w:val="21"/>
                      <w:highlight w:val="none"/>
                    </w:rPr>
                  </w:pPr>
                </w:p>
              </w:tc>
              <w:tc>
                <w:tcPr>
                  <w:tcW w:w="1351" w:type="dxa"/>
                  <w:shd w:val="clear" w:color="auto" w:fill="auto"/>
                  <w:vAlign w:val="center"/>
                </w:tcPr>
                <w:p w14:paraId="583DACED">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250 </w:t>
                  </w:r>
                </w:p>
              </w:tc>
              <w:tc>
                <w:tcPr>
                  <w:tcW w:w="865" w:type="dxa"/>
                  <w:shd w:val="clear" w:color="auto" w:fill="auto"/>
                  <w:vAlign w:val="center"/>
                </w:tcPr>
                <w:p w14:paraId="035AF486">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0.3646 </w:t>
                  </w:r>
                </w:p>
              </w:tc>
              <w:tc>
                <w:tcPr>
                  <w:tcW w:w="1497" w:type="dxa"/>
                  <w:vMerge w:val="continue"/>
                  <w:vAlign w:val="center"/>
                </w:tcPr>
                <w:p w14:paraId="70009C68">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599D6353">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300</w:t>
                  </w:r>
                </w:p>
              </w:tc>
              <w:tc>
                <w:tcPr>
                  <w:tcW w:w="817" w:type="dxa"/>
                  <w:shd w:val="clear" w:color="auto" w:fill="auto"/>
                  <w:vAlign w:val="center"/>
                </w:tcPr>
                <w:p w14:paraId="64CCF1C3">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0.4374 </w:t>
                  </w:r>
                </w:p>
              </w:tc>
            </w:tr>
            <w:tr w14:paraId="61AF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71" w:type="dxa"/>
                  <w:vMerge w:val="continue"/>
                  <w:vAlign w:val="center"/>
                </w:tcPr>
                <w:p w14:paraId="3FA892B5">
                  <w:pPr>
                    <w:widowControl/>
                    <w:jc w:val="center"/>
                    <w:rPr>
                      <w:strike w:val="0"/>
                      <w:dstrike w:val="0"/>
                      <w:color w:val="auto"/>
                      <w:sz w:val="21"/>
                      <w:szCs w:val="21"/>
                      <w:highlight w:val="none"/>
                    </w:rPr>
                  </w:pPr>
                </w:p>
              </w:tc>
              <w:tc>
                <w:tcPr>
                  <w:tcW w:w="1069" w:type="dxa"/>
                  <w:vMerge w:val="continue"/>
                  <w:vAlign w:val="center"/>
                </w:tcPr>
                <w:p w14:paraId="5937E5CE">
                  <w:pPr>
                    <w:widowControl/>
                    <w:jc w:val="center"/>
                    <w:rPr>
                      <w:strike w:val="0"/>
                      <w:dstrike w:val="0"/>
                      <w:color w:val="auto"/>
                      <w:sz w:val="21"/>
                      <w:szCs w:val="21"/>
                      <w:highlight w:val="none"/>
                    </w:rPr>
                  </w:pPr>
                </w:p>
              </w:tc>
              <w:tc>
                <w:tcPr>
                  <w:tcW w:w="890" w:type="dxa"/>
                  <w:shd w:val="clear" w:color="auto" w:fill="auto"/>
                  <w:vAlign w:val="center"/>
                </w:tcPr>
                <w:p w14:paraId="7072D7D3">
                  <w:pPr>
                    <w:widowControl/>
                    <w:jc w:val="center"/>
                    <w:rPr>
                      <w:bCs/>
                      <w:strike w:val="0"/>
                      <w:dstrike w:val="0"/>
                      <w:color w:val="auto"/>
                      <w:kern w:val="0"/>
                      <w:sz w:val="21"/>
                      <w:szCs w:val="21"/>
                      <w:highlight w:val="none"/>
                    </w:rPr>
                  </w:pPr>
                  <w:r>
                    <w:rPr>
                      <w:bCs/>
                      <w:strike w:val="0"/>
                      <w:dstrike w:val="0"/>
                      <w:color w:val="auto"/>
                      <w:kern w:val="0"/>
                      <w:sz w:val="21"/>
                      <w:szCs w:val="21"/>
                      <w:highlight w:val="none"/>
                    </w:rPr>
                    <w:t>SS</w:t>
                  </w:r>
                </w:p>
              </w:tc>
              <w:tc>
                <w:tcPr>
                  <w:tcW w:w="1050" w:type="dxa"/>
                  <w:vMerge w:val="continue"/>
                  <w:shd w:val="clear" w:color="auto" w:fill="auto"/>
                  <w:vAlign w:val="center"/>
                </w:tcPr>
                <w:p w14:paraId="07EDECCF">
                  <w:pPr>
                    <w:jc w:val="center"/>
                    <w:rPr>
                      <w:strike w:val="0"/>
                      <w:dstrike w:val="0"/>
                      <w:color w:val="auto"/>
                      <w:sz w:val="21"/>
                      <w:szCs w:val="21"/>
                      <w:highlight w:val="none"/>
                    </w:rPr>
                  </w:pPr>
                </w:p>
              </w:tc>
              <w:tc>
                <w:tcPr>
                  <w:tcW w:w="1351" w:type="dxa"/>
                  <w:shd w:val="clear" w:color="auto" w:fill="auto"/>
                  <w:vAlign w:val="center"/>
                </w:tcPr>
                <w:p w14:paraId="00F003C7">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450 </w:t>
                  </w:r>
                </w:p>
              </w:tc>
              <w:tc>
                <w:tcPr>
                  <w:tcW w:w="865" w:type="dxa"/>
                  <w:shd w:val="clear" w:color="auto" w:fill="auto"/>
                  <w:vAlign w:val="center"/>
                </w:tcPr>
                <w:p w14:paraId="6FC05154">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0.6561 </w:t>
                  </w:r>
                </w:p>
              </w:tc>
              <w:tc>
                <w:tcPr>
                  <w:tcW w:w="1497" w:type="dxa"/>
                  <w:vMerge w:val="continue"/>
                  <w:vAlign w:val="center"/>
                </w:tcPr>
                <w:p w14:paraId="32E169C4">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3E3E7762">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400</w:t>
                  </w:r>
                </w:p>
              </w:tc>
              <w:tc>
                <w:tcPr>
                  <w:tcW w:w="817" w:type="dxa"/>
                  <w:shd w:val="clear" w:color="auto" w:fill="auto"/>
                  <w:vAlign w:val="center"/>
                </w:tcPr>
                <w:p w14:paraId="395F2ECB">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0.5832 </w:t>
                  </w:r>
                </w:p>
              </w:tc>
            </w:tr>
            <w:tr w14:paraId="332C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3D555BF5">
                  <w:pPr>
                    <w:widowControl/>
                    <w:jc w:val="center"/>
                    <w:rPr>
                      <w:strike w:val="0"/>
                      <w:dstrike w:val="0"/>
                      <w:color w:val="auto"/>
                      <w:sz w:val="21"/>
                      <w:szCs w:val="21"/>
                      <w:highlight w:val="none"/>
                    </w:rPr>
                  </w:pPr>
                </w:p>
              </w:tc>
              <w:tc>
                <w:tcPr>
                  <w:tcW w:w="1069" w:type="dxa"/>
                  <w:vMerge w:val="continue"/>
                  <w:vAlign w:val="center"/>
                </w:tcPr>
                <w:p w14:paraId="430E586C">
                  <w:pPr>
                    <w:widowControl/>
                    <w:jc w:val="center"/>
                    <w:rPr>
                      <w:strike w:val="0"/>
                      <w:dstrike w:val="0"/>
                      <w:color w:val="auto"/>
                      <w:sz w:val="21"/>
                      <w:szCs w:val="21"/>
                      <w:highlight w:val="none"/>
                    </w:rPr>
                  </w:pPr>
                </w:p>
              </w:tc>
              <w:tc>
                <w:tcPr>
                  <w:tcW w:w="890" w:type="dxa"/>
                  <w:shd w:val="clear" w:color="auto" w:fill="auto"/>
                  <w:vAlign w:val="center"/>
                </w:tcPr>
                <w:p w14:paraId="6583B8B0">
                  <w:pPr>
                    <w:widowControl/>
                    <w:jc w:val="center"/>
                    <w:rPr>
                      <w:bCs/>
                      <w:strike w:val="0"/>
                      <w:dstrike w:val="0"/>
                      <w:color w:val="auto"/>
                      <w:kern w:val="0"/>
                      <w:sz w:val="21"/>
                      <w:szCs w:val="21"/>
                      <w:highlight w:val="none"/>
                    </w:rPr>
                  </w:pPr>
                  <w:r>
                    <w:rPr>
                      <w:strike w:val="0"/>
                      <w:dstrike w:val="0"/>
                      <w:color w:val="auto"/>
                      <w:sz w:val="21"/>
                      <w:szCs w:val="21"/>
                      <w:highlight w:val="none"/>
                    </w:rPr>
                    <w:t>NH</w:t>
                  </w:r>
                  <w:r>
                    <w:rPr>
                      <w:strike w:val="0"/>
                      <w:dstrike w:val="0"/>
                      <w:color w:val="auto"/>
                      <w:sz w:val="21"/>
                      <w:szCs w:val="21"/>
                      <w:highlight w:val="none"/>
                      <w:vertAlign w:val="subscript"/>
                    </w:rPr>
                    <w:t>3</w:t>
                  </w:r>
                  <w:r>
                    <w:rPr>
                      <w:strike w:val="0"/>
                      <w:dstrike w:val="0"/>
                      <w:color w:val="auto"/>
                      <w:sz w:val="21"/>
                      <w:szCs w:val="21"/>
                      <w:highlight w:val="none"/>
                    </w:rPr>
                    <w:t>-N</w:t>
                  </w:r>
                </w:p>
              </w:tc>
              <w:tc>
                <w:tcPr>
                  <w:tcW w:w="1050" w:type="dxa"/>
                  <w:vMerge w:val="continue"/>
                  <w:shd w:val="clear" w:color="auto" w:fill="auto"/>
                  <w:vAlign w:val="center"/>
                </w:tcPr>
                <w:p w14:paraId="641355C0">
                  <w:pPr>
                    <w:jc w:val="center"/>
                    <w:rPr>
                      <w:strike w:val="0"/>
                      <w:dstrike w:val="0"/>
                      <w:color w:val="auto"/>
                      <w:sz w:val="21"/>
                      <w:szCs w:val="21"/>
                      <w:highlight w:val="none"/>
                    </w:rPr>
                  </w:pPr>
                </w:p>
              </w:tc>
              <w:tc>
                <w:tcPr>
                  <w:tcW w:w="1351" w:type="dxa"/>
                  <w:shd w:val="clear" w:color="auto" w:fill="auto"/>
                  <w:vAlign w:val="center"/>
                </w:tcPr>
                <w:p w14:paraId="219CA16E">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33 </w:t>
                  </w:r>
                </w:p>
              </w:tc>
              <w:tc>
                <w:tcPr>
                  <w:tcW w:w="865" w:type="dxa"/>
                  <w:shd w:val="clear" w:color="auto" w:fill="auto"/>
                  <w:vAlign w:val="center"/>
                </w:tcPr>
                <w:p w14:paraId="08B9F652">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0.0486 </w:t>
                  </w:r>
                </w:p>
              </w:tc>
              <w:tc>
                <w:tcPr>
                  <w:tcW w:w="1497" w:type="dxa"/>
                  <w:vMerge w:val="continue"/>
                  <w:vAlign w:val="center"/>
                </w:tcPr>
                <w:p w14:paraId="237CB391">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71176312">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30</w:t>
                  </w:r>
                </w:p>
              </w:tc>
              <w:tc>
                <w:tcPr>
                  <w:tcW w:w="817" w:type="dxa"/>
                  <w:shd w:val="clear" w:color="auto" w:fill="auto"/>
                  <w:vAlign w:val="center"/>
                </w:tcPr>
                <w:p w14:paraId="136BB33D">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0.0437 </w:t>
                  </w:r>
                </w:p>
              </w:tc>
            </w:tr>
            <w:tr w14:paraId="239A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17B79B3D">
                  <w:pPr>
                    <w:widowControl/>
                    <w:jc w:val="center"/>
                    <w:rPr>
                      <w:strike w:val="0"/>
                      <w:dstrike w:val="0"/>
                      <w:color w:val="auto"/>
                      <w:sz w:val="21"/>
                      <w:szCs w:val="21"/>
                      <w:highlight w:val="none"/>
                    </w:rPr>
                  </w:pPr>
                </w:p>
              </w:tc>
              <w:tc>
                <w:tcPr>
                  <w:tcW w:w="1069" w:type="dxa"/>
                  <w:vMerge w:val="continue"/>
                  <w:vAlign w:val="center"/>
                </w:tcPr>
                <w:p w14:paraId="0254CABC">
                  <w:pPr>
                    <w:widowControl/>
                    <w:jc w:val="center"/>
                    <w:rPr>
                      <w:strike w:val="0"/>
                      <w:dstrike w:val="0"/>
                      <w:color w:val="auto"/>
                      <w:sz w:val="21"/>
                      <w:szCs w:val="21"/>
                      <w:highlight w:val="none"/>
                    </w:rPr>
                  </w:pPr>
                </w:p>
              </w:tc>
              <w:tc>
                <w:tcPr>
                  <w:tcW w:w="890" w:type="dxa"/>
                  <w:shd w:val="clear" w:color="auto" w:fill="auto"/>
                  <w:vAlign w:val="center"/>
                </w:tcPr>
                <w:p w14:paraId="6709453D">
                  <w:pPr>
                    <w:jc w:val="center"/>
                    <w:rPr>
                      <w:strike w:val="0"/>
                      <w:dstrike w:val="0"/>
                      <w:color w:val="auto"/>
                      <w:sz w:val="21"/>
                      <w:szCs w:val="21"/>
                      <w:highlight w:val="none"/>
                    </w:rPr>
                  </w:pPr>
                  <w:r>
                    <w:rPr>
                      <w:strike w:val="0"/>
                      <w:dstrike w:val="0"/>
                      <w:color w:val="auto"/>
                      <w:sz w:val="21"/>
                      <w:szCs w:val="21"/>
                      <w:highlight w:val="none"/>
                    </w:rPr>
                    <w:t>石油类</w:t>
                  </w:r>
                </w:p>
              </w:tc>
              <w:tc>
                <w:tcPr>
                  <w:tcW w:w="1050" w:type="dxa"/>
                  <w:vMerge w:val="continue"/>
                  <w:shd w:val="clear" w:color="auto" w:fill="auto"/>
                  <w:vAlign w:val="center"/>
                </w:tcPr>
                <w:p w14:paraId="1700438C">
                  <w:pPr>
                    <w:jc w:val="center"/>
                    <w:rPr>
                      <w:strike w:val="0"/>
                      <w:dstrike w:val="0"/>
                      <w:color w:val="auto"/>
                      <w:sz w:val="21"/>
                      <w:szCs w:val="21"/>
                      <w:highlight w:val="none"/>
                    </w:rPr>
                  </w:pPr>
                </w:p>
              </w:tc>
              <w:tc>
                <w:tcPr>
                  <w:tcW w:w="1351" w:type="dxa"/>
                  <w:shd w:val="clear" w:color="auto" w:fill="auto"/>
                  <w:vAlign w:val="center"/>
                </w:tcPr>
                <w:p w14:paraId="40BCE721">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25 </w:t>
                  </w:r>
                </w:p>
              </w:tc>
              <w:tc>
                <w:tcPr>
                  <w:tcW w:w="865" w:type="dxa"/>
                  <w:shd w:val="clear" w:color="auto" w:fill="auto"/>
                  <w:vAlign w:val="center"/>
                </w:tcPr>
                <w:p w14:paraId="2E82523A">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0.0364 </w:t>
                  </w:r>
                </w:p>
              </w:tc>
              <w:tc>
                <w:tcPr>
                  <w:tcW w:w="1497" w:type="dxa"/>
                  <w:vMerge w:val="continue"/>
                  <w:vAlign w:val="center"/>
                </w:tcPr>
                <w:p w14:paraId="3826B9A8">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613E6339">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15</w:t>
                  </w:r>
                </w:p>
              </w:tc>
              <w:tc>
                <w:tcPr>
                  <w:tcW w:w="817" w:type="dxa"/>
                  <w:shd w:val="clear" w:color="auto" w:fill="auto"/>
                  <w:vAlign w:val="center"/>
                </w:tcPr>
                <w:p w14:paraId="41054E48">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0.0219 </w:t>
                  </w:r>
                </w:p>
              </w:tc>
            </w:tr>
            <w:tr w14:paraId="2BC3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restart"/>
                  <w:vAlign w:val="center"/>
                </w:tcPr>
                <w:p w14:paraId="6CAB27F9">
                  <w:pPr>
                    <w:widowControl/>
                    <w:jc w:val="center"/>
                    <w:rPr>
                      <w:strike w:val="0"/>
                      <w:dstrike w:val="0"/>
                      <w:color w:val="auto"/>
                      <w:sz w:val="21"/>
                      <w:szCs w:val="21"/>
                      <w:highlight w:val="none"/>
                    </w:rPr>
                  </w:pPr>
                  <w:r>
                    <w:rPr>
                      <w:strike w:val="0"/>
                      <w:dstrike w:val="0"/>
                      <w:color w:val="auto"/>
                      <w:sz w:val="21"/>
                      <w:szCs w:val="21"/>
                      <w:highlight w:val="none"/>
                    </w:rPr>
                    <w:t>4</w:t>
                  </w:r>
                </w:p>
              </w:tc>
              <w:tc>
                <w:tcPr>
                  <w:tcW w:w="1069" w:type="dxa"/>
                  <w:vMerge w:val="restart"/>
                  <w:vAlign w:val="center"/>
                </w:tcPr>
                <w:p w14:paraId="0E0BB2EB">
                  <w:pPr>
                    <w:widowControl/>
                    <w:jc w:val="center"/>
                    <w:rPr>
                      <w:strike w:val="0"/>
                      <w:dstrike w:val="0"/>
                      <w:color w:val="auto"/>
                      <w:sz w:val="21"/>
                      <w:szCs w:val="21"/>
                      <w:highlight w:val="none"/>
                    </w:rPr>
                  </w:pPr>
                  <w:r>
                    <w:rPr>
                      <w:strike w:val="0"/>
                      <w:dstrike w:val="0"/>
                      <w:color w:val="auto"/>
                      <w:sz w:val="21"/>
                      <w:szCs w:val="21"/>
                      <w:highlight w:val="none"/>
                    </w:rPr>
                    <w:t>综合废水</w:t>
                  </w:r>
                </w:p>
              </w:tc>
              <w:tc>
                <w:tcPr>
                  <w:tcW w:w="890" w:type="dxa"/>
                  <w:shd w:val="clear" w:color="auto" w:fill="auto"/>
                  <w:vAlign w:val="center"/>
                </w:tcPr>
                <w:p w14:paraId="281138BA">
                  <w:pPr>
                    <w:widowControl/>
                    <w:jc w:val="center"/>
                    <w:rPr>
                      <w:rFonts w:ascii="Times New Roman" w:hAnsi="Times New Roman" w:eastAsia="宋体" w:cs="Times New Roman"/>
                      <w:bCs/>
                      <w:strike w:val="0"/>
                      <w:dstrike w:val="0"/>
                      <w:color w:val="auto"/>
                      <w:kern w:val="0"/>
                      <w:sz w:val="21"/>
                      <w:szCs w:val="21"/>
                      <w:highlight w:val="none"/>
                      <w:lang w:val="en-US" w:eastAsia="zh-CN" w:bidi="ar-SA"/>
                    </w:rPr>
                  </w:pPr>
                  <w:r>
                    <w:rPr>
                      <w:rFonts w:hint="eastAsia"/>
                      <w:bCs/>
                      <w:strike w:val="0"/>
                      <w:dstrike w:val="0"/>
                      <w:color w:val="auto"/>
                      <w:kern w:val="0"/>
                      <w:sz w:val="21"/>
                      <w:szCs w:val="21"/>
                      <w:highlight w:val="none"/>
                      <w:lang w:val="en-US" w:eastAsia="zh-CN"/>
                    </w:rPr>
                    <w:t>pH</w:t>
                  </w:r>
                </w:p>
              </w:tc>
              <w:tc>
                <w:tcPr>
                  <w:tcW w:w="1050" w:type="dxa"/>
                  <w:vMerge w:val="restart"/>
                  <w:shd w:val="clear" w:color="auto" w:fill="auto"/>
                  <w:vAlign w:val="center"/>
                </w:tcPr>
                <w:p w14:paraId="67A7B12B">
                  <w:pPr>
                    <w:jc w:val="center"/>
                    <w:rPr>
                      <w:rFonts w:hint="eastAsia" w:eastAsia="宋体"/>
                      <w:strike w:val="0"/>
                      <w:dstrike w:val="0"/>
                      <w:color w:val="auto"/>
                      <w:sz w:val="21"/>
                      <w:szCs w:val="21"/>
                      <w:highlight w:val="none"/>
                      <w:lang w:eastAsia="zh-CN"/>
                    </w:rPr>
                  </w:pPr>
                  <w:r>
                    <w:rPr>
                      <w:rFonts w:hint="eastAsia"/>
                      <w:strike w:val="0"/>
                      <w:dstrike w:val="0"/>
                      <w:color w:val="auto"/>
                      <w:sz w:val="21"/>
                      <w:szCs w:val="21"/>
                      <w:highlight w:val="none"/>
                      <w:lang w:eastAsia="zh-CN"/>
                    </w:rPr>
                    <w:t>1457.98</w:t>
                  </w:r>
                </w:p>
              </w:tc>
              <w:tc>
                <w:tcPr>
                  <w:tcW w:w="1351" w:type="dxa"/>
                  <w:shd w:val="clear" w:color="auto" w:fill="auto"/>
                  <w:vAlign w:val="center"/>
                </w:tcPr>
                <w:p w14:paraId="12550128">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6-9（无量纲）</w:t>
                  </w:r>
                </w:p>
              </w:tc>
              <w:tc>
                <w:tcPr>
                  <w:tcW w:w="865" w:type="dxa"/>
                  <w:shd w:val="clear" w:color="auto" w:fill="auto"/>
                  <w:vAlign w:val="center"/>
                </w:tcPr>
                <w:p w14:paraId="294EAC13">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w:t>
                  </w:r>
                </w:p>
              </w:tc>
              <w:tc>
                <w:tcPr>
                  <w:tcW w:w="1497" w:type="dxa"/>
                  <w:vMerge w:val="restart"/>
                  <w:vAlign w:val="center"/>
                </w:tcPr>
                <w:p w14:paraId="1197728B">
                  <w:pPr>
                    <w:jc w:val="center"/>
                    <w:rPr>
                      <w:rFonts w:ascii="Times New Roman" w:hAnsi="Times New Roman" w:eastAsia="宋体" w:cs="Times New Roman"/>
                      <w:bCs/>
                      <w:strike w:val="0"/>
                      <w:dstrike w:val="0"/>
                      <w:color w:val="auto"/>
                      <w:kern w:val="2"/>
                      <w:sz w:val="21"/>
                      <w:szCs w:val="21"/>
                      <w:highlight w:val="none"/>
                      <w:lang w:val="en-US" w:eastAsia="zh-CN" w:bidi="ar-SA"/>
                    </w:rPr>
                  </w:pPr>
                  <w:r>
                    <w:rPr>
                      <w:rFonts w:ascii="Times New Roman" w:hAnsi="Times New Roman" w:eastAsia="宋体" w:cs="Times New Roman"/>
                      <w:bCs/>
                      <w:strike w:val="0"/>
                      <w:dstrike w:val="0"/>
                      <w:color w:val="auto"/>
                      <w:kern w:val="2"/>
                      <w:sz w:val="21"/>
                      <w:szCs w:val="21"/>
                      <w:highlight w:val="none"/>
                      <w:lang w:val="en-US" w:eastAsia="zh-CN" w:bidi="ar-SA"/>
                    </w:rPr>
                    <w:t>经</w:t>
                  </w:r>
                  <w:r>
                    <w:rPr>
                      <w:rFonts w:hint="eastAsia" w:cs="Times New Roman"/>
                      <w:bCs/>
                      <w:strike w:val="0"/>
                      <w:dstrike w:val="0"/>
                      <w:color w:val="auto"/>
                      <w:kern w:val="2"/>
                      <w:sz w:val="21"/>
                      <w:szCs w:val="21"/>
                      <w:highlight w:val="none"/>
                      <w:lang w:val="en-US" w:eastAsia="zh-CN" w:bidi="ar-SA"/>
                    </w:rPr>
                    <w:t>微车基地污水处理厂</w:t>
                  </w:r>
                  <w:r>
                    <w:rPr>
                      <w:rFonts w:ascii="Times New Roman" w:hAnsi="Times New Roman" w:eastAsia="宋体" w:cs="Times New Roman"/>
                      <w:bCs/>
                      <w:strike w:val="0"/>
                      <w:dstrike w:val="0"/>
                      <w:color w:val="auto"/>
                      <w:kern w:val="2"/>
                      <w:sz w:val="21"/>
                      <w:szCs w:val="21"/>
                      <w:highlight w:val="none"/>
                      <w:lang w:val="en-US" w:eastAsia="zh-CN" w:bidi="ar-SA"/>
                    </w:rPr>
                    <w:t>处理后排入柏水溪，最终汇入嘉陵江</w:t>
                  </w:r>
                </w:p>
              </w:tc>
              <w:tc>
                <w:tcPr>
                  <w:tcW w:w="1008" w:type="dxa"/>
                  <w:shd w:val="clear" w:color="auto" w:fill="auto"/>
                  <w:vAlign w:val="center"/>
                </w:tcPr>
                <w:p w14:paraId="5595540E">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6-9（无量纲）</w:t>
                  </w:r>
                </w:p>
              </w:tc>
              <w:tc>
                <w:tcPr>
                  <w:tcW w:w="817" w:type="dxa"/>
                  <w:shd w:val="clear" w:color="auto" w:fill="auto"/>
                  <w:vAlign w:val="center"/>
                </w:tcPr>
                <w:p w14:paraId="0F96CB67">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eastAsia" w:cs="Times New Roman"/>
                      <w:bCs/>
                      <w:strike w:val="0"/>
                      <w:dstrike w:val="0"/>
                      <w:color w:val="auto"/>
                      <w:kern w:val="2"/>
                      <w:sz w:val="21"/>
                      <w:szCs w:val="21"/>
                      <w:highlight w:val="none"/>
                      <w:lang w:val="en-US" w:eastAsia="zh-CN" w:bidi="ar-SA"/>
                    </w:rPr>
                    <w:t>/</w:t>
                  </w:r>
                </w:p>
              </w:tc>
            </w:tr>
            <w:tr w14:paraId="7B50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vMerge w:val="continue"/>
                  <w:shd w:val="clear" w:color="auto" w:fill="auto"/>
                  <w:vAlign w:val="center"/>
                </w:tcPr>
                <w:p w14:paraId="7D53678A">
                  <w:pPr>
                    <w:widowControl/>
                    <w:jc w:val="center"/>
                    <w:rPr>
                      <w:strike w:val="0"/>
                      <w:dstrike w:val="0"/>
                      <w:color w:val="auto"/>
                      <w:sz w:val="21"/>
                      <w:szCs w:val="21"/>
                      <w:highlight w:val="none"/>
                    </w:rPr>
                  </w:pPr>
                </w:p>
              </w:tc>
              <w:tc>
                <w:tcPr>
                  <w:tcW w:w="1069" w:type="dxa"/>
                  <w:vMerge w:val="continue"/>
                  <w:shd w:val="clear" w:color="auto" w:fill="auto"/>
                  <w:vAlign w:val="center"/>
                </w:tcPr>
                <w:p w14:paraId="73BA83F3">
                  <w:pPr>
                    <w:widowControl/>
                    <w:jc w:val="center"/>
                    <w:rPr>
                      <w:strike w:val="0"/>
                      <w:dstrike w:val="0"/>
                      <w:color w:val="auto"/>
                      <w:sz w:val="21"/>
                      <w:szCs w:val="21"/>
                      <w:highlight w:val="none"/>
                    </w:rPr>
                  </w:pPr>
                </w:p>
              </w:tc>
              <w:tc>
                <w:tcPr>
                  <w:tcW w:w="890" w:type="dxa"/>
                  <w:shd w:val="clear" w:color="auto" w:fill="auto"/>
                  <w:vAlign w:val="center"/>
                </w:tcPr>
                <w:p w14:paraId="68517DBB">
                  <w:pPr>
                    <w:widowControl/>
                    <w:jc w:val="center"/>
                    <w:rPr>
                      <w:rFonts w:ascii="Times New Roman" w:hAnsi="Times New Roman" w:eastAsia="宋体" w:cs="Times New Roman"/>
                      <w:bCs/>
                      <w:strike w:val="0"/>
                      <w:dstrike w:val="0"/>
                      <w:color w:val="auto"/>
                      <w:kern w:val="0"/>
                      <w:sz w:val="21"/>
                      <w:szCs w:val="21"/>
                      <w:highlight w:val="none"/>
                      <w:lang w:val="en-US" w:eastAsia="zh-CN" w:bidi="ar-SA"/>
                    </w:rPr>
                  </w:pPr>
                  <w:r>
                    <w:rPr>
                      <w:bCs/>
                      <w:strike w:val="0"/>
                      <w:dstrike w:val="0"/>
                      <w:color w:val="auto"/>
                      <w:kern w:val="0"/>
                      <w:sz w:val="21"/>
                      <w:szCs w:val="21"/>
                      <w:highlight w:val="none"/>
                    </w:rPr>
                    <w:t>COD</w:t>
                  </w:r>
                </w:p>
              </w:tc>
              <w:tc>
                <w:tcPr>
                  <w:tcW w:w="1050" w:type="dxa"/>
                  <w:vMerge w:val="continue"/>
                  <w:shd w:val="clear" w:color="auto" w:fill="auto"/>
                  <w:vAlign w:val="center"/>
                </w:tcPr>
                <w:p w14:paraId="19E55154">
                  <w:pPr>
                    <w:jc w:val="center"/>
                    <w:rPr>
                      <w:rFonts w:hint="eastAsia" w:eastAsia="宋体"/>
                      <w:strike w:val="0"/>
                      <w:dstrike w:val="0"/>
                      <w:color w:val="auto"/>
                      <w:sz w:val="21"/>
                      <w:szCs w:val="21"/>
                      <w:highlight w:val="none"/>
                      <w:lang w:eastAsia="zh-CN"/>
                    </w:rPr>
                  </w:pPr>
                </w:p>
              </w:tc>
              <w:tc>
                <w:tcPr>
                  <w:tcW w:w="1351" w:type="dxa"/>
                  <w:shd w:val="clear" w:color="auto" w:fill="auto"/>
                  <w:vAlign w:val="center"/>
                </w:tcPr>
                <w:p w14:paraId="06C3B3CC">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400</w:t>
                  </w:r>
                </w:p>
              </w:tc>
              <w:tc>
                <w:tcPr>
                  <w:tcW w:w="865" w:type="dxa"/>
                  <w:shd w:val="clear" w:color="auto" w:fill="auto"/>
                  <w:vAlign w:val="center"/>
                </w:tcPr>
                <w:p w14:paraId="74CD1B9E">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0.5832 </w:t>
                  </w:r>
                </w:p>
              </w:tc>
              <w:tc>
                <w:tcPr>
                  <w:tcW w:w="1497" w:type="dxa"/>
                  <w:vMerge w:val="continue"/>
                  <w:shd w:val="clear" w:color="auto" w:fill="auto"/>
                  <w:vAlign w:val="center"/>
                </w:tcPr>
                <w:p w14:paraId="3A972A26">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6CD0D837">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50</w:t>
                  </w:r>
                </w:p>
              </w:tc>
              <w:tc>
                <w:tcPr>
                  <w:tcW w:w="817" w:type="dxa"/>
                  <w:shd w:val="clear" w:color="auto" w:fill="auto"/>
                  <w:vAlign w:val="center"/>
                </w:tcPr>
                <w:p w14:paraId="23384B2A">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0.0729 </w:t>
                  </w:r>
                </w:p>
              </w:tc>
            </w:tr>
            <w:tr w14:paraId="587A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7AEC04F2">
                  <w:pPr>
                    <w:widowControl/>
                    <w:jc w:val="center"/>
                    <w:rPr>
                      <w:strike w:val="0"/>
                      <w:dstrike w:val="0"/>
                      <w:color w:val="auto"/>
                      <w:sz w:val="21"/>
                      <w:szCs w:val="21"/>
                      <w:highlight w:val="none"/>
                    </w:rPr>
                  </w:pPr>
                </w:p>
              </w:tc>
              <w:tc>
                <w:tcPr>
                  <w:tcW w:w="1069" w:type="dxa"/>
                  <w:vMerge w:val="continue"/>
                  <w:vAlign w:val="center"/>
                </w:tcPr>
                <w:p w14:paraId="50B13D34">
                  <w:pPr>
                    <w:widowControl/>
                    <w:jc w:val="center"/>
                    <w:rPr>
                      <w:strike w:val="0"/>
                      <w:dstrike w:val="0"/>
                      <w:color w:val="auto"/>
                      <w:sz w:val="21"/>
                      <w:szCs w:val="21"/>
                      <w:highlight w:val="none"/>
                    </w:rPr>
                  </w:pPr>
                </w:p>
              </w:tc>
              <w:tc>
                <w:tcPr>
                  <w:tcW w:w="890" w:type="dxa"/>
                  <w:shd w:val="clear" w:color="auto" w:fill="auto"/>
                  <w:vAlign w:val="center"/>
                </w:tcPr>
                <w:p w14:paraId="487DC16C">
                  <w:pPr>
                    <w:widowControl/>
                    <w:jc w:val="center"/>
                    <w:rPr>
                      <w:bCs/>
                      <w:strike w:val="0"/>
                      <w:dstrike w:val="0"/>
                      <w:color w:val="auto"/>
                      <w:kern w:val="0"/>
                      <w:sz w:val="21"/>
                      <w:szCs w:val="21"/>
                      <w:highlight w:val="none"/>
                    </w:rPr>
                  </w:pPr>
                  <w:r>
                    <w:rPr>
                      <w:strike w:val="0"/>
                      <w:dstrike w:val="0"/>
                      <w:color w:val="auto"/>
                      <w:sz w:val="21"/>
                      <w:szCs w:val="21"/>
                      <w:highlight w:val="none"/>
                    </w:rPr>
                    <w:t>BOD</w:t>
                  </w:r>
                  <w:r>
                    <w:rPr>
                      <w:strike w:val="0"/>
                      <w:dstrike w:val="0"/>
                      <w:color w:val="auto"/>
                      <w:sz w:val="21"/>
                      <w:szCs w:val="21"/>
                      <w:highlight w:val="none"/>
                      <w:vertAlign w:val="subscript"/>
                    </w:rPr>
                    <w:t>5</w:t>
                  </w:r>
                </w:p>
              </w:tc>
              <w:tc>
                <w:tcPr>
                  <w:tcW w:w="1050" w:type="dxa"/>
                  <w:vMerge w:val="continue"/>
                  <w:shd w:val="clear" w:color="auto" w:fill="auto"/>
                  <w:vAlign w:val="center"/>
                </w:tcPr>
                <w:p w14:paraId="75D14C52">
                  <w:pPr>
                    <w:widowControl/>
                    <w:jc w:val="center"/>
                    <w:rPr>
                      <w:strike w:val="0"/>
                      <w:dstrike w:val="0"/>
                      <w:color w:val="auto"/>
                      <w:kern w:val="0"/>
                      <w:sz w:val="21"/>
                      <w:szCs w:val="21"/>
                      <w:highlight w:val="none"/>
                      <w:lang w:bidi="ar"/>
                    </w:rPr>
                  </w:pPr>
                </w:p>
              </w:tc>
              <w:tc>
                <w:tcPr>
                  <w:tcW w:w="1351" w:type="dxa"/>
                  <w:shd w:val="clear" w:color="auto" w:fill="auto"/>
                  <w:vAlign w:val="center"/>
                </w:tcPr>
                <w:p w14:paraId="7E94349A">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300</w:t>
                  </w:r>
                </w:p>
              </w:tc>
              <w:tc>
                <w:tcPr>
                  <w:tcW w:w="865" w:type="dxa"/>
                  <w:shd w:val="clear" w:color="auto" w:fill="auto"/>
                  <w:vAlign w:val="center"/>
                </w:tcPr>
                <w:p w14:paraId="482FD326">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0.4374 </w:t>
                  </w:r>
                </w:p>
              </w:tc>
              <w:tc>
                <w:tcPr>
                  <w:tcW w:w="1497" w:type="dxa"/>
                  <w:vMerge w:val="continue"/>
                  <w:vAlign w:val="center"/>
                </w:tcPr>
                <w:p w14:paraId="3487AACB">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417EB799">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10</w:t>
                  </w:r>
                </w:p>
              </w:tc>
              <w:tc>
                <w:tcPr>
                  <w:tcW w:w="817" w:type="dxa"/>
                  <w:shd w:val="clear" w:color="auto" w:fill="auto"/>
                  <w:vAlign w:val="center"/>
                </w:tcPr>
                <w:p w14:paraId="1A471B72">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p>
              </w:tc>
            </w:tr>
            <w:tr w14:paraId="135B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100AD813">
                  <w:pPr>
                    <w:widowControl/>
                    <w:jc w:val="center"/>
                    <w:rPr>
                      <w:strike w:val="0"/>
                      <w:dstrike w:val="0"/>
                      <w:color w:val="auto"/>
                      <w:sz w:val="21"/>
                      <w:szCs w:val="21"/>
                      <w:highlight w:val="none"/>
                    </w:rPr>
                  </w:pPr>
                </w:p>
              </w:tc>
              <w:tc>
                <w:tcPr>
                  <w:tcW w:w="1069" w:type="dxa"/>
                  <w:vMerge w:val="continue"/>
                  <w:vAlign w:val="center"/>
                </w:tcPr>
                <w:p w14:paraId="5928172D">
                  <w:pPr>
                    <w:widowControl/>
                    <w:jc w:val="center"/>
                    <w:rPr>
                      <w:strike w:val="0"/>
                      <w:dstrike w:val="0"/>
                      <w:color w:val="auto"/>
                      <w:sz w:val="21"/>
                      <w:szCs w:val="21"/>
                      <w:highlight w:val="none"/>
                    </w:rPr>
                  </w:pPr>
                </w:p>
              </w:tc>
              <w:tc>
                <w:tcPr>
                  <w:tcW w:w="890" w:type="dxa"/>
                  <w:shd w:val="clear" w:color="auto" w:fill="auto"/>
                  <w:vAlign w:val="center"/>
                </w:tcPr>
                <w:p w14:paraId="71AA8D34">
                  <w:pPr>
                    <w:widowControl/>
                    <w:jc w:val="center"/>
                    <w:rPr>
                      <w:bCs/>
                      <w:strike w:val="0"/>
                      <w:dstrike w:val="0"/>
                      <w:color w:val="auto"/>
                      <w:kern w:val="0"/>
                      <w:sz w:val="21"/>
                      <w:szCs w:val="21"/>
                      <w:highlight w:val="none"/>
                    </w:rPr>
                  </w:pPr>
                  <w:r>
                    <w:rPr>
                      <w:bCs/>
                      <w:strike w:val="0"/>
                      <w:dstrike w:val="0"/>
                      <w:color w:val="auto"/>
                      <w:kern w:val="0"/>
                      <w:sz w:val="21"/>
                      <w:szCs w:val="21"/>
                      <w:highlight w:val="none"/>
                    </w:rPr>
                    <w:t>SS</w:t>
                  </w:r>
                </w:p>
              </w:tc>
              <w:tc>
                <w:tcPr>
                  <w:tcW w:w="1050" w:type="dxa"/>
                  <w:vMerge w:val="continue"/>
                  <w:shd w:val="clear" w:color="auto" w:fill="auto"/>
                  <w:vAlign w:val="center"/>
                </w:tcPr>
                <w:p w14:paraId="7EBF6AEC">
                  <w:pPr>
                    <w:widowControl/>
                    <w:jc w:val="center"/>
                    <w:rPr>
                      <w:bCs/>
                      <w:strike w:val="0"/>
                      <w:dstrike w:val="0"/>
                      <w:color w:val="auto"/>
                      <w:kern w:val="0"/>
                      <w:sz w:val="21"/>
                      <w:szCs w:val="21"/>
                      <w:highlight w:val="none"/>
                    </w:rPr>
                  </w:pPr>
                </w:p>
              </w:tc>
              <w:tc>
                <w:tcPr>
                  <w:tcW w:w="1351" w:type="dxa"/>
                  <w:shd w:val="clear" w:color="auto" w:fill="auto"/>
                  <w:vAlign w:val="center"/>
                </w:tcPr>
                <w:p w14:paraId="140081C1">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400</w:t>
                  </w:r>
                </w:p>
              </w:tc>
              <w:tc>
                <w:tcPr>
                  <w:tcW w:w="865" w:type="dxa"/>
                  <w:shd w:val="clear" w:color="auto" w:fill="auto"/>
                  <w:vAlign w:val="center"/>
                </w:tcPr>
                <w:p w14:paraId="37229B2C">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0.5832 </w:t>
                  </w:r>
                </w:p>
              </w:tc>
              <w:tc>
                <w:tcPr>
                  <w:tcW w:w="1497" w:type="dxa"/>
                  <w:vMerge w:val="continue"/>
                  <w:vAlign w:val="center"/>
                </w:tcPr>
                <w:p w14:paraId="1DEECC0A">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5B871CF2">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10</w:t>
                  </w:r>
                </w:p>
              </w:tc>
              <w:tc>
                <w:tcPr>
                  <w:tcW w:w="817" w:type="dxa"/>
                  <w:shd w:val="clear" w:color="auto" w:fill="auto"/>
                  <w:vAlign w:val="center"/>
                </w:tcPr>
                <w:p w14:paraId="3C19075D">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p>
              </w:tc>
            </w:tr>
            <w:tr w14:paraId="1463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7A99B484">
                  <w:pPr>
                    <w:widowControl/>
                    <w:jc w:val="center"/>
                    <w:rPr>
                      <w:strike w:val="0"/>
                      <w:dstrike w:val="0"/>
                      <w:color w:val="auto"/>
                      <w:sz w:val="21"/>
                      <w:szCs w:val="21"/>
                      <w:highlight w:val="none"/>
                    </w:rPr>
                  </w:pPr>
                </w:p>
              </w:tc>
              <w:tc>
                <w:tcPr>
                  <w:tcW w:w="1069" w:type="dxa"/>
                  <w:vMerge w:val="continue"/>
                  <w:vAlign w:val="center"/>
                </w:tcPr>
                <w:p w14:paraId="7D8B8953">
                  <w:pPr>
                    <w:widowControl/>
                    <w:jc w:val="center"/>
                    <w:rPr>
                      <w:strike w:val="0"/>
                      <w:dstrike w:val="0"/>
                      <w:color w:val="auto"/>
                      <w:sz w:val="21"/>
                      <w:szCs w:val="21"/>
                      <w:highlight w:val="none"/>
                    </w:rPr>
                  </w:pPr>
                </w:p>
              </w:tc>
              <w:tc>
                <w:tcPr>
                  <w:tcW w:w="890" w:type="dxa"/>
                  <w:shd w:val="clear" w:color="auto" w:fill="auto"/>
                  <w:vAlign w:val="center"/>
                </w:tcPr>
                <w:p w14:paraId="58B4CF68">
                  <w:pPr>
                    <w:widowControl/>
                    <w:jc w:val="center"/>
                    <w:rPr>
                      <w:bCs/>
                      <w:strike w:val="0"/>
                      <w:dstrike w:val="0"/>
                      <w:color w:val="auto"/>
                      <w:kern w:val="0"/>
                      <w:sz w:val="21"/>
                      <w:szCs w:val="21"/>
                      <w:highlight w:val="none"/>
                    </w:rPr>
                  </w:pPr>
                  <w:r>
                    <w:rPr>
                      <w:strike w:val="0"/>
                      <w:dstrike w:val="0"/>
                      <w:color w:val="auto"/>
                      <w:sz w:val="21"/>
                      <w:szCs w:val="21"/>
                      <w:highlight w:val="none"/>
                    </w:rPr>
                    <w:t>NH</w:t>
                  </w:r>
                  <w:r>
                    <w:rPr>
                      <w:strike w:val="0"/>
                      <w:dstrike w:val="0"/>
                      <w:color w:val="auto"/>
                      <w:sz w:val="21"/>
                      <w:szCs w:val="21"/>
                      <w:highlight w:val="none"/>
                      <w:vertAlign w:val="subscript"/>
                    </w:rPr>
                    <w:t>3</w:t>
                  </w:r>
                  <w:r>
                    <w:rPr>
                      <w:strike w:val="0"/>
                      <w:dstrike w:val="0"/>
                      <w:color w:val="auto"/>
                      <w:sz w:val="21"/>
                      <w:szCs w:val="21"/>
                      <w:highlight w:val="none"/>
                    </w:rPr>
                    <w:t>-N</w:t>
                  </w:r>
                </w:p>
              </w:tc>
              <w:tc>
                <w:tcPr>
                  <w:tcW w:w="1050" w:type="dxa"/>
                  <w:vMerge w:val="continue"/>
                  <w:shd w:val="clear" w:color="auto" w:fill="auto"/>
                  <w:vAlign w:val="center"/>
                </w:tcPr>
                <w:p w14:paraId="18F0736F">
                  <w:pPr>
                    <w:widowControl/>
                    <w:jc w:val="center"/>
                    <w:rPr>
                      <w:bCs/>
                      <w:strike w:val="0"/>
                      <w:dstrike w:val="0"/>
                      <w:color w:val="auto"/>
                      <w:kern w:val="0"/>
                      <w:sz w:val="21"/>
                      <w:szCs w:val="21"/>
                      <w:highlight w:val="none"/>
                    </w:rPr>
                  </w:pPr>
                </w:p>
              </w:tc>
              <w:tc>
                <w:tcPr>
                  <w:tcW w:w="1351" w:type="dxa"/>
                  <w:shd w:val="clear" w:color="auto" w:fill="auto"/>
                  <w:vAlign w:val="center"/>
                </w:tcPr>
                <w:p w14:paraId="79B04FBC">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30</w:t>
                  </w:r>
                </w:p>
              </w:tc>
              <w:tc>
                <w:tcPr>
                  <w:tcW w:w="865" w:type="dxa"/>
                  <w:shd w:val="clear" w:color="auto" w:fill="auto"/>
                  <w:vAlign w:val="center"/>
                </w:tcPr>
                <w:p w14:paraId="199F111C">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0.0437 </w:t>
                  </w:r>
                </w:p>
              </w:tc>
              <w:tc>
                <w:tcPr>
                  <w:tcW w:w="1497" w:type="dxa"/>
                  <w:vMerge w:val="continue"/>
                  <w:vAlign w:val="center"/>
                </w:tcPr>
                <w:p w14:paraId="174D0880">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77FDE1CB">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8</w:t>
                  </w:r>
                </w:p>
              </w:tc>
              <w:tc>
                <w:tcPr>
                  <w:tcW w:w="817" w:type="dxa"/>
                  <w:shd w:val="clear" w:color="auto" w:fill="auto"/>
                  <w:vAlign w:val="center"/>
                </w:tcPr>
                <w:p w14:paraId="0A9469D8">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0.0117 </w:t>
                  </w:r>
                </w:p>
              </w:tc>
            </w:tr>
            <w:tr w14:paraId="28C4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dxa"/>
                  <w:vMerge w:val="continue"/>
                  <w:vAlign w:val="center"/>
                </w:tcPr>
                <w:p w14:paraId="5EE45B1B">
                  <w:pPr>
                    <w:widowControl/>
                    <w:jc w:val="center"/>
                    <w:rPr>
                      <w:strike w:val="0"/>
                      <w:dstrike w:val="0"/>
                      <w:color w:val="auto"/>
                      <w:sz w:val="21"/>
                      <w:szCs w:val="21"/>
                      <w:highlight w:val="none"/>
                    </w:rPr>
                  </w:pPr>
                </w:p>
              </w:tc>
              <w:tc>
                <w:tcPr>
                  <w:tcW w:w="1069" w:type="dxa"/>
                  <w:vMerge w:val="continue"/>
                  <w:vAlign w:val="center"/>
                </w:tcPr>
                <w:p w14:paraId="1BF930EA">
                  <w:pPr>
                    <w:widowControl/>
                    <w:jc w:val="center"/>
                    <w:rPr>
                      <w:strike w:val="0"/>
                      <w:dstrike w:val="0"/>
                      <w:color w:val="auto"/>
                      <w:sz w:val="21"/>
                      <w:szCs w:val="21"/>
                      <w:highlight w:val="none"/>
                    </w:rPr>
                  </w:pPr>
                </w:p>
              </w:tc>
              <w:tc>
                <w:tcPr>
                  <w:tcW w:w="890" w:type="dxa"/>
                  <w:shd w:val="clear" w:color="auto" w:fill="auto"/>
                  <w:vAlign w:val="center"/>
                </w:tcPr>
                <w:p w14:paraId="3691A396">
                  <w:pPr>
                    <w:jc w:val="center"/>
                    <w:rPr>
                      <w:strike w:val="0"/>
                      <w:dstrike w:val="0"/>
                      <w:color w:val="auto"/>
                      <w:sz w:val="21"/>
                      <w:szCs w:val="21"/>
                      <w:highlight w:val="none"/>
                    </w:rPr>
                  </w:pPr>
                  <w:r>
                    <w:rPr>
                      <w:strike w:val="0"/>
                      <w:dstrike w:val="0"/>
                      <w:color w:val="auto"/>
                      <w:sz w:val="21"/>
                      <w:szCs w:val="21"/>
                      <w:highlight w:val="none"/>
                    </w:rPr>
                    <w:t>石油类</w:t>
                  </w:r>
                </w:p>
              </w:tc>
              <w:tc>
                <w:tcPr>
                  <w:tcW w:w="1050" w:type="dxa"/>
                  <w:vMerge w:val="continue"/>
                  <w:shd w:val="clear" w:color="auto" w:fill="auto"/>
                  <w:vAlign w:val="center"/>
                </w:tcPr>
                <w:p w14:paraId="77268199">
                  <w:pPr>
                    <w:widowControl/>
                    <w:jc w:val="center"/>
                    <w:rPr>
                      <w:strike w:val="0"/>
                      <w:dstrike w:val="0"/>
                      <w:color w:val="auto"/>
                      <w:kern w:val="0"/>
                      <w:sz w:val="21"/>
                      <w:szCs w:val="21"/>
                      <w:highlight w:val="none"/>
                      <w:lang w:bidi="ar"/>
                    </w:rPr>
                  </w:pPr>
                </w:p>
              </w:tc>
              <w:tc>
                <w:tcPr>
                  <w:tcW w:w="1351" w:type="dxa"/>
                  <w:shd w:val="clear" w:color="auto" w:fill="auto"/>
                  <w:vAlign w:val="center"/>
                </w:tcPr>
                <w:p w14:paraId="62E9982A">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15</w:t>
                  </w:r>
                </w:p>
              </w:tc>
              <w:tc>
                <w:tcPr>
                  <w:tcW w:w="865" w:type="dxa"/>
                  <w:shd w:val="clear" w:color="auto" w:fill="auto"/>
                  <w:vAlign w:val="center"/>
                </w:tcPr>
                <w:p w14:paraId="70FA9761">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0.0219 </w:t>
                  </w:r>
                </w:p>
              </w:tc>
              <w:tc>
                <w:tcPr>
                  <w:tcW w:w="1497" w:type="dxa"/>
                  <w:vMerge w:val="continue"/>
                  <w:vAlign w:val="center"/>
                </w:tcPr>
                <w:p w14:paraId="0BECD687">
                  <w:pPr>
                    <w:jc w:val="center"/>
                    <w:rPr>
                      <w:rFonts w:ascii="Times New Roman" w:hAnsi="Times New Roman" w:eastAsia="宋体" w:cs="Times New Roman"/>
                      <w:bCs/>
                      <w:strike w:val="0"/>
                      <w:dstrike w:val="0"/>
                      <w:color w:val="auto"/>
                      <w:kern w:val="2"/>
                      <w:sz w:val="21"/>
                      <w:szCs w:val="21"/>
                      <w:highlight w:val="none"/>
                      <w:lang w:val="en-US" w:eastAsia="zh-CN" w:bidi="ar-SA"/>
                    </w:rPr>
                  </w:pPr>
                </w:p>
              </w:tc>
              <w:tc>
                <w:tcPr>
                  <w:tcW w:w="1008" w:type="dxa"/>
                  <w:shd w:val="clear" w:color="auto" w:fill="auto"/>
                  <w:vAlign w:val="center"/>
                </w:tcPr>
                <w:p w14:paraId="234C836A">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w:t>
                  </w:r>
                </w:p>
              </w:tc>
              <w:tc>
                <w:tcPr>
                  <w:tcW w:w="817" w:type="dxa"/>
                  <w:shd w:val="clear" w:color="auto" w:fill="auto"/>
                  <w:vAlign w:val="center"/>
                </w:tcPr>
                <w:p w14:paraId="42BD0247">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0.0015 </w:t>
                  </w:r>
                </w:p>
              </w:tc>
            </w:tr>
          </w:tbl>
          <w:p w14:paraId="2DF2C257">
            <w:pPr>
              <w:pStyle w:val="66"/>
              <w:spacing w:line="360" w:lineRule="auto"/>
              <w:ind w:firstLine="480" w:firstLineChars="200"/>
              <w:jc w:val="both"/>
              <w:rPr>
                <w:rFonts w:ascii="Times New Roman" w:cs="Times New Roman"/>
                <w:strike w:val="0"/>
                <w:dstrike w:val="0"/>
                <w:color w:val="auto"/>
                <w:highlight w:val="none"/>
              </w:rPr>
            </w:pPr>
          </w:p>
        </w:tc>
      </w:tr>
    </w:tbl>
    <w:p w14:paraId="02F8016C">
      <w:pPr>
        <w:pStyle w:val="11"/>
        <w:rPr>
          <w:rFonts w:ascii="Times New Roman" w:hAnsi="Times New Roman"/>
          <w:strike w:val="0"/>
          <w:dstrike w:val="0"/>
          <w:color w:val="auto"/>
          <w:highlight w:val="none"/>
        </w:rPr>
        <w:sectPr>
          <w:pgSz w:w="11906" w:h="16838"/>
          <w:pgMar w:top="1440" w:right="1803" w:bottom="1440" w:left="1803" w:header="851" w:footer="992" w:gutter="0"/>
          <w:pgNumType w:fmt="numberInDash"/>
          <w:cols w:space="720" w:num="1"/>
          <w:docGrid w:type="lines" w:linePitch="319"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6B53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45" w:hRule="atLeast"/>
        </w:trPr>
        <w:tc>
          <w:tcPr>
            <w:tcW w:w="14174" w:type="dxa"/>
          </w:tcPr>
          <w:p w14:paraId="5E0EE973">
            <w:pPr>
              <w:spacing w:line="360" w:lineRule="auto"/>
              <w:rPr>
                <w:b/>
                <w:bCs/>
                <w:strike w:val="0"/>
                <w:dstrike w:val="0"/>
                <w:color w:val="auto"/>
                <w:highlight w:val="none"/>
              </w:rPr>
            </w:pPr>
            <w:r>
              <w:rPr>
                <w:b/>
                <w:bCs/>
                <w:strike w:val="0"/>
                <w:dstrike w:val="0"/>
                <w:color w:val="auto"/>
                <w:kern w:val="0"/>
                <w:sz w:val="24"/>
                <w:highlight w:val="none"/>
              </w:rPr>
              <w:t>4.2.2.3 本项目废水排放清单</w:t>
            </w:r>
          </w:p>
          <w:p w14:paraId="7C0362A1">
            <w:pPr>
              <w:pStyle w:val="7"/>
              <w:spacing w:line="240" w:lineRule="auto"/>
              <w:ind w:firstLine="0"/>
              <w:jc w:val="center"/>
              <w:rPr>
                <w:rFonts w:ascii="Times New Roman" w:hAnsi="Times New Roman"/>
                <w:b/>
                <w:bCs/>
                <w:strike w:val="0"/>
                <w:dstrike w:val="0"/>
                <w:color w:val="auto"/>
                <w:highlight w:val="none"/>
              </w:rPr>
            </w:pPr>
            <w:r>
              <w:rPr>
                <w:rFonts w:ascii="Times New Roman" w:hAnsi="Times New Roman"/>
                <w:b/>
                <w:bCs/>
                <w:strike w:val="0"/>
                <w:dstrike w:val="0"/>
                <w:color w:val="auto"/>
                <w:highlight w:val="none"/>
              </w:rPr>
              <w:t>表4.2-1</w:t>
            </w:r>
            <w:r>
              <w:rPr>
                <w:rFonts w:hint="eastAsia" w:ascii="Times New Roman" w:hAnsi="Times New Roman"/>
                <w:b/>
                <w:bCs/>
                <w:strike w:val="0"/>
                <w:dstrike w:val="0"/>
                <w:color w:val="auto"/>
                <w:highlight w:val="none"/>
                <w:lang w:val="en-US" w:eastAsia="zh-CN"/>
              </w:rPr>
              <w:t>0</w:t>
            </w:r>
            <w:r>
              <w:rPr>
                <w:rFonts w:ascii="Times New Roman" w:hAnsi="Times New Roman"/>
                <w:b/>
                <w:bCs/>
                <w:strike w:val="0"/>
                <w:dstrike w:val="0"/>
                <w:color w:val="auto"/>
                <w:highlight w:val="none"/>
              </w:rPr>
              <w:t xml:space="preserve">  废水类别、污染物及污染治理设施信息表</w:t>
            </w:r>
          </w:p>
          <w:tbl>
            <w:tblPr>
              <w:tblStyle w:val="22"/>
              <w:tblW w:w="13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288"/>
              <w:gridCol w:w="1288"/>
              <w:gridCol w:w="1288"/>
              <w:gridCol w:w="1633"/>
              <w:gridCol w:w="1292"/>
              <w:gridCol w:w="2230"/>
              <w:gridCol w:w="964"/>
              <w:gridCol w:w="1293"/>
              <w:gridCol w:w="1165"/>
            </w:tblGrid>
            <w:tr w14:paraId="55E2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65" w:type="dxa"/>
                  <w:vMerge w:val="restart"/>
                  <w:vAlign w:val="center"/>
                </w:tcPr>
                <w:p w14:paraId="1B7E4482">
                  <w:pPr>
                    <w:jc w:val="center"/>
                    <w:rPr>
                      <w:strike w:val="0"/>
                      <w:dstrike w:val="0"/>
                      <w:color w:val="auto"/>
                      <w:szCs w:val="21"/>
                      <w:highlight w:val="none"/>
                    </w:rPr>
                  </w:pPr>
                  <w:r>
                    <w:rPr>
                      <w:strike w:val="0"/>
                      <w:dstrike w:val="0"/>
                      <w:color w:val="auto"/>
                      <w:szCs w:val="21"/>
                      <w:highlight w:val="none"/>
                    </w:rPr>
                    <w:t>序号</w:t>
                  </w:r>
                </w:p>
              </w:tc>
              <w:tc>
                <w:tcPr>
                  <w:tcW w:w="1288" w:type="dxa"/>
                  <w:vMerge w:val="restart"/>
                  <w:vAlign w:val="center"/>
                </w:tcPr>
                <w:p w14:paraId="4D232996">
                  <w:pPr>
                    <w:jc w:val="center"/>
                    <w:rPr>
                      <w:strike w:val="0"/>
                      <w:dstrike w:val="0"/>
                      <w:color w:val="auto"/>
                      <w:szCs w:val="21"/>
                      <w:highlight w:val="none"/>
                    </w:rPr>
                  </w:pPr>
                  <w:r>
                    <w:rPr>
                      <w:strike w:val="0"/>
                      <w:dstrike w:val="0"/>
                      <w:color w:val="auto"/>
                      <w:szCs w:val="21"/>
                      <w:highlight w:val="none"/>
                    </w:rPr>
                    <w:t>废水类别</w:t>
                  </w:r>
                </w:p>
              </w:tc>
              <w:tc>
                <w:tcPr>
                  <w:tcW w:w="1288" w:type="dxa"/>
                  <w:vMerge w:val="restart"/>
                  <w:vAlign w:val="center"/>
                </w:tcPr>
                <w:p w14:paraId="3030CF79">
                  <w:pPr>
                    <w:jc w:val="center"/>
                    <w:rPr>
                      <w:strike w:val="0"/>
                      <w:dstrike w:val="0"/>
                      <w:color w:val="auto"/>
                      <w:szCs w:val="21"/>
                      <w:highlight w:val="none"/>
                    </w:rPr>
                  </w:pPr>
                  <w:r>
                    <w:rPr>
                      <w:strike w:val="0"/>
                      <w:dstrike w:val="0"/>
                      <w:color w:val="auto"/>
                      <w:szCs w:val="21"/>
                      <w:highlight w:val="none"/>
                    </w:rPr>
                    <w:t>污染物种类</w:t>
                  </w:r>
                </w:p>
              </w:tc>
              <w:tc>
                <w:tcPr>
                  <w:tcW w:w="1288" w:type="dxa"/>
                  <w:vMerge w:val="restart"/>
                  <w:vAlign w:val="center"/>
                </w:tcPr>
                <w:p w14:paraId="76820018">
                  <w:pPr>
                    <w:jc w:val="center"/>
                    <w:rPr>
                      <w:strike w:val="0"/>
                      <w:dstrike w:val="0"/>
                      <w:color w:val="auto"/>
                      <w:szCs w:val="21"/>
                      <w:highlight w:val="none"/>
                    </w:rPr>
                  </w:pPr>
                  <w:r>
                    <w:rPr>
                      <w:strike w:val="0"/>
                      <w:dstrike w:val="0"/>
                      <w:color w:val="auto"/>
                      <w:szCs w:val="21"/>
                      <w:highlight w:val="none"/>
                    </w:rPr>
                    <w:t>排放去向</w:t>
                  </w:r>
                </w:p>
              </w:tc>
              <w:tc>
                <w:tcPr>
                  <w:tcW w:w="1633" w:type="dxa"/>
                  <w:vMerge w:val="restart"/>
                  <w:vAlign w:val="center"/>
                </w:tcPr>
                <w:p w14:paraId="0B006A06">
                  <w:pPr>
                    <w:jc w:val="center"/>
                    <w:rPr>
                      <w:strike w:val="0"/>
                      <w:dstrike w:val="0"/>
                      <w:color w:val="auto"/>
                      <w:szCs w:val="21"/>
                      <w:highlight w:val="none"/>
                    </w:rPr>
                  </w:pPr>
                  <w:r>
                    <w:rPr>
                      <w:strike w:val="0"/>
                      <w:dstrike w:val="0"/>
                      <w:color w:val="auto"/>
                      <w:szCs w:val="21"/>
                      <w:highlight w:val="none"/>
                    </w:rPr>
                    <w:t>排放规律</w:t>
                  </w:r>
                </w:p>
              </w:tc>
              <w:tc>
                <w:tcPr>
                  <w:tcW w:w="3522" w:type="dxa"/>
                  <w:gridSpan w:val="2"/>
                  <w:vAlign w:val="center"/>
                </w:tcPr>
                <w:p w14:paraId="0A37D0B9">
                  <w:pPr>
                    <w:jc w:val="center"/>
                    <w:rPr>
                      <w:strike w:val="0"/>
                      <w:dstrike w:val="0"/>
                      <w:color w:val="auto"/>
                      <w:szCs w:val="21"/>
                      <w:highlight w:val="none"/>
                    </w:rPr>
                  </w:pPr>
                  <w:r>
                    <w:rPr>
                      <w:strike w:val="0"/>
                      <w:dstrike w:val="0"/>
                      <w:color w:val="auto"/>
                      <w:szCs w:val="21"/>
                      <w:highlight w:val="none"/>
                    </w:rPr>
                    <w:t>污染治理设施</w:t>
                  </w:r>
                </w:p>
              </w:tc>
              <w:tc>
                <w:tcPr>
                  <w:tcW w:w="964" w:type="dxa"/>
                  <w:vMerge w:val="restart"/>
                  <w:vAlign w:val="center"/>
                </w:tcPr>
                <w:p w14:paraId="373C33CF">
                  <w:pPr>
                    <w:jc w:val="center"/>
                    <w:rPr>
                      <w:strike w:val="0"/>
                      <w:dstrike w:val="0"/>
                      <w:color w:val="auto"/>
                      <w:szCs w:val="21"/>
                      <w:highlight w:val="none"/>
                    </w:rPr>
                  </w:pPr>
                  <w:r>
                    <w:rPr>
                      <w:strike w:val="0"/>
                      <w:dstrike w:val="0"/>
                      <w:color w:val="auto"/>
                      <w:szCs w:val="21"/>
                      <w:highlight w:val="none"/>
                    </w:rPr>
                    <w:t>排放口编号</w:t>
                  </w:r>
                </w:p>
              </w:tc>
              <w:tc>
                <w:tcPr>
                  <w:tcW w:w="1293" w:type="dxa"/>
                  <w:vMerge w:val="restart"/>
                  <w:vAlign w:val="center"/>
                </w:tcPr>
                <w:p w14:paraId="68E5A39D">
                  <w:pPr>
                    <w:jc w:val="center"/>
                    <w:rPr>
                      <w:strike w:val="0"/>
                      <w:dstrike w:val="0"/>
                      <w:color w:val="auto"/>
                      <w:szCs w:val="21"/>
                      <w:highlight w:val="none"/>
                    </w:rPr>
                  </w:pPr>
                  <w:r>
                    <w:rPr>
                      <w:strike w:val="0"/>
                      <w:dstrike w:val="0"/>
                      <w:color w:val="auto"/>
                      <w:szCs w:val="21"/>
                      <w:highlight w:val="none"/>
                    </w:rPr>
                    <w:t>排放口设置是否符合要求</w:t>
                  </w:r>
                </w:p>
              </w:tc>
              <w:tc>
                <w:tcPr>
                  <w:tcW w:w="1165" w:type="dxa"/>
                  <w:vMerge w:val="restart"/>
                  <w:vAlign w:val="center"/>
                </w:tcPr>
                <w:p w14:paraId="7C727B7E">
                  <w:pPr>
                    <w:jc w:val="center"/>
                    <w:rPr>
                      <w:strike w:val="0"/>
                      <w:dstrike w:val="0"/>
                      <w:color w:val="auto"/>
                      <w:szCs w:val="21"/>
                      <w:highlight w:val="none"/>
                    </w:rPr>
                  </w:pPr>
                  <w:r>
                    <w:rPr>
                      <w:strike w:val="0"/>
                      <w:dstrike w:val="0"/>
                      <w:color w:val="auto"/>
                      <w:szCs w:val="21"/>
                      <w:highlight w:val="none"/>
                    </w:rPr>
                    <w:t>排放口类型</w:t>
                  </w:r>
                </w:p>
              </w:tc>
            </w:tr>
            <w:tr w14:paraId="616B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65" w:type="dxa"/>
                  <w:vMerge w:val="continue"/>
                  <w:vAlign w:val="center"/>
                </w:tcPr>
                <w:p w14:paraId="31DD7D6A">
                  <w:pPr>
                    <w:jc w:val="center"/>
                    <w:rPr>
                      <w:strike w:val="0"/>
                      <w:dstrike w:val="0"/>
                      <w:color w:val="auto"/>
                      <w:szCs w:val="21"/>
                      <w:highlight w:val="none"/>
                    </w:rPr>
                  </w:pPr>
                </w:p>
              </w:tc>
              <w:tc>
                <w:tcPr>
                  <w:tcW w:w="1288" w:type="dxa"/>
                  <w:vMerge w:val="continue"/>
                  <w:vAlign w:val="center"/>
                </w:tcPr>
                <w:p w14:paraId="4EB08B1C">
                  <w:pPr>
                    <w:jc w:val="center"/>
                    <w:rPr>
                      <w:strike w:val="0"/>
                      <w:dstrike w:val="0"/>
                      <w:color w:val="auto"/>
                      <w:szCs w:val="21"/>
                      <w:highlight w:val="none"/>
                    </w:rPr>
                  </w:pPr>
                </w:p>
              </w:tc>
              <w:tc>
                <w:tcPr>
                  <w:tcW w:w="1288" w:type="dxa"/>
                  <w:vMerge w:val="continue"/>
                  <w:vAlign w:val="center"/>
                </w:tcPr>
                <w:p w14:paraId="7FD47688">
                  <w:pPr>
                    <w:jc w:val="center"/>
                    <w:rPr>
                      <w:strike w:val="0"/>
                      <w:dstrike w:val="0"/>
                      <w:color w:val="auto"/>
                      <w:szCs w:val="21"/>
                      <w:highlight w:val="none"/>
                    </w:rPr>
                  </w:pPr>
                </w:p>
              </w:tc>
              <w:tc>
                <w:tcPr>
                  <w:tcW w:w="1288" w:type="dxa"/>
                  <w:vMerge w:val="continue"/>
                  <w:vAlign w:val="center"/>
                </w:tcPr>
                <w:p w14:paraId="133C5AFC">
                  <w:pPr>
                    <w:jc w:val="center"/>
                    <w:rPr>
                      <w:strike w:val="0"/>
                      <w:dstrike w:val="0"/>
                      <w:color w:val="auto"/>
                      <w:szCs w:val="21"/>
                      <w:highlight w:val="none"/>
                    </w:rPr>
                  </w:pPr>
                </w:p>
              </w:tc>
              <w:tc>
                <w:tcPr>
                  <w:tcW w:w="1633" w:type="dxa"/>
                  <w:vMerge w:val="continue"/>
                  <w:vAlign w:val="center"/>
                </w:tcPr>
                <w:p w14:paraId="33C873ED">
                  <w:pPr>
                    <w:jc w:val="center"/>
                    <w:rPr>
                      <w:strike w:val="0"/>
                      <w:dstrike w:val="0"/>
                      <w:color w:val="auto"/>
                      <w:szCs w:val="21"/>
                      <w:highlight w:val="none"/>
                    </w:rPr>
                  </w:pPr>
                </w:p>
              </w:tc>
              <w:tc>
                <w:tcPr>
                  <w:tcW w:w="1292" w:type="dxa"/>
                  <w:vAlign w:val="center"/>
                </w:tcPr>
                <w:p w14:paraId="0308E65F">
                  <w:pPr>
                    <w:jc w:val="center"/>
                    <w:rPr>
                      <w:strike w:val="0"/>
                      <w:dstrike w:val="0"/>
                      <w:color w:val="auto"/>
                      <w:szCs w:val="21"/>
                      <w:highlight w:val="none"/>
                    </w:rPr>
                  </w:pPr>
                  <w:r>
                    <w:rPr>
                      <w:strike w:val="0"/>
                      <w:dstrike w:val="0"/>
                      <w:color w:val="auto"/>
                      <w:szCs w:val="21"/>
                      <w:highlight w:val="none"/>
                    </w:rPr>
                    <w:t>名称</w:t>
                  </w:r>
                </w:p>
              </w:tc>
              <w:tc>
                <w:tcPr>
                  <w:tcW w:w="2230" w:type="dxa"/>
                  <w:vAlign w:val="center"/>
                </w:tcPr>
                <w:p w14:paraId="21C36D20">
                  <w:pPr>
                    <w:jc w:val="center"/>
                    <w:rPr>
                      <w:strike w:val="0"/>
                      <w:dstrike w:val="0"/>
                      <w:color w:val="auto"/>
                      <w:szCs w:val="21"/>
                      <w:highlight w:val="none"/>
                    </w:rPr>
                  </w:pPr>
                  <w:r>
                    <w:rPr>
                      <w:strike w:val="0"/>
                      <w:dstrike w:val="0"/>
                      <w:color w:val="auto"/>
                      <w:szCs w:val="21"/>
                      <w:highlight w:val="none"/>
                    </w:rPr>
                    <w:t>工艺</w:t>
                  </w:r>
                </w:p>
              </w:tc>
              <w:tc>
                <w:tcPr>
                  <w:tcW w:w="964" w:type="dxa"/>
                  <w:vMerge w:val="continue"/>
                  <w:vAlign w:val="center"/>
                </w:tcPr>
                <w:p w14:paraId="5971771C">
                  <w:pPr>
                    <w:jc w:val="center"/>
                    <w:rPr>
                      <w:strike w:val="0"/>
                      <w:dstrike w:val="0"/>
                      <w:color w:val="auto"/>
                      <w:szCs w:val="21"/>
                      <w:highlight w:val="none"/>
                    </w:rPr>
                  </w:pPr>
                </w:p>
              </w:tc>
              <w:tc>
                <w:tcPr>
                  <w:tcW w:w="1293" w:type="dxa"/>
                  <w:vMerge w:val="continue"/>
                  <w:vAlign w:val="center"/>
                </w:tcPr>
                <w:p w14:paraId="14378875">
                  <w:pPr>
                    <w:jc w:val="center"/>
                    <w:rPr>
                      <w:strike w:val="0"/>
                      <w:dstrike w:val="0"/>
                      <w:color w:val="auto"/>
                      <w:szCs w:val="21"/>
                      <w:highlight w:val="none"/>
                    </w:rPr>
                  </w:pPr>
                </w:p>
              </w:tc>
              <w:tc>
                <w:tcPr>
                  <w:tcW w:w="1165" w:type="dxa"/>
                  <w:vMerge w:val="continue"/>
                  <w:vAlign w:val="center"/>
                </w:tcPr>
                <w:p w14:paraId="73CD8500">
                  <w:pPr>
                    <w:jc w:val="center"/>
                    <w:rPr>
                      <w:strike w:val="0"/>
                      <w:dstrike w:val="0"/>
                      <w:color w:val="auto"/>
                      <w:szCs w:val="21"/>
                      <w:highlight w:val="none"/>
                    </w:rPr>
                  </w:pPr>
                </w:p>
              </w:tc>
            </w:tr>
            <w:tr w14:paraId="070F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5" w:type="dxa"/>
                  <w:vMerge w:val="restart"/>
                  <w:vAlign w:val="center"/>
                </w:tcPr>
                <w:p w14:paraId="7E888C6D">
                  <w:pPr>
                    <w:jc w:val="center"/>
                    <w:rPr>
                      <w:strike w:val="0"/>
                      <w:dstrike w:val="0"/>
                      <w:color w:val="auto"/>
                      <w:szCs w:val="21"/>
                      <w:highlight w:val="none"/>
                    </w:rPr>
                  </w:pPr>
                  <w:r>
                    <w:rPr>
                      <w:strike w:val="0"/>
                      <w:dstrike w:val="0"/>
                      <w:color w:val="auto"/>
                      <w:szCs w:val="21"/>
                      <w:highlight w:val="none"/>
                    </w:rPr>
                    <w:t>1</w:t>
                  </w:r>
                </w:p>
              </w:tc>
              <w:tc>
                <w:tcPr>
                  <w:tcW w:w="1288" w:type="dxa"/>
                  <w:vMerge w:val="restart"/>
                  <w:vAlign w:val="center"/>
                </w:tcPr>
                <w:p w14:paraId="34A10854">
                  <w:pPr>
                    <w:jc w:val="center"/>
                    <w:rPr>
                      <w:strike w:val="0"/>
                      <w:dstrike w:val="0"/>
                      <w:color w:val="auto"/>
                      <w:szCs w:val="21"/>
                      <w:highlight w:val="none"/>
                    </w:rPr>
                  </w:pPr>
                  <w:r>
                    <w:rPr>
                      <w:strike w:val="0"/>
                      <w:dstrike w:val="0"/>
                      <w:color w:val="auto"/>
                      <w:szCs w:val="21"/>
                      <w:highlight w:val="none"/>
                    </w:rPr>
                    <w:t>综合废水</w:t>
                  </w:r>
                </w:p>
              </w:tc>
              <w:tc>
                <w:tcPr>
                  <w:tcW w:w="1288" w:type="dxa"/>
                  <w:shd w:val="clear" w:color="auto" w:fill="auto"/>
                  <w:vAlign w:val="center"/>
                </w:tcPr>
                <w:p w14:paraId="32E2F3CD">
                  <w:pPr>
                    <w:widowControl/>
                    <w:jc w:val="center"/>
                    <w:rPr>
                      <w:rFonts w:ascii="Times New Roman" w:hAnsi="Times New Roman" w:eastAsia="宋体" w:cs="Times New Roman"/>
                      <w:bCs/>
                      <w:strike w:val="0"/>
                      <w:dstrike w:val="0"/>
                      <w:color w:val="auto"/>
                      <w:kern w:val="0"/>
                      <w:sz w:val="21"/>
                      <w:szCs w:val="21"/>
                      <w:highlight w:val="none"/>
                      <w:lang w:val="en-US" w:eastAsia="zh-CN" w:bidi="ar-SA"/>
                    </w:rPr>
                  </w:pPr>
                  <w:r>
                    <w:rPr>
                      <w:rFonts w:hint="eastAsia"/>
                      <w:bCs/>
                      <w:strike w:val="0"/>
                      <w:dstrike w:val="0"/>
                      <w:color w:val="auto"/>
                      <w:kern w:val="0"/>
                      <w:szCs w:val="21"/>
                      <w:highlight w:val="none"/>
                      <w:lang w:val="en-US" w:eastAsia="zh-CN"/>
                    </w:rPr>
                    <w:t>pH</w:t>
                  </w:r>
                </w:p>
              </w:tc>
              <w:tc>
                <w:tcPr>
                  <w:tcW w:w="1288" w:type="dxa"/>
                  <w:vMerge w:val="restart"/>
                  <w:vAlign w:val="center"/>
                </w:tcPr>
                <w:p w14:paraId="4A789F44">
                  <w:pPr>
                    <w:jc w:val="center"/>
                    <w:rPr>
                      <w:rFonts w:hint="eastAsia" w:eastAsia="宋体"/>
                      <w:strike w:val="0"/>
                      <w:dstrike w:val="0"/>
                      <w:color w:val="auto"/>
                      <w:szCs w:val="21"/>
                      <w:highlight w:val="none"/>
                      <w:lang w:eastAsia="zh-CN"/>
                    </w:rPr>
                  </w:pPr>
                  <w:r>
                    <w:rPr>
                      <w:rFonts w:hint="eastAsia"/>
                      <w:strike w:val="0"/>
                      <w:dstrike w:val="0"/>
                      <w:color w:val="auto"/>
                      <w:szCs w:val="21"/>
                      <w:highlight w:val="none"/>
                      <w:lang w:eastAsia="zh-CN"/>
                    </w:rPr>
                    <w:t>微车基地污水处理厂</w:t>
                  </w:r>
                </w:p>
              </w:tc>
              <w:tc>
                <w:tcPr>
                  <w:tcW w:w="1633" w:type="dxa"/>
                  <w:vMerge w:val="restart"/>
                  <w:vAlign w:val="center"/>
                </w:tcPr>
                <w:p w14:paraId="4CAD457F">
                  <w:pPr>
                    <w:widowControl/>
                    <w:jc w:val="center"/>
                    <w:rPr>
                      <w:strike w:val="0"/>
                      <w:dstrike w:val="0"/>
                      <w:color w:val="auto"/>
                      <w:szCs w:val="21"/>
                      <w:highlight w:val="none"/>
                    </w:rPr>
                  </w:pPr>
                  <w:r>
                    <w:rPr>
                      <w:strike w:val="0"/>
                      <w:dstrike w:val="0"/>
                      <w:color w:val="auto"/>
                      <w:kern w:val="0"/>
                      <w:szCs w:val="21"/>
                      <w:highlight w:val="none"/>
                      <w:lang w:bidi="ar"/>
                    </w:rPr>
                    <w:t>间断排放，排放期间流量不稳定，但有周期性规律</w:t>
                  </w:r>
                </w:p>
              </w:tc>
              <w:tc>
                <w:tcPr>
                  <w:tcW w:w="1292" w:type="dxa"/>
                  <w:vMerge w:val="restart"/>
                  <w:vAlign w:val="center"/>
                </w:tcPr>
                <w:p w14:paraId="69D0D416">
                  <w:pPr>
                    <w:jc w:val="center"/>
                    <w:rPr>
                      <w:strike w:val="0"/>
                      <w:dstrike w:val="0"/>
                      <w:color w:val="auto"/>
                      <w:szCs w:val="21"/>
                      <w:highlight w:val="none"/>
                    </w:rPr>
                  </w:pPr>
                  <w:r>
                    <w:rPr>
                      <w:strike w:val="0"/>
                      <w:dstrike w:val="0"/>
                      <w:color w:val="auto"/>
                      <w:szCs w:val="21"/>
                      <w:highlight w:val="none"/>
                    </w:rPr>
                    <w:t>污水处理设施</w:t>
                  </w:r>
                </w:p>
              </w:tc>
              <w:tc>
                <w:tcPr>
                  <w:tcW w:w="2230" w:type="dxa"/>
                  <w:vMerge w:val="restart"/>
                  <w:vAlign w:val="center"/>
                </w:tcPr>
                <w:p w14:paraId="517A2DB4">
                  <w:pPr>
                    <w:jc w:val="center"/>
                    <w:rPr>
                      <w:strike w:val="0"/>
                      <w:dstrike w:val="0"/>
                      <w:color w:val="auto"/>
                      <w:szCs w:val="21"/>
                      <w:highlight w:val="none"/>
                    </w:rPr>
                  </w:pPr>
                  <w:r>
                    <w:rPr>
                      <w:strike w:val="0"/>
                      <w:dstrike w:val="0"/>
                      <w:color w:val="auto"/>
                      <w:szCs w:val="21"/>
                      <w:highlight w:val="none"/>
                    </w:rPr>
                    <w:t>隔油池、生化池</w:t>
                  </w:r>
                </w:p>
              </w:tc>
              <w:tc>
                <w:tcPr>
                  <w:tcW w:w="964" w:type="dxa"/>
                  <w:vMerge w:val="restart"/>
                  <w:vAlign w:val="center"/>
                </w:tcPr>
                <w:p w14:paraId="5065A852">
                  <w:pPr>
                    <w:jc w:val="center"/>
                    <w:rPr>
                      <w:strike w:val="0"/>
                      <w:dstrike w:val="0"/>
                      <w:color w:val="auto"/>
                      <w:szCs w:val="21"/>
                      <w:highlight w:val="none"/>
                    </w:rPr>
                  </w:pPr>
                  <w:r>
                    <w:rPr>
                      <w:strike w:val="0"/>
                      <w:dstrike w:val="0"/>
                      <w:color w:val="auto"/>
                      <w:szCs w:val="21"/>
                      <w:highlight w:val="none"/>
                    </w:rPr>
                    <w:t>DW001</w:t>
                  </w:r>
                </w:p>
              </w:tc>
              <w:tc>
                <w:tcPr>
                  <w:tcW w:w="1293" w:type="dxa"/>
                  <w:vMerge w:val="restart"/>
                  <w:vAlign w:val="center"/>
                </w:tcPr>
                <w:p w14:paraId="0E644F6F">
                  <w:pPr>
                    <w:jc w:val="center"/>
                    <w:rPr>
                      <w:strike w:val="0"/>
                      <w:dstrike w:val="0"/>
                      <w:color w:val="auto"/>
                      <w:szCs w:val="21"/>
                      <w:highlight w:val="none"/>
                    </w:rPr>
                  </w:pPr>
                  <w:r>
                    <w:rPr>
                      <w:strike w:val="0"/>
                      <w:dstrike w:val="0"/>
                      <w:color w:val="auto"/>
                      <w:szCs w:val="21"/>
                      <w:highlight w:val="none"/>
                    </w:rPr>
                    <w:t>是</w:t>
                  </w:r>
                </w:p>
              </w:tc>
              <w:tc>
                <w:tcPr>
                  <w:tcW w:w="1165" w:type="dxa"/>
                  <w:vMerge w:val="restart"/>
                  <w:vAlign w:val="center"/>
                </w:tcPr>
                <w:p w14:paraId="0A1D6B6E">
                  <w:pPr>
                    <w:jc w:val="center"/>
                    <w:rPr>
                      <w:strike w:val="0"/>
                      <w:dstrike w:val="0"/>
                      <w:color w:val="auto"/>
                      <w:szCs w:val="21"/>
                      <w:highlight w:val="none"/>
                    </w:rPr>
                  </w:pPr>
                  <w:r>
                    <w:rPr>
                      <w:strike w:val="0"/>
                      <w:dstrike w:val="0"/>
                      <w:color w:val="auto"/>
                      <w:szCs w:val="21"/>
                      <w:highlight w:val="none"/>
                    </w:rPr>
                    <w:t>一般排放口——总排口</w:t>
                  </w:r>
                </w:p>
              </w:tc>
            </w:tr>
            <w:tr w14:paraId="2544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5" w:type="dxa"/>
                  <w:vMerge w:val="continue"/>
                  <w:vAlign w:val="center"/>
                </w:tcPr>
                <w:p w14:paraId="1CA60F5E">
                  <w:pPr>
                    <w:jc w:val="center"/>
                    <w:rPr>
                      <w:strike w:val="0"/>
                      <w:dstrike w:val="0"/>
                      <w:color w:val="auto"/>
                      <w:szCs w:val="21"/>
                      <w:highlight w:val="none"/>
                    </w:rPr>
                  </w:pPr>
                </w:p>
              </w:tc>
              <w:tc>
                <w:tcPr>
                  <w:tcW w:w="1288" w:type="dxa"/>
                  <w:vMerge w:val="continue"/>
                  <w:vAlign w:val="center"/>
                </w:tcPr>
                <w:p w14:paraId="04D582AA">
                  <w:pPr>
                    <w:jc w:val="center"/>
                    <w:rPr>
                      <w:strike w:val="0"/>
                      <w:dstrike w:val="0"/>
                      <w:color w:val="auto"/>
                      <w:szCs w:val="21"/>
                      <w:highlight w:val="none"/>
                    </w:rPr>
                  </w:pPr>
                </w:p>
              </w:tc>
              <w:tc>
                <w:tcPr>
                  <w:tcW w:w="1288" w:type="dxa"/>
                  <w:shd w:val="clear" w:color="auto" w:fill="auto"/>
                  <w:vAlign w:val="center"/>
                </w:tcPr>
                <w:p w14:paraId="30E7081B">
                  <w:pPr>
                    <w:widowControl/>
                    <w:jc w:val="center"/>
                    <w:rPr>
                      <w:rFonts w:ascii="Times New Roman" w:hAnsi="Times New Roman" w:eastAsia="宋体" w:cs="Times New Roman"/>
                      <w:bCs/>
                      <w:strike w:val="0"/>
                      <w:dstrike w:val="0"/>
                      <w:color w:val="auto"/>
                      <w:kern w:val="0"/>
                      <w:sz w:val="21"/>
                      <w:szCs w:val="21"/>
                      <w:highlight w:val="none"/>
                      <w:lang w:val="en-US" w:eastAsia="zh-CN" w:bidi="ar-SA"/>
                    </w:rPr>
                  </w:pPr>
                  <w:r>
                    <w:rPr>
                      <w:bCs/>
                      <w:strike w:val="0"/>
                      <w:dstrike w:val="0"/>
                      <w:color w:val="auto"/>
                      <w:kern w:val="0"/>
                      <w:szCs w:val="21"/>
                      <w:highlight w:val="none"/>
                    </w:rPr>
                    <w:t>COD</w:t>
                  </w:r>
                </w:p>
              </w:tc>
              <w:tc>
                <w:tcPr>
                  <w:tcW w:w="1288" w:type="dxa"/>
                  <w:vMerge w:val="continue"/>
                  <w:vAlign w:val="center"/>
                </w:tcPr>
                <w:p w14:paraId="12B1D737">
                  <w:pPr>
                    <w:jc w:val="center"/>
                    <w:rPr>
                      <w:strike w:val="0"/>
                      <w:dstrike w:val="0"/>
                      <w:color w:val="auto"/>
                      <w:szCs w:val="21"/>
                      <w:highlight w:val="none"/>
                    </w:rPr>
                  </w:pPr>
                </w:p>
              </w:tc>
              <w:tc>
                <w:tcPr>
                  <w:tcW w:w="1633" w:type="dxa"/>
                  <w:vMerge w:val="continue"/>
                  <w:vAlign w:val="center"/>
                </w:tcPr>
                <w:p w14:paraId="579EEBB3">
                  <w:pPr>
                    <w:widowControl/>
                    <w:jc w:val="center"/>
                    <w:rPr>
                      <w:strike w:val="0"/>
                      <w:dstrike w:val="0"/>
                      <w:color w:val="auto"/>
                      <w:kern w:val="0"/>
                      <w:szCs w:val="21"/>
                      <w:highlight w:val="none"/>
                      <w:lang w:bidi="ar"/>
                    </w:rPr>
                  </w:pPr>
                </w:p>
              </w:tc>
              <w:tc>
                <w:tcPr>
                  <w:tcW w:w="1292" w:type="dxa"/>
                  <w:vMerge w:val="continue"/>
                  <w:vAlign w:val="center"/>
                </w:tcPr>
                <w:p w14:paraId="358C3676">
                  <w:pPr>
                    <w:jc w:val="center"/>
                    <w:rPr>
                      <w:strike w:val="0"/>
                      <w:dstrike w:val="0"/>
                      <w:color w:val="auto"/>
                      <w:szCs w:val="21"/>
                      <w:highlight w:val="none"/>
                    </w:rPr>
                  </w:pPr>
                </w:p>
              </w:tc>
              <w:tc>
                <w:tcPr>
                  <w:tcW w:w="2230" w:type="dxa"/>
                  <w:vMerge w:val="continue"/>
                  <w:vAlign w:val="center"/>
                </w:tcPr>
                <w:p w14:paraId="24462D35">
                  <w:pPr>
                    <w:jc w:val="center"/>
                    <w:rPr>
                      <w:strike w:val="0"/>
                      <w:dstrike w:val="0"/>
                      <w:color w:val="auto"/>
                      <w:szCs w:val="21"/>
                      <w:highlight w:val="none"/>
                    </w:rPr>
                  </w:pPr>
                </w:p>
              </w:tc>
              <w:tc>
                <w:tcPr>
                  <w:tcW w:w="964" w:type="dxa"/>
                  <w:vMerge w:val="continue"/>
                  <w:vAlign w:val="center"/>
                </w:tcPr>
                <w:p w14:paraId="4C3C581A">
                  <w:pPr>
                    <w:jc w:val="center"/>
                    <w:rPr>
                      <w:strike w:val="0"/>
                      <w:dstrike w:val="0"/>
                      <w:color w:val="auto"/>
                      <w:szCs w:val="21"/>
                      <w:highlight w:val="none"/>
                    </w:rPr>
                  </w:pPr>
                </w:p>
              </w:tc>
              <w:tc>
                <w:tcPr>
                  <w:tcW w:w="1293" w:type="dxa"/>
                  <w:vMerge w:val="continue"/>
                  <w:vAlign w:val="center"/>
                </w:tcPr>
                <w:p w14:paraId="7380140A">
                  <w:pPr>
                    <w:jc w:val="center"/>
                    <w:rPr>
                      <w:strike w:val="0"/>
                      <w:dstrike w:val="0"/>
                      <w:color w:val="auto"/>
                      <w:szCs w:val="21"/>
                      <w:highlight w:val="none"/>
                    </w:rPr>
                  </w:pPr>
                </w:p>
              </w:tc>
              <w:tc>
                <w:tcPr>
                  <w:tcW w:w="1165" w:type="dxa"/>
                  <w:vMerge w:val="continue"/>
                  <w:vAlign w:val="center"/>
                </w:tcPr>
                <w:p w14:paraId="2D47C6CE">
                  <w:pPr>
                    <w:jc w:val="center"/>
                    <w:rPr>
                      <w:strike w:val="0"/>
                      <w:dstrike w:val="0"/>
                      <w:color w:val="auto"/>
                      <w:szCs w:val="21"/>
                      <w:highlight w:val="none"/>
                    </w:rPr>
                  </w:pPr>
                </w:p>
              </w:tc>
            </w:tr>
            <w:tr w14:paraId="31B9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65" w:type="dxa"/>
                  <w:vMerge w:val="continue"/>
                  <w:vAlign w:val="center"/>
                </w:tcPr>
                <w:p w14:paraId="744C0D0F">
                  <w:pPr>
                    <w:widowControl/>
                    <w:jc w:val="center"/>
                    <w:textAlignment w:val="center"/>
                    <w:rPr>
                      <w:strike w:val="0"/>
                      <w:dstrike w:val="0"/>
                      <w:color w:val="auto"/>
                      <w:highlight w:val="none"/>
                    </w:rPr>
                  </w:pPr>
                </w:p>
              </w:tc>
              <w:tc>
                <w:tcPr>
                  <w:tcW w:w="1288" w:type="dxa"/>
                  <w:vMerge w:val="continue"/>
                  <w:vAlign w:val="center"/>
                </w:tcPr>
                <w:p w14:paraId="4D332825">
                  <w:pPr>
                    <w:widowControl/>
                    <w:jc w:val="center"/>
                    <w:textAlignment w:val="center"/>
                    <w:rPr>
                      <w:strike w:val="0"/>
                      <w:dstrike w:val="0"/>
                      <w:color w:val="auto"/>
                      <w:highlight w:val="none"/>
                    </w:rPr>
                  </w:pPr>
                </w:p>
              </w:tc>
              <w:tc>
                <w:tcPr>
                  <w:tcW w:w="1288" w:type="dxa"/>
                  <w:shd w:val="clear" w:color="auto" w:fill="auto"/>
                  <w:vAlign w:val="center"/>
                </w:tcPr>
                <w:p w14:paraId="740E0A83">
                  <w:pPr>
                    <w:widowControl/>
                    <w:jc w:val="center"/>
                    <w:rPr>
                      <w:bCs/>
                      <w:strike w:val="0"/>
                      <w:dstrike w:val="0"/>
                      <w:color w:val="auto"/>
                      <w:kern w:val="0"/>
                      <w:szCs w:val="21"/>
                      <w:highlight w:val="none"/>
                    </w:rPr>
                  </w:pPr>
                  <w:r>
                    <w:rPr>
                      <w:strike w:val="0"/>
                      <w:dstrike w:val="0"/>
                      <w:color w:val="auto"/>
                      <w:szCs w:val="21"/>
                      <w:highlight w:val="none"/>
                    </w:rPr>
                    <w:t>BOD</w:t>
                  </w:r>
                  <w:r>
                    <w:rPr>
                      <w:strike w:val="0"/>
                      <w:dstrike w:val="0"/>
                      <w:color w:val="auto"/>
                      <w:szCs w:val="21"/>
                      <w:highlight w:val="none"/>
                      <w:vertAlign w:val="subscript"/>
                    </w:rPr>
                    <w:t>5</w:t>
                  </w:r>
                </w:p>
              </w:tc>
              <w:tc>
                <w:tcPr>
                  <w:tcW w:w="1288" w:type="dxa"/>
                  <w:vMerge w:val="continue"/>
                  <w:vAlign w:val="center"/>
                </w:tcPr>
                <w:p w14:paraId="1FD5677C">
                  <w:pPr>
                    <w:widowControl/>
                    <w:jc w:val="center"/>
                    <w:textAlignment w:val="center"/>
                    <w:rPr>
                      <w:strike w:val="0"/>
                      <w:dstrike w:val="0"/>
                      <w:color w:val="auto"/>
                      <w:kern w:val="0"/>
                      <w:szCs w:val="21"/>
                      <w:highlight w:val="none"/>
                      <w:lang w:bidi="ar"/>
                    </w:rPr>
                  </w:pPr>
                </w:p>
              </w:tc>
              <w:tc>
                <w:tcPr>
                  <w:tcW w:w="1633" w:type="dxa"/>
                  <w:vMerge w:val="continue"/>
                  <w:vAlign w:val="center"/>
                </w:tcPr>
                <w:p w14:paraId="6275D204">
                  <w:pPr>
                    <w:widowControl/>
                    <w:jc w:val="center"/>
                    <w:textAlignment w:val="center"/>
                    <w:rPr>
                      <w:strike w:val="0"/>
                      <w:dstrike w:val="0"/>
                      <w:color w:val="auto"/>
                      <w:kern w:val="0"/>
                      <w:szCs w:val="21"/>
                      <w:highlight w:val="none"/>
                      <w:lang w:bidi="ar"/>
                    </w:rPr>
                  </w:pPr>
                </w:p>
              </w:tc>
              <w:tc>
                <w:tcPr>
                  <w:tcW w:w="1292" w:type="dxa"/>
                  <w:vMerge w:val="continue"/>
                  <w:vAlign w:val="center"/>
                </w:tcPr>
                <w:p w14:paraId="4F456177">
                  <w:pPr>
                    <w:widowControl/>
                    <w:jc w:val="center"/>
                    <w:textAlignment w:val="center"/>
                    <w:rPr>
                      <w:strike w:val="0"/>
                      <w:dstrike w:val="0"/>
                      <w:color w:val="auto"/>
                      <w:kern w:val="0"/>
                      <w:szCs w:val="21"/>
                      <w:highlight w:val="none"/>
                      <w:lang w:bidi="ar"/>
                    </w:rPr>
                  </w:pPr>
                </w:p>
              </w:tc>
              <w:tc>
                <w:tcPr>
                  <w:tcW w:w="2230" w:type="dxa"/>
                  <w:vMerge w:val="continue"/>
                  <w:vAlign w:val="center"/>
                </w:tcPr>
                <w:p w14:paraId="17DD9C13">
                  <w:pPr>
                    <w:widowControl/>
                    <w:jc w:val="center"/>
                    <w:textAlignment w:val="center"/>
                    <w:rPr>
                      <w:strike w:val="0"/>
                      <w:dstrike w:val="0"/>
                      <w:color w:val="auto"/>
                      <w:kern w:val="0"/>
                      <w:szCs w:val="21"/>
                      <w:highlight w:val="none"/>
                      <w:lang w:bidi="ar"/>
                    </w:rPr>
                  </w:pPr>
                </w:p>
              </w:tc>
              <w:tc>
                <w:tcPr>
                  <w:tcW w:w="964" w:type="dxa"/>
                  <w:vMerge w:val="continue"/>
                  <w:vAlign w:val="center"/>
                </w:tcPr>
                <w:p w14:paraId="08CDCF4A">
                  <w:pPr>
                    <w:widowControl/>
                    <w:jc w:val="center"/>
                    <w:textAlignment w:val="center"/>
                    <w:rPr>
                      <w:strike w:val="0"/>
                      <w:dstrike w:val="0"/>
                      <w:color w:val="auto"/>
                      <w:kern w:val="0"/>
                      <w:szCs w:val="21"/>
                      <w:highlight w:val="none"/>
                      <w:lang w:bidi="ar"/>
                    </w:rPr>
                  </w:pPr>
                </w:p>
              </w:tc>
              <w:tc>
                <w:tcPr>
                  <w:tcW w:w="1293" w:type="dxa"/>
                  <w:vMerge w:val="continue"/>
                  <w:vAlign w:val="center"/>
                </w:tcPr>
                <w:p w14:paraId="3261723D">
                  <w:pPr>
                    <w:widowControl/>
                    <w:jc w:val="center"/>
                    <w:textAlignment w:val="center"/>
                    <w:rPr>
                      <w:strike w:val="0"/>
                      <w:dstrike w:val="0"/>
                      <w:color w:val="auto"/>
                      <w:kern w:val="0"/>
                      <w:szCs w:val="21"/>
                      <w:highlight w:val="none"/>
                      <w:lang w:bidi="ar"/>
                    </w:rPr>
                  </w:pPr>
                </w:p>
              </w:tc>
              <w:tc>
                <w:tcPr>
                  <w:tcW w:w="1165" w:type="dxa"/>
                  <w:vMerge w:val="continue"/>
                  <w:vAlign w:val="center"/>
                </w:tcPr>
                <w:p w14:paraId="6D8E1DE8">
                  <w:pPr>
                    <w:widowControl/>
                    <w:jc w:val="center"/>
                    <w:textAlignment w:val="center"/>
                    <w:rPr>
                      <w:strike w:val="0"/>
                      <w:dstrike w:val="0"/>
                      <w:color w:val="auto"/>
                      <w:kern w:val="0"/>
                      <w:szCs w:val="21"/>
                      <w:highlight w:val="none"/>
                      <w:lang w:bidi="ar"/>
                    </w:rPr>
                  </w:pPr>
                </w:p>
              </w:tc>
            </w:tr>
            <w:tr w14:paraId="15BD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65" w:type="dxa"/>
                  <w:vMerge w:val="continue"/>
                  <w:vAlign w:val="center"/>
                </w:tcPr>
                <w:p w14:paraId="1DE6E085">
                  <w:pPr>
                    <w:widowControl/>
                    <w:jc w:val="center"/>
                    <w:rPr>
                      <w:strike w:val="0"/>
                      <w:dstrike w:val="0"/>
                      <w:color w:val="auto"/>
                      <w:highlight w:val="none"/>
                    </w:rPr>
                  </w:pPr>
                </w:p>
              </w:tc>
              <w:tc>
                <w:tcPr>
                  <w:tcW w:w="1288" w:type="dxa"/>
                  <w:vMerge w:val="continue"/>
                  <w:vAlign w:val="center"/>
                </w:tcPr>
                <w:p w14:paraId="7ADC72C9">
                  <w:pPr>
                    <w:widowControl/>
                    <w:jc w:val="center"/>
                    <w:rPr>
                      <w:strike w:val="0"/>
                      <w:dstrike w:val="0"/>
                      <w:color w:val="auto"/>
                      <w:highlight w:val="none"/>
                    </w:rPr>
                  </w:pPr>
                </w:p>
              </w:tc>
              <w:tc>
                <w:tcPr>
                  <w:tcW w:w="1288" w:type="dxa"/>
                  <w:shd w:val="clear" w:color="auto" w:fill="auto"/>
                  <w:vAlign w:val="center"/>
                </w:tcPr>
                <w:p w14:paraId="4AE6B64E">
                  <w:pPr>
                    <w:widowControl/>
                    <w:jc w:val="center"/>
                    <w:rPr>
                      <w:bCs/>
                      <w:strike w:val="0"/>
                      <w:dstrike w:val="0"/>
                      <w:color w:val="auto"/>
                      <w:kern w:val="0"/>
                      <w:szCs w:val="21"/>
                      <w:highlight w:val="none"/>
                    </w:rPr>
                  </w:pPr>
                  <w:r>
                    <w:rPr>
                      <w:bCs/>
                      <w:strike w:val="0"/>
                      <w:dstrike w:val="0"/>
                      <w:color w:val="auto"/>
                      <w:kern w:val="0"/>
                      <w:szCs w:val="21"/>
                      <w:highlight w:val="none"/>
                    </w:rPr>
                    <w:t>SS</w:t>
                  </w:r>
                </w:p>
              </w:tc>
              <w:tc>
                <w:tcPr>
                  <w:tcW w:w="1288" w:type="dxa"/>
                  <w:vMerge w:val="continue"/>
                  <w:vAlign w:val="center"/>
                </w:tcPr>
                <w:p w14:paraId="2A653F71">
                  <w:pPr>
                    <w:widowControl/>
                    <w:jc w:val="center"/>
                    <w:rPr>
                      <w:bCs/>
                      <w:strike w:val="0"/>
                      <w:dstrike w:val="0"/>
                      <w:color w:val="auto"/>
                      <w:kern w:val="0"/>
                      <w:szCs w:val="21"/>
                      <w:highlight w:val="none"/>
                    </w:rPr>
                  </w:pPr>
                </w:p>
              </w:tc>
              <w:tc>
                <w:tcPr>
                  <w:tcW w:w="1633" w:type="dxa"/>
                  <w:vMerge w:val="continue"/>
                  <w:vAlign w:val="center"/>
                </w:tcPr>
                <w:p w14:paraId="32E4A7F0">
                  <w:pPr>
                    <w:widowControl/>
                    <w:jc w:val="center"/>
                    <w:rPr>
                      <w:bCs/>
                      <w:strike w:val="0"/>
                      <w:dstrike w:val="0"/>
                      <w:color w:val="auto"/>
                      <w:kern w:val="0"/>
                      <w:szCs w:val="21"/>
                      <w:highlight w:val="none"/>
                    </w:rPr>
                  </w:pPr>
                </w:p>
              </w:tc>
              <w:tc>
                <w:tcPr>
                  <w:tcW w:w="1292" w:type="dxa"/>
                  <w:vMerge w:val="continue"/>
                  <w:vAlign w:val="center"/>
                </w:tcPr>
                <w:p w14:paraId="460839FE">
                  <w:pPr>
                    <w:widowControl/>
                    <w:jc w:val="center"/>
                    <w:rPr>
                      <w:bCs/>
                      <w:strike w:val="0"/>
                      <w:dstrike w:val="0"/>
                      <w:color w:val="auto"/>
                      <w:kern w:val="0"/>
                      <w:szCs w:val="21"/>
                      <w:highlight w:val="none"/>
                    </w:rPr>
                  </w:pPr>
                </w:p>
              </w:tc>
              <w:tc>
                <w:tcPr>
                  <w:tcW w:w="2230" w:type="dxa"/>
                  <w:vMerge w:val="continue"/>
                  <w:vAlign w:val="center"/>
                </w:tcPr>
                <w:p w14:paraId="7F1ACD98">
                  <w:pPr>
                    <w:widowControl/>
                    <w:jc w:val="center"/>
                    <w:rPr>
                      <w:bCs/>
                      <w:strike w:val="0"/>
                      <w:dstrike w:val="0"/>
                      <w:color w:val="auto"/>
                      <w:kern w:val="0"/>
                      <w:szCs w:val="21"/>
                      <w:highlight w:val="none"/>
                    </w:rPr>
                  </w:pPr>
                </w:p>
              </w:tc>
              <w:tc>
                <w:tcPr>
                  <w:tcW w:w="964" w:type="dxa"/>
                  <w:vMerge w:val="continue"/>
                  <w:vAlign w:val="center"/>
                </w:tcPr>
                <w:p w14:paraId="564AD25A">
                  <w:pPr>
                    <w:widowControl/>
                    <w:jc w:val="center"/>
                    <w:rPr>
                      <w:bCs/>
                      <w:strike w:val="0"/>
                      <w:dstrike w:val="0"/>
                      <w:color w:val="auto"/>
                      <w:kern w:val="0"/>
                      <w:szCs w:val="21"/>
                      <w:highlight w:val="none"/>
                    </w:rPr>
                  </w:pPr>
                </w:p>
              </w:tc>
              <w:tc>
                <w:tcPr>
                  <w:tcW w:w="1293" w:type="dxa"/>
                  <w:vMerge w:val="continue"/>
                  <w:vAlign w:val="center"/>
                </w:tcPr>
                <w:p w14:paraId="08D0DE32">
                  <w:pPr>
                    <w:widowControl/>
                    <w:jc w:val="center"/>
                    <w:rPr>
                      <w:bCs/>
                      <w:strike w:val="0"/>
                      <w:dstrike w:val="0"/>
                      <w:color w:val="auto"/>
                      <w:kern w:val="0"/>
                      <w:szCs w:val="21"/>
                      <w:highlight w:val="none"/>
                    </w:rPr>
                  </w:pPr>
                </w:p>
              </w:tc>
              <w:tc>
                <w:tcPr>
                  <w:tcW w:w="1165" w:type="dxa"/>
                  <w:vMerge w:val="continue"/>
                  <w:vAlign w:val="center"/>
                </w:tcPr>
                <w:p w14:paraId="4DC336A9">
                  <w:pPr>
                    <w:widowControl/>
                    <w:jc w:val="center"/>
                    <w:rPr>
                      <w:bCs/>
                      <w:strike w:val="0"/>
                      <w:dstrike w:val="0"/>
                      <w:color w:val="auto"/>
                      <w:kern w:val="0"/>
                      <w:szCs w:val="21"/>
                      <w:highlight w:val="none"/>
                    </w:rPr>
                  </w:pPr>
                </w:p>
              </w:tc>
            </w:tr>
            <w:tr w14:paraId="4151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65" w:type="dxa"/>
                  <w:vMerge w:val="continue"/>
                  <w:vAlign w:val="center"/>
                </w:tcPr>
                <w:p w14:paraId="40ACD405">
                  <w:pPr>
                    <w:widowControl/>
                    <w:jc w:val="center"/>
                    <w:rPr>
                      <w:bCs/>
                      <w:strike w:val="0"/>
                      <w:dstrike w:val="0"/>
                      <w:color w:val="auto"/>
                      <w:kern w:val="0"/>
                      <w:szCs w:val="21"/>
                      <w:highlight w:val="none"/>
                    </w:rPr>
                  </w:pPr>
                </w:p>
              </w:tc>
              <w:tc>
                <w:tcPr>
                  <w:tcW w:w="1288" w:type="dxa"/>
                  <w:vMerge w:val="continue"/>
                  <w:vAlign w:val="center"/>
                </w:tcPr>
                <w:p w14:paraId="10B4C930">
                  <w:pPr>
                    <w:widowControl/>
                    <w:jc w:val="center"/>
                    <w:rPr>
                      <w:bCs/>
                      <w:strike w:val="0"/>
                      <w:dstrike w:val="0"/>
                      <w:color w:val="auto"/>
                      <w:kern w:val="0"/>
                      <w:szCs w:val="21"/>
                      <w:highlight w:val="none"/>
                    </w:rPr>
                  </w:pPr>
                </w:p>
              </w:tc>
              <w:tc>
                <w:tcPr>
                  <w:tcW w:w="1288" w:type="dxa"/>
                  <w:shd w:val="clear" w:color="auto" w:fill="auto"/>
                  <w:vAlign w:val="center"/>
                </w:tcPr>
                <w:p w14:paraId="57E63B81">
                  <w:pPr>
                    <w:widowControl/>
                    <w:jc w:val="center"/>
                    <w:rPr>
                      <w:bCs/>
                      <w:strike w:val="0"/>
                      <w:dstrike w:val="0"/>
                      <w:color w:val="auto"/>
                      <w:kern w:val="0"/>
                      <w:szCs w:val="21"/>
                      <w:highlight w:val="none"/>
                    </w:rPr>
                  </w:pPr>
                  <w:r>
                    <w:rPr>
                      <w:strike w:val="0"/>
                      <w:dstrike w:val="0"/>
                      <w:color w:val="auto"/>
                      <w:szCs w:val="21"/>
                      <w:highlight w:val="none"/>
                    </w:rPr>
                    <w:t>NH</w:t>
                  </w:r>
                  <w:r>
                    <w:rPr>
                      <w:strike w:val="0"/>
                      <w:dstrike w:val="0"/>
                      <w:color w:val="auto"/>
                      <w:szCs w:val="21"/>
                      <w:highlight w:val="none"/>
                      <w:vertAlign w:val="subscript"/>
                    </w:rPr>
                    <w:t>3</w:t>
                  </w:r>
                  <w:r>
                    <w:rPr>
                      <w:strike w:val="0"/>
                      <w:dstrike w:val="0"/>
                      <w:color w:val="auto"/>
                      <w:szCs w:val="21"/>
                      <w:highlight w:val="none"/>
                    </w:rPr>
                    <w:t>-N</w:t>
                  </w:r>
                </w:p>
              </w:tc>
              <w:tc>
                <w:tcPr>
                  <w:tcW w:w="1288" w:type="dxa"/>
                  <w:vMerge w:val="continue"/>
                  <w:vAlign w:val="center"/>
                </w:tcPr>
                <w:p w14:paraId="1F4AEA63">
                  <w:pPr>
                    <w:widowControl/>
                    <w:jc w:val="center"/>
                    <w:rPr>
                      <w:bCs/>
                      <w:strike w:val="0"/>
                      <w:dstrike w:val="0"/>
                      <w:color w:val="auto"/>
                      <w:kern w:val="0"/>
                      <w:szCs w:val="21"/>
                      <w:highlight w:val="none"/>
                    </w:rPr>
                  </w:pPr>
                </w:p>
              </w:tc>
              <w:tc>
                <w:tcPr>
                  <w:tcW w:w="1633" w:type="dxa"/>
                  <w:vMerge w:val="continue"/>
                  <w:vAlign w:val="center"/>
                </w:tcPr>
                <w:p w14:paraId="01E65FE6">
                  <w:pPr>
                    <w:widowControl/>
                    <w:jc w:val="center"/>
                    <w:rPr>
                      <w:bCs/>
                      <w:strike w:val="0"/>
                      <w:dstrike w:val="0"/>
                      <w:color w:val="auto"/>
                      <w:kern w:val="0"/>
                      <w:szCs w:val="21"/>
                      <w:highlight w:val="none"/>
                    </w:rPr>
                  </w:pPr>
                </w:p>
              </w:tc>
              <w:tc>
                <w:tcPr>
                  <w:tcW w:w="1292" w:type="dxa"/>
                  <w:vMerge w:val="continue"/>
                  <w:vAlign w:val="center"/>
                </w:tcPr>
                <w:p w14:paraId="59F1C515">
                  <w:pPr>
                    <w:widowControl/>
                    <w:jc w:val="center"/>
                    <w:rPr>
                      <w:bCs/>
                      <w:strike w:val="0"/>
                      <w:dstrike w:val="0"/>
                      <w:color w:val="auto"/>
                      <w:kern w:val="0"/>
                      <w:szCs w:val="21"/>
                      <w:highlight w:val="none"/>
                    </w:rPr>
                  </w:pPr>
                </w:p>
              </w:tc>
              <w:tc>
                <w:tcPr>
                  <w:tcW w:w="2230" w:type="dxa"/>
                  <w:vMerge w:val="continue"/>
                  <w:vAlign w:val="center"/>
                </w:tcPr>
                <w:p w14:paraId="24543D28">
                  <w:pPr>
                    <w:widowControl/>
                    <w:jc w:val="center"/>
                    <w:rPr>
                      <w:bCs/>
                      <w:strike w:val="0"/>
                      <w:dstrike w:val="0"/>
                      <w:color w:val="auto"/>
                      <w:kern w:val="0"/>
                      <w:szCs w:val="21"/>
                      <w:highlight w:val="none"/>
                    </w:rPr>
                  </w:pPr>
                </w:p>
              </w:tc>
              <w:tc>
                <w:tcPr>
                  <w:tcW w:w="964" w:type="dxa"/>
                  <w:vMerge w:val="continue"/>
                  <w:vAlign w:val="center"/>
                </w:tcPr>
                <w:p w14:paraId="4BBC559E">
                  <w:pPr>
                    <w:widowControl/>
                    <w:jc w:val="center"/>
                    <w:rPr>
                      <w:bCs/>
                      <w:strike w:val="0"/>
                      <w:dstrike w:val="0"/>
                      <w:color w:val="auto"/>
                      <w:kern w:val="0"/>
                      <w:szCs w:val="21"/>
                      <w:highlight w:val="none"/>
                    </w:rPr>
                  </w:pPr>
                </w:p>
              </w:tc>
              <w:tc>
                <w:tcPr>
                  <w:tcW w:w="1293" w:type="dxa"/>
                  <w:vMerge w:val="continue"/>
                  <w:vAlign w:val="center"/>
                </w:tcPr>
                <w:p w14:paraId="6857B6D5">
                  <w:pPr>
                    <w:widowControl/>
                    <w:jc w:val="center"/>
                    <w:rPr>
                      <w:bCs/>
                      <w:strike w:val="0"/>
                      <w:dstrike w:val="0"/>
                      <w:color w:val="auto"/>
                      <w:kern w:val="0"/>
                      <w:szCs w:val="21"/>
                      <w:highlight w:val="none"/>
                    </w:rPr>
                  </w:pPr>
                </w:p>
              </w:tc>
              <w:tc>
                <w:tcPr>
                  <w:tcW w:w="1165" w:type="dxa"/>
                  <w:vMerge w:val="continue"/>
                  <w:vAlign w:val="center"/>
                </w:tcPr>
                <w:p w14:paraId="05256700">
                  <w:pPr>
                    <w:widowControl/>
                    <w:jc w:val="center"/>
                    <w:rPr>
                      <w:bCs/>
                      <w:strike w:val="0"/>
                      <w:dstrike w:val="0"/>
                      <w:color w:val="auto"/>
                      <w:kern w:val="0"/>
                      <w:szCs w:val="21"/>
                      <w:highlight w:val="none"/>
                    </w:rPr>
                  </w:pPr>
                </w:p>
              </w:tc>
            </w:tr>
            <w:tr w14:paraId="453F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665" w:type="dxa"/>
                  <w:vMerge w:val="continue"/>
                  <w:vAlign w:val="center"/>
                </w:tcPr>
                <w:p w14:paraId="25FBAE16">
                  <w:pPr>
                    <w:pStyle w:val="54"/>
                    <w:rPr>
                      <w:strike w:val="0"/>
                      <w:dstrike w:val="0"/>
                      <w:color w:val="auto"/>
                      <w:highlight w:val="none"/>
                    </w:rPr>
                  </w:pPr>
                </w:p>
              </w:tc>
              <w:tc>
                <w:tcPr>
                  <w:tcW w:w="1288" w:type="dxa"/>
                  <w:vMerge w:val="continue"/>
                  <w:vAlign w:val="center"/>
                </w:tcPr>
                <w:p w14:paraId="6AC986C2">
                  <w:pPr>
                    <w:pStyle w:val="54"/>
                    <w:rPr>
                      <w:strike w:val="0"/>
                      <w:dstrike w:val="0"/>
                      <w:color w:val="auto"/>
                      <w:highlight w:val="none"/>
                    </w:rPr>
                  </w:pPr>
                </w:p>
              </w:tc>
              <w:tc>
                <w:tcPr>
                  <w:tcW w:w="1288" w:type="dxa"/>
                  <w:shd w:val="clear" w:color="auto" w:fill="auto"/>
                  <w:vAlign w:val="center"/>
                </w:tcPr>
                <w:p w14:paraId="07064CEA">
                  <w:pPr>
                    <w:jc w:val="center"/>
                    <w:rPr>
                      <w:strike w:val="0"/>
                      <w:dstrike w:val="0"/>
                      <w:color w:val="auto"/>
                      <w:szCs w:val="21"/>
                      <w:highlight w:val="none"/>
                    </w:rPr>
                  </w:pPr>
                  <w:r>
                    <w:rPr>
                      <w:strike w:val="0"/>
                      <w:dstrike w:val="0"/>
                      <w:color w:val="auto"/>
                      <w:szCs w:val="21"/>
                      <w:highlight w:val="none"/>
                    </w:rPr>
                    <w:t>石油类</w:t>
                  </w:r>
                </w:p>
              </w:tc>
              <w:tc>
                <w:tcPr>
                  <w:tcW w:w="1288" w:type="dxa"/>
                  <w:vMerge w:val="continue"/>
                  <w:vAlign w:val="center"/>
                </w:tcPr>
                <w:p w14:paraId="7B7B4753">
                  <w:pPr>
                    <w:pStyle w:val="54"/>
                    <w:rPr>
                      <w:strike w:val="0"/>
                      <w:dstrike w:val="0"/>
                      <w:color w:val="auto"/>
                      <w:highlight w:val="none"/>
                    </w:rPr>
                  </w:pPr>
                </w:p>
              </w:tc>
              <w:tc>
                <w:tcPr>
                  <w:tcW w:w="1633" w:type="dxa"/>
                  <w:vMerge w:val="continue"/>
                  <w:vAlign w:val="center"/>
                </w:tcPr>
                <w:p w14:paraId="15A607B8">
                  <w:pPr>
                    <w:pStyle w:val="54"/>
                    <w:rPr>
                      <w:strike w:val="0"/>
                      <w:dstrike w:val="0"/>
                      <w:color w:val="auto"/>
                      <w:highlight w:val="none"/>
                    </w:rPr>
                  </w:pPr>
                </w:p>
              </w:tc>
              <w:tc>
                <w:tcPr>
                  <w:tcW w:w="1292" w:type="dxa"/>
                  <w:vMerge w:val="continue"/>
                  <w:vAlign w:val="center"/>
                </w:tcPr>
                <w:p w14:paraId="616DFBD6">
                  <w:pPr>
                    <w:pStyle w:val="54"/>
                    <w:rPr>
                      <w:strike w:val="0"/>
                      <w:dstrike w:val="0"/>
                      <w:color w:val="auto"/>
                      <w:highlight w:val="none"/>
                    </w:rPr>
                  </w:pPr>
                </w:p>
              </w:tc>
              <w:tc>
                <w:tcPr>
                  <w:tcW w:w="2230" w:type="dxa"/>
                  <w:vMerge w:val="continue"/>
                  <w:vAlign w:val="center"/>
                </w:tcPr>
                <w:p w14:paraId="50781856">
                  <w:pPr>
                    <w:pStyle w:val="54"/>
                    <w:rPr>
                      <w:strike w:val="0"/>
                      <w:dstrike w:val="0"/>
                      <w:color w:val="auto"/>
                      <w:highlight w:val="none"/>
                    </w:rPr>
                  </w:pPr>
                </w:p>
              </w:tc>
              <w:tc>
                <w:tcPr>
                  <w:tcW w:w="964" w:type="dxa"/>
                  <w:vMerge w:val="continue"/>
                  <w:vAlign w:val="center"/>
                </w:tcPr>
                <w:p w14:paraId="0C152073">
                  <w:pPr>
                    <w:pStyle w:val="54"/>
                    <w:rPr>
                      <w:strike w:val="0"/>
                      <w:dstrike w:val="0"/>
                      <w:color w:val="auto"/>
                      <w:highlight w:val="none"/>
                    </w:rPr>
                  </w:pPr>
                </w:p>
              </w:tc>
              <w:tc>
                <w:tcPr>
                  <w:tcW w:w="1293" w:type="dxa"/>
                  <w:vMerge w:val="continue"/>
                  <w:vAlign w:val="center"/>
                </w:tcPr>
                <w:p w14:paraId="0783F2D7">
                  <w:pPr>
                    <w:pStyle w:val="54"/>
                    <w:rPr>
                      <w:strike w:val="0"/>
                      <w:dstrike w:val="0"/>
                      <w:color w:val="auto"/>
                      <w:highlight w:val="none"/>
                    </w:rPr>
                  </w:pPr>
                </w:p>
              </w:tc>
              <w:tc>
                <w:tcPr>
                  <w:tcW w:w="1165" w:type="dxa"/>
                  <w:vMerge w:val="continue"/>
                  <w:vAlign w:val="center"/>
                </w:tcPr>
                <w:p w14:paraId="442C3E76">
                  <w:pPr>
                    <w:pStyle w:val="54"/>
                    <w:rPr>
                      <w:strike w:val="0"/>
                      <w:dstrike w:val="0"/>
                      <w:color w:val="auto"/>
                      <w:highlight w:val="none"/>
                    </w:rPr>
                  </w:pPr>
                </w:p>
              </w:tc>
            </w:tr>
          </w:tbl>
          <w:p w14:paraId="7DCBCE24">
            <w:pPr>
              <w:jc w:val="center"/>
              <w:rPr>
                <w:b/>
                <w:bCs/>
                <w:strike w:val="0"/>
                <w:dstrike w:val="0"/>
                <w:color w:val="auto"/>
                <w:sz w:val="24"/>
                <w:highlight w:val="none"/>
              </w:rPr>
            </w:pPr>
            <w:r>
              <w:rPr>
                <w:b/>
                <w:bCs/>
                <w:strike w:val="0"/>
                <w:dstrike w:val="0"/>
                <w:color w:val="auto"/>
                <w:sz w:val="24"/>
                <w:highlight w:val="none"/>
              </w:rPr>
              <w:t>表4.2-1</w:t>
            </w:r>
            <w:r>
              <w:rPr>
                <w:rFonts w:hint="eastAsia"/>
                <w:b/>
                <w:bCs/>
                <w:strike w:val="0"/>
                <w:dstrike w:val="0"/>
                <w:color w:val="auto"/>
                <w:sz w:val="24"/>
                <w:highlight w:val="none"/>
                <w:lang w:val="en-US" w:eastAsia="zh-CN"/>
              </w:rPr>
              <w:t>1</w:t>
            </w:r>
            <w:r>
              <w:rPr>
                <w:b/>
                <w:bCs/>
                <w:strike w:val="0"/>
                <w:dstrike w:val="0"/>
                <w:color w:val="auto"/>
                <w:sz w:val="24"/>
                <w:highlight w:val="none"/>
              </w:rPr>
              <w:t xml:space="preserve">  废水间接排放口基本情况表</w:t>
            </w:r>
          </w:p>
          <w:tbl>
            <w:tblPr>
              <w:tblStyle w:val="22"/>
              <w:tblW w:w="13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225"/>
              <w:gridCol w:w="1482"/>
              <w:gridCol w:w="1326"/>
              <w:gridCol w:w="1145"/>
              <w:gridCol w:w="1119"/>
              <w:gridCol w:w="1137"/>
              <w:gridCol w:w="1180"/>
              <w:gridCol w:w="1119"/>
              <w:gridCol w:w="1153"/>
              <w:gridCol w:w="1425"/>
            </w:tblGrid>
            <w:tr w14:paraId="1C8D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64" w:type="dxa"/>
                  <w:vMerge w:val="restart"/>
                  <w:vAlign w:val="center"/>
                </w:tcPr>
                <w:p w14:paraId="0A94CECA">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序号</w:t>
                  </w:r>
                </w:p>
              </w:tc>
              <w:tc>
                <w:tcPr>
                  <w:tcW w:w="1225" w:type="dxa"/>
                  <w:vMerge w:val="restart"/>
                  <w:vAlign w:val="center"/>
                </w:tcPr>
                <w:p w14:paraId="757464BD">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排放口编号</w:t>
                  </w:r>
                </w:p>
              </w:tc>
              <w:tc>
                <w:tcPr>
                  <w:tcW w:w="2808" w:type="dxa"/>
                  <w:gridSpan w:val="2"/>
                  <w:vAlign w:val="center"/>
                </w:tcPr>
                <w:p w14:paraId="29234BD0">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排放口地理坐标</w:t>
                  </w:r>
                </w:p>
              </w:tc>
              <w:tc>
                <w:tcPr>
                  <w:tcW w:w="1145" w:type="dxa"/>
                  <w:vMerge w:val="restart"/>
                  <w:vAlign w:val="center"/>
                </w:tcPr>
                <w:p w14:paraId="74A114CD">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废水排放量（万t/a）</w:t>
                  </w:r>
                </w:p>
              </w:tc>
              <w:tc>
                <w:tcPr>
                  <w:tcW w:w="1119" w:type="dxa"/>
                  <w:vMerge w:val="restart"/>
                  <w:vAlign w:val="center"/>
                </w:tcPr>
                <w:p w14:paraId="7CC8C566">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排放去向</w:t>
                  </w:r>
                </w:p>
              </w:tc>
              <w:tc>
                <w:tcPr>
                  <w:tcW w:w="1137" w:type="dxa"/>
                  <w:vMerge w:val="restart"/>
                  <w:vAlign w:val="center"/>
                </w:tcPr>
                <w:p w14:paraId="07169B0B">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排放规律</w:t>
                  </w:r>
                </w:p>
              </w:tc>
              <w:tc>
                <w:tcPr>
                  <w:tcW w:w="1180" w:type="dxa"/>
                  <w:vMerge w:val="restart"/>
                  <w:vAlign w:val="center"/>
                </w:tcPr>
                <w:p w14:paraId="537180EA">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工作制度</w:t>
                  </w:r>
                </w:p>
              </w:tc>
              <w:tc>
                <w:tcPr>
                  <w:tcW w:w="3697" w:type="dxa"/>
                  <w:gridSpan w:val="3"/>
                  <w:vAlign w:val="center"/>
                </w:tcPr>
                <w:p w14:paraId="18FB141A">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受纳污水处理厂信息</w:t>
                  </w:r>
                </w:p>
              </w:tc>
            </w:tr>
            <w:tr w14:paraId="4DD2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764" w:type="dxa"/>
                  <w:vMerge w:val="continue"/>
                  <w:vAlign w:val="center"/>
                </w:tcPr>
                <w:p w14:paraId="0C4D82E0">
                  <w:pPr>
                    <w:pStyle w:val="7"/>
                    <w:spacing w:line="240" w:lineRule="auto"/>
                    <w:ind w:firstLine="0"/>
                    <w:jc w:val="center"/>
                    <w:rPr>
                      <w:rFonts w:ascii="Times New Roman" w:hAnsi="Times New Roman"/>
                      <w:strike w:val="0"/>
                      <w:dstrike w:val="0"/>
                      <w:color w:val="auto"/>
                      <w:sz w:val="21"/>
                      <w:highlight w:val="none"/>
                    </w:rPr>
                  </w:pPr>
                </w:p>
              </w:tc>
              <w:tc>
                <w:tcPr>
                  <w:tcW w:w="1225" w:type="dxa"/>
                  <w:vMerge w:val="continue"/>
                  <w:vAlign w:val="center"/>
                </w:tcPr>
                <w:p w14:paraId="3C9EAD99">
                  <w:pPr>
                    <w:pStyle w:val="7"/>
                    <w:spacing w:line="240" w:lineRule="auto"/>
                    <w:ind w:firstLine="0"/>
                    <w:jc w:val="center"/>
                    <w:rPr>
                      <w:rFonts w:ascii="Times New Roman" w:hAnsi="Times New Roman"/>
                      <w:strike w:val="0"/>
                      <w:dstrike w:val="0"/>
                      <w:color w:val="auto"/>
                      <w:sz w:val="21"/>
                      <w:highlight w:val="none"/>
                    </w:rPr>
                  </w:pPr>
                </w:p>
              </w:tc>
              <w:tc>
                <w:tcPr>
                  <w:tcW w:w="1482" w:type="dxa"/>
                  <w:vAlign w:val="center"/>
                </w:tcPr>
                <w:p w14:paraId="3D135A98">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经度</w:t>
                  </w:r>
                </w:p>
              </w:tc>
              <w:tc>
                <w:tcPr>
                  <w:tcW w:w="1326" w:type="dxa"/>
                  <w:vAlign w:val="center"/>
                </w:tcPr>
                <w:p w14:paraId="276B3410">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纬度</w:t>
                  </w:r>
                </w:p>
              </w:tc>
              <w:tc>
                <w:tcPr>
                  <w:tcW w:w="1145" w:type="dxa"/>
                  <w:vMerge w:val="continue"/>
                  <w:vAlign w:val="center"/>
                </w:tcPr>
                <w:p w14:paraId="57ABD2DD">
                  <w:pPr>
                    <w:pStyle w:val="7"/>
                    <w:spacing w:line="240" w:lineRule="auto"/>
                    <w:ind w:firstLine="0"/>
                    <w:jc w:val="center"/>
                    <w:rPr>
                      <w:rFonts w:ascii="Times New Roman" w:hAnsi="Times New Roman"/>
                      <w:strike w:val="0"/>
                      <w:dstrike w:val="0"/>
                      <w:color w:val="auto"/>
                      <w:sz w:val="21"/>
                      <w:highlight w:val="none"/>
                    </w:rPr>
                  </w:pPr>
                </w:p>
              </w:tc>
              <w:tc>
                <w:tcPr>
                  <w:tcW w:w="1119" w:type="dxa"/>
                  <w:vMerge w:val="continue"/>
                  <w:vAlign w:val="center"/>
                </w:tcPr>
                <w:p w14:paraId="441A410F">
                  <w:pPr>
                    <w:pStyle w:val="7"/>
                    <w:spacing w:line="240" w:lineRule="auto"/>
                    <w:ind w:firstLine="0"/>
                    <w:jc w:val="center"/>
                    <w:rPr>
                      <w:rFonts w:ascii="Times New Roman" w:hAnsi="Times New Roman"/>
                      <w:strike w:val="0"/>
                      <w:dstrike w:val="0"/>
                      <w:color w:val="auto"/>
                      <w:sz w:val="21"/>
                      <w:highlight w:val="none"/>
                    </w:rPr>
                  </w:pPr>
                </w:p>
              </w:tc>
              <w:tc>
                <w:tcPr>
                  <w:tcW w:w="1137" w:type="dxa"/>
                  <w:vMerge w:val="continue"/>
                  <w:vAlign w:val="center"/>
                </w:tcPr>
                <w:p w14:paraId="30CF9CF4">
                  <w:pPr>
                    <w:pStyle w:val="7"/>
                    <w:spacing w:line="240" w:lineRule="auto"/>
                    <w:ind w:firstLine="0"/>
                    <w:jc w:val="center"/>
                    <w:rPr>
                      <w:rFonts w:ascii="Times New Roman" w:hAnsi="Times New Roman"/>
                      <w:strike w:val="0"/>
                      <w:dstrike w:val="0"/>
                      <w:color w:val="auto"/>
                      <w:sz w:val="21"/>
                      <w:highlight w:val="none"/>
                    </w:rPr>
                  </w:pPr>
                </w:p>
              </w:tc>
              <w:tc>
                <w:tcPr>
                  <w:tcW w:w="1180" w:type="dxa"/>
                  <w:vMerge w:val="continue"/>
                  <w:vAlign w:val="center"/>
                </w:tcPr>
                <w:p w14:paraId="4A5CF276">
                  <w:pPr>
                    <w:pStyle w:val="7"/>
                    <w:spacing w:line="240" w:lineRule="auto"/>
                    <w:ind w:firstLine="0"/>
                    <w:jc w:val="center"/>
                    <w:rPr>
                      <w:rFonts w:ascii="Times New Roman" w:hAnsi="Times New Roman"/>
                      <w:strike w:val="0"/>
                      <w:dstrike w:val="0"/>
                      <w:color w:val="auto"/>
                      <w:sz w:val="21"/>
                      <w:highlight w:val="none"/>
                    </w:rPr>
                  </w:pPr>
                </w:p>
              </w:tc>
              <w:tc>
                <w:tcPr>
                  <w:tcW w:w="1119" w:type="dxa"/>
                  <w:vAlign w:val="center"/>
                </w:tcPr>
                <w:p w14:paraId="2C07A457">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名称</w:t>
                  </w:r>
                </w:p>
              </w:tc>
              <w:tc>
                <w:tcPr>
                  <w:tcW w:w="1153" w:type="dxa"/>
                  <w:vAlign w:val="center"/>
                </w:tcPr>
                <w:p w14:paraId="68177FDB">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污染物种类</w:t>
                  </w:r>
                </w:p>
              </w:tc>
              <w:tc>
                <w:tcPr>
                  <w:tcW w:w="1425" w:type="dxa"/>
                  <w:vAlign w:val="center"/>
                </w:tcPr>
                <w:p w14:paraId="4E3D4C38">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国家或地方污染物排放标准浓度限值（mg/L）</w:t>
                  </w:r>
                </w:p>
              </w:tc>
            </w:tr>
            <w:tr w14:paraId="4EAC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64" w:type="dxa"/>
                  <w:vMerge w:val="restart"/>
                  <w:vAlign w:val="center"/>
                </w:tcPr>
                <w:p w14:paraId="772C9957">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1</w:t>
                  </w:r>
                </w:p>
              </w:tc>
              <w:tc>
                <w:tcPr>
                  <w:tcW w:w="1225" w:type="dxa"/>
                  <w:vMerge w:val="restart"/>
                  <w:vAlign w:val="center"/>
                </w:tcPr>
                <w:p w14:paraId="275D0D54">
                  <w:pPr>
                    <w:jc w:val="center"/>
                    <w:rPr>
                      <w:strike w:val="0"/>
                      <w:dstrike w:val="0"/>
                      <w:color w:val="auto"/>
                      <w:szCs w:val="21"/>
                      <w:highlight w:val="none"/>
                    </w:rPr>
                  </w:pPr>
                  <w:r>
                    <w:rPr>
                      <w:strike w:val="0"/>
                      <w:dstrike w:val="0"/>
                      <w:color w:val="auto"/>
                      <w:szCs w:val="21"/>
                      <w:highlight w:val="none"/>
                    </w:rPr>
                    <w:t>DW001</w:t>
                  </w:r>
                </w:p>
              </w:tc>
              <w:tc>
                <w:tcPr>
                  <w:tcW w:w="1482" w:type="dxa"/>
                  <w:vMerge w:val="restart"/>
                  <w:vAlign w:val="center"/>
                </w:tcPr>
                <w:p w14:paraId="2BC6C2F9">
                  <w:pPr>
                    <w:widowControl/>
                    <w:jc w:val="center"/>
                    <w:rPr>
                      <w:strike w:val="0"/>
                      <w:dstrike w:val="0"/>
                      <w:color w:val="auto"/>
                      <w:highlight w:val="none"/>
                    </w:rPr>
                  </w:pPr>
                  <w:r>
                    <w:rPr>
                      <w:strike w:val="0"/>
                      <w:dstrike w:val="0"/>
                      <w:color w:val="auto"/>
                      <w:highlight w:val="none"/>
                    </w:rPr>
                    <w:t>106°29′6.06″</w:t>
                  </w:r>
                </w:p>
              </w:tc>
              <w:tc>
                <w:tcPr>
                  <w:tcW w:w="1326" w:type="dxa"/>
                  <w:vMerge w:val="restart"/>
                  <w:vAlign w:val="center"/>
                </w:tcPr>
                <w:p w14:paraId="2BA723DE">
                  <w:pPr>
                    <w:widowControl/>
                    <w:jc w:val="center"/>
                    <w:rPr>
                      <w:strike w:val="0"/>
                      <w:dstrike w:val="0"/>
                      <w:color w:val="auto"/>
                      <w:highlight w:val="none"/>
                    </w:rPr>
                  </w:pPr>
                  <w:r>
                    <w:rPr>
                      <w:strike w:val="0"/>
                      <w:dstrike w:val="0"/>
                      <w:color w:val="auto"/>
                      <w:highlight w:val="none"/>
                    </w:rPr>
                    <w:t>29°55′59.92″</w:t>
                  </w:r>
                </w:p>
              </w:tc>
              <w:tc>
                <w:tcPr>
                  <w:tcW w:w="1145" w:type="dxa"/>
                  <w:vMerge w:val="restart"/>
                  <w:vAlign w:val="center"/>
                </w:tcPr>
                <w:p w14:paraId="71A1A2EB">
                  <w:pPr>
                    <w:pStyle w:val="7"/>
                    <w:spacing w:line="240" w:lineRule="auto"/>
                    <w:ind w:firstLine="0"/>
                    <w:jc w:val="center"/>
                    <w:rPr>
                      <w:rFonts w:hint="eastAsia" w:ascii="Times New Roman" w:hAnsi="Times New Roman" w:eastAsia="宋体"/>
                      <w:strike w:val="0"/>
                      <w:dstrike w:val="0"/>
                      <w:color w:val="auto"/>
                      <w:sz w:val="21"/>
                      <w:highlight w:val="none"/>
                      <w:lang w:eastAsia="zh-CN"/>
                    </w:rPr>
                  </w:pPr>
                  <w:r>
                    <w:rPr>
                      <w:rFonts w:hint="eastAsia" w:ascii="Times New Roman" w:hAnsi="Times New Roman"/>
                      <w:strike w:val="0"/>
                      <w:dstrike w:val="0"/>
                      <w:color w:val="auto"/>
                      <w:sz w:val="21"/>
                      <w:highlight w:val="none"/>
                      <w:lang w:eastAsia="zh-CN"/>
                    </w:rPr>
                    <w:t>0.145798</w:t>
                  </w:r>
                </w:p>
              </w:tc>
              <w:tc>
                <w:tcPr>
                  <w:tcW w:w="1119" w:type="dxa"/>
                  <w:vMerge w:val="restart"/>
                  <w:vAlign w:val="center"/>
                </w:tcPr>
                <w:p w14:paraId="1CDDB80C">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排入城市污水处理厂</w:t>
                  </w:r>
                </w:p>
              </w:tc>
              <w:tc>
                <w:tcPr>
                  <w:tcW w:w="1137" w:type="dxa"/>
                  <w:vMerge w:val="restart"/>
                  <w:vAlign w:val="center"/>
                </w:tcPr>
                <w:p w14:paraId="13AD9F0D">
                  <w:pPr>
                    <w:widowControl/>
                    <w:jc w:val="center"/>
                    <w:rPr>
                      <w:strike w:val="0"/>
                      <w:dstrike w:val="0"/>
                      <w:color w:val="auto"/>
                      <w:szCs w:val="21"/>
                      <w:highlight w:val="none"/>
                    </w:rPr>
                  </w:pPr>
                  <w:r>
                    <w:rPr>
                      <w:strike w:val="0"/>
                      <w:dstrike w:val="0"/>
                      <w:color w:val="auto"/>
                      <w:kern w:val="0"/>
                      <w:szCs w:val="21"/>
                      <w:highlight w:val="none"/>
                      <w:lang w:bidi="ar"/>
                    </w:rPr>
                    <w:t>间断排放，排放期间流量不稳定，但有周期性规律</w:t>
                  </w:r>
                </w:p>
              </w:tc>
              <w:tc>
                <w:tcPr>
                  <w:tcW w:w="1180" w:type="dxa"/>
                  <w:vMerge w:val="restart"/>
                  <w:vAlign w:val="center"/>
                </w:tcPr>
                <w:p w14:paraId="3FCDD232">
                  <w:pPr>
                    <w:pStyle w:val="7"/>
                    <w:spacing w:line="240" w:lineRule="auto"/>
                    <w:ind w:firstLine="0"/>
                    <w:jc w:val="center"/>
                    <w:rPr>
                      <w:rFonts w:ascii="Times New Roman" w:hAnsi="Times New Roman"/>
                      <w:strike w:val="0"/>
                      <w:dstrike w:val="0"/>
                      <w:color w:val="auto"/>
                      <w:sz w:val="21"/>
                      <w:highlight w:val="none"/>
                    </w:rPr>
                  </w:pPr>
                  <w:r>
                    <w:rPr>
                      <w:rFonts w:hint="eastAsia" w:ascii="Times New Roman" w:hAnsi="Times New Roman"/>
                      <w:strike w:val="0"/>
                      <w:dstrike w:val="0"/>
                      <w:color w:val="auto"/>
                      <w:sz w:val="21"/>
                      <w:highlight w:val="none"/>
                    </w:rPr>
                    <w:t>0</w:t>
                  </w:r>
                  <w:r>
                    <w:rPr>
                      <w:rFonts w:ascii="Times New Roman" w:hAnsi="Times New Roman"/>
                      <w:strike w:val="0"/>
                      <w:dstrike w:val="0"/>
                      <w:color w:val="auto"/>
                      <w:sz w:val="21"/>
                      <w:highlight w:val="none"/>
                    </w:rPr>
                    <w:t>：00~24：00</w:t>
                  </w:r>
                </w:p>
              </w:tc>
              <w:tc>
                <w:tcPr>
                  <w:tcW w:w="1119" w:type="dxa"/>
                  <w:vMerge w:val="restart"/>
                  <w:shd w:val="clear" w:color="auto" w:fill="auto"/>
                  <w:vAlign w:val="center"/>
                </w:tcPr>
                <w:p w14:paraId="4CCEF68B">
                  <w:pPr>
                    <w:jc w:val="center"/>
                    <w:rPr>
                      <w:rFonts w:hint="eastAsia" w:eastAsia="宋体"/>
                      <w:strike w:val="0"/>
                      <w:dstrike w:val="0"/>
                      <w:color w:val="auto"/>
                      <w:szCs w:val="21"/>
                      <w:highlight w:val="none"/>
                      <w:lang w:eastAsia="zh-CN"/>
                    </w:rPr>
                  </w:pPr>
                  <w:r>
                    <w:rPr>
                      <w:rFonts w:hint="eastAsia"/>
                      <w:strike w:val="0"/>
                      <w:dstrike w:val="0"/>
                      <w:color w:val="auto"/>
                      <w:szCs w:val="21"/>
                      <w:highlight w:val="none"/>
                      <w:lang w:eastAsia="zh-CN"/>
                    </w:rPr>
                    <w:t>微车基地污水处理厂</w:t>
                  </w:r>
                </w:p>
              </w:tc>
              <w:tc>
                <w:tcPr>
                  <w:tcW w:w="1153" w:type="dxa"/>
                  <w:shd w:val="clear" w:color="auto" w:fill="auto"/>
                  <w:vAlign w:val="center"/>
                </w:tcPr>
                <w:p w14:paraId="5ADDBB38">
                  <w:pPr>
                    <w:widowControl/>
                    <w:jc w:val="center"/>
                    <w:rPr>
                      <w:bCs/>
                      <w:strike w:val="0"/>
                      <w:dstrike w:val="0"/>
                      <w:color w:val="auto"/>
                      <w:kern w:val="0"/>
                      <w:szCs w:val="21"/>
                      <w:highlight w:val="none"/>
                    </w:rPr>
                  </w:pPr>
                  <w:r>
                    <w:rPr>
                      <w:rFonts w:hint="eastAsia"/>
                      <w:bCs/>
                      <w:strike w:val="0"/>
                      <w:dstrike w:val="0"/>
                      <w:color w:val="auto"/>
                      <w:kern w:val="0"/>
                      <w:szCs w:val="21"/>
                      <w:highlight w:val="none"/>
                      <w:lang w:val="en-US" w:eastAsia="zh-CN"/>
                    </w:rPr>
                    <w:t>pH</w:t>
                  </w:r>
                </w:p>
              </w:tc>
              <w:tc>
                <w:tcPr>
                  <w:tcW w:w="1425" w:type="dxa"/>
                  <w:shd w:val="clear" w:color="auto" w:fill="auto"/>
                  <w:vAlign w:val="center"/>
                </w:tcPr>
                <w:p w14:paraId="0816734A">
                  <w:pPr>
                    <w:widowControl/>
                    <w:jc w:val="center"/>
                    <w:textAlignment w:val="center"/>
                    <w:rPr>
                      <w:rFonts w:hint="default" w:eastAsia="宋体"/>
                      <w:strike w:val="0"/>
                      <w:dstrike w:val="0"/>
                      <w:color w:val="auto"/>
                      <w:kern w:val="0"/>
                      <w:szCs w:val="21"/>
                      <w:highlight w:val="none"/>
                      <w:lang w:val="en-US" w:eastAsia="zh-CN" w:bidi="ar"/>
                    </w:rPr>
                  </w:pPr>
                  <w:r>
                    <w:rPr>
                      <w:rFonts w:hint="eastAsia"/>
                      <w:strike w:val="0"/>
                      <w:dstrike w:val="0"/>
                      <w:color w:val="auto"/>
                      <w:kern w:val="0"/>
                      <w:szCs w:val="21"/>
                      <w:highlight w:val="none"/>
                      <w:lang w:val="en-US" w:eastAsia="zh-CN" w:bidi="ar"/>
                    </w:rPr>
                    <w:t>6-9（无量纲）</w:t>
                  </w:r>
                </w:p>
              </w:tc>
            </w:tr>
            <w:tr w14:paraId="420C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continue"/>
                  <w:vAlign w:val="center"/>
                </w:tcPr>
                <w:p w14:paraId="3AB3B047">
                  <w:pPr>
                    <w:pStyle w:val="7"/>
                    <w:spacing w:line="240" w:lineRule="auto"/>
                    <w:ind w:firstLine="0"/>
                    <w:jc w:val="center"/>
                    <w:rPr>
                      <w:rFonts w:ascii="Times New Roman" w:hAnsi="Times New Roman"/>
                      <w:strike w:val="0"/>
                      <w:dstrike w:val="0"/>
                      <w:color w:val="auto"/>
                      <w:sz w:val="21"/>
                      <w:highlight w:val="none"/>
                    </w:rPr>
                  </w:pPr>
                </w:p>
              </w:tc>
              <w:tc>
                <w:tcPr>
                  <w:tcW w:w="1225" w:type="dxa"/>
                  <w:vMerge w:val="continue"/>
                  <w:vAlign w:val="center"/>
                </w:tcPr>
                <w:p w14:paraId="52FD0DBD">
                  <w:pPr>
                    <w:jc w:val="center"/>
                    <w:rPr>
                      <w:strike w:val="0"/>
                      <w:dstrike w:val="0"/>
                      <w:color w:val="auto"/>
                      <w:szCs w:val="21"/>
                      <w:highlight w:val="none"/>
                    </w:rPr>
                  </w:pPr>
                </w:p>
              </w:tc>
              <w:tc>
                <w:tcPr>
                  <w:tcW w:w="1482" w:type="dxa"/>
                  <w:vMerge w:val="continue"/>
                  <w:vAlign w:val="center"/>
                </w:tcPr>
                <w:p w14:paraId="331753C5">
                  <w:pPr>
                    <w:widowControl/>
                    <w:jc w:val="center"/>
                    <w:rPr>
                      <w:strike w:val="0"/>
                      <w:dstrike w:val="0"/>
                      <w:color w:val="auto"/>
                      <w:highlight w:val="none"/>
                    </w:rPr>
                  </w:pPr>
                </w:p>
              </w:tc>
              <w:tc>
                <w:tcPr>
                  <w:tcW w:w="1326" w:type="dxa"/>
                  <w:vMerge w:val="continue"/>
                  <w:vAlign w:val="center"/>
                </w:tcPr>
                <w:p w14:paraId="37643B88">
                  <w:pPr>
                    <w:widowControl/>
                    <w:jc w:val="center"/>
                    <w:rPr>
                      <w:strike w:val="0"/>
                      <w:dstrike w:val="0"/>
                      <w:color w:val="auto"/>
                      <w:highlight w:val="none"/>
                    </w:rPr>
                  </w:pPr>
                </w:p>
              </w:tc>
              <w:tc>
                <w:tcPr>
                  <w:tcW w:w="1145" w:type="dxa"/>
                  <w:vMerge w:val="continue"/>
                  <w:vAlign w:val="center"/>
                </w:tcPr>
                <w:p w14:paraId="780CAAA8">
                  <w:pPr>
                    <w:pStyle w:val="7"/>
                    <w:spacing w:line="240" w:lineRule="auto"/>
                    <w:ind w:firstLine="0"/>
                    <w:jc w:val="center"/>
                    <w:rPr>
                      <w:rFonts w:ascii="Times New Roman" w:hAnsi="Times New Roman"/>
                      <w:strike w:val="0"/>
                      <w:dstrike w:val="0"/>
                      <w:color w:val="auto"/>
                      <w:sz w:val="21"/>
                      <w:highlight w:val="none"/>
                    </w:rPr>
                  </w:pPr>
                </w:p>
              </w:tc>
              <w:tc>
                <w:tcPr>
                  <w:tcW w:w="1119" w:type="dxa"/>
                  <w:vMerge w:val="continue"/>
                  <w:vAlign w:val="center"/>
                </w:tcPr>
                <w:p w14:paraId="1FC847D2">
                  <w:pPr>
                    <w:pStyle w:val="7"/>
                    <w:spacing w:line="240" w:lineRule="auto"/>
                    <w:ind w:firstLine="0"/>
                    <w:jc w:val="center"/>
                    <w:rPr>
                      <w:rFonts w:ascii="Times New Roman" w:hAnsi="Times New Roman"/>
                      <w:strike w:val="0"/>
                      <w:dstrike w:val="0"/>
                      <w:color w:val="auto"/>
                      <w:sz w:val="21"/>
                      <w:highlight w:val="none"/>
                    </w:rPr>
                  </w:pPr>
                </w:p>
              </w:tc>
              <w:tc>
                <w:tcPr>
                  <w:tcW w:w="1137" w:type="dxa"/>
                  <w:vMerge w:val="continue"/>
                  <w:vAlign w:val="center"/>
                </w:tcPr>
                <w:p w14:paraId="6E2A4489">
                  <w:pPr>
                    <w:widowControl/>
                    <w:jc w:val="center"/>
                    <w:rPr>
                      <w:strike w:val="0"/>
                      <w:dstrike w:val="0"/>
                      <w:color w:val="auto"/>
                      <w:kern w:val="0"/>
                      <w:szCs w:val="21"/>
                      <w:highlight w:val="none"/>
                      <w:lang w:bidi="ar"/>
                    </w:rPr>
                  </w:pPr>
                </w:p>
              </w:tc>
              <w:tc>
                <w:tcPr>
                  <w:tcW w:w="1180" w:type="dxa"/>
                  <w:vMerge w:val="continue"/>
                  <w:vAlign w:val="center"/>
                </w:tcPr>
                <w:p w14:paraId="048356F1">
                  <w:pPr>
                    <w:pStyle w:val="7"/>
                    <w:spacing w:line="240" w:lineRule="auto"/>
                    <w:ind w:firstLine="0"/>
                    <w:jc w:val="center"/>
                    <w:rPr>
                      <w:rFonts w:hint="eastAsia" w:ascii="Times New Roman" w:hAnsi="Times New Roman"/>
                      <w:strike w:val="0"/>
                      <w:dstrike w:val="0"/>
                      <w:color w:val="auto"/>
                      <w:sz w:val="21"/>
                      <w:highlight w:val="none"/>
                    </w:rPr>
                  </w:pPr>
                </w:p>
              </w:tc>
              <w:tc>
                <w:tcPr>
                  <w:tcW w:w="1119" w:type="dxa"/>
                  <w:vMerge w:val="continue"/>
                  <w:shd w:val="clear" w:color="auto" w:fill="auto"/>
                  <w:vAlign w:val="center"/>
                </w:tcPr>
                <w:p w14:paraId="6BFDEDF6">
                  <w:pPr>
                    <w:jc w:val="center"/>
                    <w:rPr>
                      <w:strike w:val="0"/>
                      <w:dstrike w:val="0"/>
                      <w:color w:val="auto"/>
                      <w:szCs w:val="21"/>
                      <w:highlight w:val="none"/>
                    </w:rPr>
                  </w:pPr>
                </w:p>
              </w:tc>
              <w:tc>
                <w:tcPr>
                  <w:tcW w:w="1153" w:type="dxa"/>
                  <w:shd w:val="clear" w:color="auto" w:fill="auto"/>
                  <w:vAlign w:val="center"/>
                </w:tcPr>
                <w:p w14:paraId="3128070C">
                  <w:pPr>
                    <w:widowControl/>
                    <w:jc w:val="center"/>
                    <w:rPr>
                      <w:rFonts w:ascii="Times New Roman" w:hAnsi="Times New Roman" w:eastAsia="宋体" w:cs="Times New Roman"/>
                      <w:bCs/>
                      <w:strike w:val="0"/>
                      <w:dstrike w:val="0"/>
                      <w:color w:val="auto"/>
                      <w:kern w:val="0"/>
                      <w:sz w:val="21"/>
                      <w:szCs w:val="21"/>
                      <w:highlight w:val="none"/>
                      <w:lang w:val="en-US" w:eastAsia="zh-CN" w:bidi="ar-SA"/>
                    </w:rPr>
                  </w:pPr>
                  <w:r>
                    <w:rPr>
                      <w:bCs/>
                      <w:strike w:val="0"/>
                      <w:dstrike w:val="0"/>
                      <w:color w:val="auto"/>
                      <w:kern w:val="0"/>
                      <w:szCs w:val="21"/>
                      <w:highlight w:val="none"/>
                    </w:rPr>
                    <w:t>COD</w:t>
                  </w:r>
                </w:p>
              </w:tc>
              <w:tc>
                <w:tcPr>
                  <w:tcW w:w="1425" w:type="dxa"/>
                  <w:shd w:val="clear" w:color="auto" w:fill="auto"/>
                  <w:vAlign w:val="center"/>
                </w:tcPr>
                <w:p w14:paraId="4C51C602">
                  <w:pPr>
                    <w:widowControl/>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strike w:val="0"/>
                      <w:dstrike w:val="0"/>
                      <w:color w:val="auto"/>
                      <w:kern w:val="0"/>
                      <w:szCs w:val="21"/>
                      <w:highlight w:val="none"/>
                      <w:lang w:bidi="ar"/>
                    </w:rPr>
                    <w:t>50</w:t>
                  </w:r>
                </w:p>
              </w:tc>
            </w:tr>
            <w:tr w14:paraId="1624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64" w:type="dxa"/>
                  <w:vMerge w:val="continue"/>
                  <w:vAlign w:val="center"/>
                </w:tcPr>
                <w:p w14:paraId="12D0419E">
                  <w:pPr>
                    <w:widowControl/>
                    <w:jc w:val="center"/>
                    <w:textAlignment w:val="center"/>
                    <w:rPr>
                      <w:strike w:val="0"/>
                      <w:dstrike w:val="0"/>
                      <w:color w:val="auto"/>
                      <w:highlight w:val="none"/>
                    </w:rPr>
                  </w:pPr>
                </w:p>
              </w:tc>
              <w:tc>
                <w:tcPr>
                  <w:tcW w:w="1225" w:type="dxa"/>
                  <w:vMerge w:val="continue"/>
                  <w:vAlign w:val="center"/>
                </w:tcPr>
                <w:p w14:paraId="0C4778F8">
                  <w:pPr>
                    <w:widowControl/>
                    <w:jc w:val="center"/>
                    <w:textAlignment w:val="center"/>
                    <w:rPr>
                      <w:strike w:val="0"/>
                      <w:dstrike w:val="0"/>
                      <w:color w:val="auto"/>
                      <w:highlight w:val="none"/>
                    </w:rPr>
                  </w:pPr>
                </w:p>
              </w:tc>
              <w:tc>
                <w:tcPr>
                  <w:tcW w:w="1482" w:type="dxa"/>
                  <w:vMerge w:val="continue"/>
                  <w:vAlign w:val="center"/>
                </w:tcPr>
                <w:p w14:paraId="5C9CAF19">
                  <w:pPr>
                    <w:widowControl/>
                    <w:jc w:val="center"/>
                    <w:textAlignment w:val="center"/>
                    <w:rPr>
                      <w:strike w:val="0"/>
                      <w:dstrike w:val="0"/>
                      <w:color w:val="auto"/>
                      <w:highlight w:val="none"/>
                    </w:rPr>
                  </w:pPr>
                </w:p>
              </w:tc>
              <w:tc>
                <w:tcPr>
                  <w:tcW w:w="1326" w:type="dxa"/>
                  <w:vMerge w:val="continue"/>
                  <w:vAlign w:val="center"/>
                </w:tcPr>
                <w:p w14:paraId="2A8B2D8B">
                  <w:pPr>
                    <w:widowControl/>
                    <w:jc w:val="center"/>
                    <w:textAlignment w:val="center"/>
                    <w:rPr>
                      <w:strike w:val="0"/>
                      <w:dstrike w:val="0"/>
                      <w:color w:val="auto"/>
                      <w:highlight w:val="none"/>
                    </w:rPr>
                  </w:pPr>
                </w:p>
              </w:tc>
              <w:tc>
                <w:tcPr>
                  <w:tcW w:w="1145" w:type="dxa"/>
                  <w:vMerge w:val="continue"/>
                  <w:vAlign w:val="center"/>
                </w:tcPr>
                <w:p w14:paraId="77B67569">
                  <w:pPr>
                    <w:widowControl/>
                    <w:jc w:val="center"/>
                    <w:textAlignment w:val="center"/>
                    <w:rPr>
                      <w:strike w:val="0"/>
                      <w:dstrike w:val="0"/>
                      <w:color w:val="auto"/>
                      <w:highlight w:val="none"/>
                    </w:rPr>
                  </w:pPr>
                </w:p>
              </w:tc>
              <w:tc>
                <w:tcPr>
                  <w:tcW w:w="1119" w:type="dxa"/>
                  <w:vMerge w:val="continue"/>
                  <w:vAlign w:val="center"/>
                </w:tcPr>
                <w:p w14:paraId="4C86D585">
                  <w:pPr>
                    <w:widowControl/>
                    <w:jc w:val="center"/>
                    <w:textAlignment w:val="center"/>
                    <w:rPr>
                      <w:strike w:val="0"/>
                      <w:dstrike w:val="0"/>
                      <w:color w:val="auto"/>
                      <w:highlight w:val="none"/>
                    </w:rPr>
                  </w:pPr>
                </w:p>
              </w:tc>
              <w:tc>
                <w:tcPr>
                  <w:tcW w:w="1137" w:type="dxa"/>
                  <w:vMerge w:val="continue"/>
                  <w:vAlign w:val="center"/>
                </w:tcPr>
                <w:p w14:paraId="22E6E7EB">
                  <w:pPr>
                    <w:widowControl/>
                    <w:jc w:val="center"/>
                    <w:textAlignment w:val="center"/>
                    <w:rPr>
                      <w:strike w:val="0"/>
                      <w:dstrike w:val="0"/>
                      <w:color w:val="auto"/>
                      <w:highlight w:val="none"/>
                    </w:rPr>
                  </w:pPr>
                </w:p>
              </w:tc>
              <w:tc>
                <w:tcPr>
                  <w:tcW w:w="1180" w:type="dxa"/>
                  <w:vMerge w:val="continue"/>
                  <w:vAlign w:val="center"/>
                </w:tcPr>
                <w:p w14:paraId="3B35BC5C">
                  <w:pPr>
                    <w:widowControl/>
                    <w:jc w:val="center"/>
                    <w:textAlignment w:val="center"/>
                    <w:rPr>
                      <w:strike w:val="0"/>
                      <w:dstrike w:val="0"/>
                      <w:color w:val="auto"/>
                      <w:highlight w:val="none"/>
                    </w:rPr>
                  </w:pPr>
                </w:p>
              </w:tc>
              <w:tc>
                <w:tcPr>
                  <w:tcW w:w="1119" w:type="dxa"/>
                  <w:vMerge w:val="continue"/>
                  <w:vAlign w:val="center"/>
                </w:tcPr>
                <w:p w14:paraId="3BC57DF5">
                  <w:pPr>
                    <w:widowControl/>
                    <w:jc w:val="center"/>
                    <w:textAlignment w:val="center"/>
                    <w:rPr>
                      <w:strike w:val="0"/>
                      <w:dstrike w:val="0"/>
                      <w:color w:val="auto"/>
                      <w:highlight w:val="none"/>
                    </w:rPr>
                  </w:pPr>
                </w:p>
              </w:tc>
              <w:tc>
                <w:tcPr>
                  <w:tcW w:w="1153" w:type="dxa"/>
                  <w:shd w:val="clear" w:color="auto" w:fill="auto"/>
                  <w:vAlign w:val="center"/>
                </w:tcPr>
                <w:p w14:paraId="73F51642">
                  <w:pPr>
                    <w:widowControl/>
                    <w:jc w:val="center"/>
                    <w:rPr>
                      <w:bCs/>
                      <w:strike w:val="0"/>
                      <w:dstrike w:val="0"/>
                      <w:color w:val="auto"/>
                      <w:kern w:val="0"/>
                      <w:szCs w:val="21"/>
                      <w:highlight w:val="none"/>
                    </w:rPr>
                  </w:pPr>
                  <w:r>
                    <w:rPr>
                      <w:strike w:val="0"/>
                      <w:dstrike w:val="0"/>
                      <w:color w:val="auto"/>
                      <w:szCs w:val="21"/>
                      <w:highlight w:val="none"/>
                    </w:rPr>
                    <w:t>BOD</w:t>
                  </w:r>
                  <w:r>
                    <w:rPr>
                      <w:strike w:val="0"/>
                      <w:dstrike w:val="0"/>
                      <w:color w:val="auto"/>
                      <w:szCs w:val="21"/>
                      <w:highlight w:val="none"/>
                      <w:vertAlign w:val="subscript"/>
                    </w:rPr>
                    <w:t>5</w:t>
                  </w:r>
                </w:p>
              </w:tc>
              <w:tc>
                <w:tcPr>
                  <w:tcW w:w="1425" w:type="dxa"/>
                  <w:shd w:val="clear" w:color="auto" w:fill="auto"/>
                  <w:vAlign w:val="center"/>
                </w:tcPr>
                <w:p w14:paraId="0EF09E4F">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10</w:t>
                  </w:r>
                </w:p>
              </w:tc>
            </w:tr>
            <w:tr w14:paraId="6729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vMerge w:val="continue"/>
                  <w:vAlign w:val="center"/>
                </w:tcPr>
                <w:p w14:paraId="3DCD9718">
                  <w:pPr>
                    <w:pStyle w:val="7"/>
                    <w:spacing w:line="240" w:lineRule="auto"/>
                    <w:ind w:firstLine="0"/>
                    <w:jc w:val="center"/>
                    <w:rPr>
                      <w:rFonts w:ascii="Times New Roman" w:hAnsi="Times New Roman"/>
                      <w:strike w:val="0"/>
                      <w:dstrike w:val="0"/>
                      <w:color w:val="auto"/>
                      <w:sz w:val="21"/>
                      <w:highlight w:val="none"/>
                    </w:rPr>
                  </w:pPr>
                </w:p>
              </w:tc>
              <w:tc>
                <w:tcPr>
                  <w:tcW w:w="1225" w:type="dxa"/>
                  <w:vMerge w:val="continue"/>
                  <w:vAlign w:val="center"/>
                </w:tcPr>
                <w:p w14:paraId="122BC28A">
                  <w:pPr>
                    <w:pStyle w:val="7"/>
                    <w:spacing w:line="240" w:lineRule="auto"/>
                    <w:ind w:firstLine="0"/>
                    <w:jc w:val="center"/>
                    <w:rPr>
                      <w:rFonts w:ascii="Times New Roman" w:hAnsi="Times New Roman"/>
                      <w:strike w:val="0"/>
                      <w:dstrike w:val="0"/>
                      <w:color w:val="auto"/>
                      <w:sz w:val="21"/>
                      <w:highlight w:val="none"/>
                    </w:rPr>
                  </w:pPr>
                </w:p>
              </w:tc>
              <w:tc>
                <w:tcPr>
                  <w:tcW w:w="1482" w:type="dxa"/>
                  <w:vMerge w:val="continue"/>
                  <w:vAlign w:val="center"/>
                </w:tcPr>
                <w:p w14:paraId="51C7CFE8">
                  <w:pPr>
                    <w:pStyle w:val="7"/>
                    <w:spacing w:line="240" w:lineRule="auto"/>
                    <w:ind w:firstLine="0"/>
                    <w:jc w:val="center"/>
                    <w:rPr>
                      <w:rFonts w:ascii="Times New Roman" w:hAnsi="Times New Roman"/>
                      <w:strike w:val="0"/>
                      <w:dstrike w:val="0"/>
                      <w:color w:val="auto"/>
                      <w:sz w:val="21"/>
                      <w:highlight w:val="none"/>
                    </w:rPr>
                  </w:pPr>
                </w:p>
              </w:tc>
              <w:tc>
                <w:tcPr>
                  <w:tcW w:w="1326" w:type="dxa"/>
                  <w:vMerge w:val="continue"/>
                  <w:vAlign w:val="center"/>
                </w:tcPr>
                <w:p w14:paraId="51DC7078">
                  <w:pPr>
                    <w:pStyle w:val="7"/>
                    <w:spacing w:line="240" w:lineRule="auto"/>
                    <w:ind w:firstLine="0"/>
                    <w:jc w:val="center"/>
                    <w:rPr>
                      <w:rFonts w:ascii="Times New Roman" w:hAnsi="Times New Roman"/>
                      <w:strike w:val="0"/>
                      <w:dstrike w:val="0"/>
                      <w:color w:val="auto"/>
                      <w:sz w:val="21"/>
                      <w:highlight w:val="none"/>
                    </w:rPr>
                  </w:pPr>
                </w:p>
              </w:tc>
              <w:tc>
                <w:tcPr>
                  <w:tcW w:w="1145" w:type="dxa"/>
                  <w:vMerge w:val="continue"/>
                  <w:vAlign w:val="center"/>
                </w:tcPr>
                <w:p w14:paraId="043587E4">
                  <w:pPr>
                    <w:pStyle w:val="7"/>
                    <w:spacing w:line="240" w:lineRule="auto"/>
                    <w:ind w:firstLine="0"/>
                    <w:jc w:val="center"/>
                    <w:rPr>
                      <w:rFonts w:ascii="Times New Roman" w:hAnsi="Times New Roman"/>
                      <w:strike w:val="0"/>
                      <w:dstrike w:val="0"/>
                      <w:color w:val="auto"/>
                      <w:sz w:val="21"/>
                      <w:highlight w:val="none"/>
                    </w:rPr>
                  </w:pPr>
                </w:p>
              </w:tc>
              <w:tc>
                <w:tcPr>
                  <w:tcW w:w="1119" w:type="dxa"/>
                  <w:vMerge w:val="continue"/>
                  <w:vAlign w:val="center"/>
                </w:tcPr>
                <w:p w14:paraId="5442E9ED">
                  <w:pPr>
                    <w:pStyle w:val="7"/>
                    <w:spacing w:line="240" w:lineRule="auto"/>
                    <w:ind w:firstLine="0"/>
                    <w:jc w:val="center"/>
                    <w:rPr>
                      <w:rFonts w:ascii="Times New Roman" w:hAnsi="Times New Roman"/>
                      <w:strike w:val="0"/>
                      <w:dstrike w:val="0"/>
                      <w:color w:val="auto"/>
                      <w:sz w:val="21"/>
                      <w:highlight w:val="none"/>
                    </w:rPr>
                  </w:pPr>
                </w:p>
              </w:tc>
              <w:tc>
                <w:tcPr>
                  <w:tcW w:w="1137" w:type="dxa"/>
                  <w:vMerge w:val="continue"/>
                  <w:vAlign w:val="center"/>
                </w:tcPr>
                <w:p w14:paraId="0EEDB787">
                  <w:pPr>
                    <w:pStyle w:val="7"/>
                    <w:spacing w:line="240" w:lineRule="auto"/>
                    <w:ind w:firstLine="0"/>
                    <w:jc w:val="center"/>
                    <w:rPr>
                      <w:rFonts w:ascii="Times New Roman" w:hAnsi="Times New Roman"/>
                      <w:strike w:val="0"/>
                      <w:dstrike w:val="0"/>
                      <w:color w:val="auto"/>
                      <w:sz w:val="21"/>
                      <w:highlight w:val="none"/>
                    </w:rPr>
                  </w:pPr>
                </w:p>
              </w:tc>
              <w:tc>
                <w:tcPr>
                  <w:tcW w:w="1180" w:type="dxa"/>
                  <w:vMerge w:val="continue"/>
                  <w:vAlign w:val="center"/>
                </w:tcPr>
                <w:p w14:paraId="39DBE496">
                  <w:pPr>
                    <w:pStyle w:val="7"/>
                    <w:spacing w:line="240" w:lineRule="auto"/>
                    <w:ind w:firstLine="0"/>
                    <w:jc w:val="center"/>
                    <w:rPr>
                      <w:rFonts w:ascii="Times New Roman" w:hAnsi="Times New Roman"/>
                      <w:strike w:val="0"/>
                      <w:dstrike w:val="0"/>
                      <w:color w:val="auto"/>
                      <w:sz w:val="21"/>
                      <w:highlight w:val="none"/>
                    </w:rPr>
                  </w:pPr>
                </w:p>
              </w:tc>
              <w:tc>
                <w:tcPr>
                  <w:tcW w:w="1119" w:type="dxa"/>
                  <w:vMerge w:val="continue"/>
                  <w:vAlign w:val="center"/>
                </w:tcPr>
                <w:p w14:paraId="5BC7EB95">
                  <w:pPr>
                    <w:pStyle w:val="7"/>
                    <w:spacing w:line="240" w:lineRule="auto"/>
                    <w:ind w:firstLine="0"/>
                    <w:jc w:val="center"/>
                    <w:rPr>
                      <w:rFonts w:ascii="Times New Roman" w:hAnsi="Times New Roman"/>
                      <w:strike w:val="0"/>
                      <w:dstrike w:val="0"/>
                      <w:color w:val="auto"/>
                      <w:sz w:val="21"/>
                      <w:highlight w:val="none"/>
                    </w:rPr>
                  </w:pPr>
                </w:p>
              </w:tc>
              <w:tc>
                <w:tcPr>
                  <w:tcW w:w="1153" w:type="dxa"/>
                  <w:shd w:val="clear" w:color="auto" w:fill="auto"/>
                  <w:vAlign w:val="center"/>
                </w:tcPr>
                <w:p w14:paraId="623CF38A">
                  <w:pPr>
                    <w:widowControl/>
                    <w:jc w:val="center"/>
                    <w:rPr>
                      <w:bCs/>
                      <w:strike w:val="0"/>
                      <w:dstrike w:val="0"/>
                      <w:color w:val="auto"/>
                      <w:kern w:val="0"/>
                      <w:szCs w:val="21"/>
                      <w:highlight w:val="none"/>
                    </w:rPr>
                  </w:pPr>
                  <w:r>
                    <w:rPr>
                      <w:bCs/>
                      <w:strike w:val="0"/>
                      <w:dstrike w:val="0"/>
                      <w:color w:val="auto"/>
                      <w:kern w:val="0"/>
                      <w:szCs w:val="21"/>
                      <w:highlight w:val="none"/>
                    </w:rPr>
                    <w:t>SS</w:t>
                  </w:r>
                </w:p>
              </w:tc>
              <w:tc>
                <w:tcPr>
                  <w:tcW w:w="1425" w:type="dxa"/>
                  <w:shd w:val="clear" w:color="auto" w:fill="auto"/>
                  <w:vAlign w:val="center"/>
                </w:tcPr>
                <w:p w14:paraId="23B4F501">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10</w:t>
                  </w:r>
                </w:p>
              </w:tc>
            </w:tr>
            <w:tr w14:paraId="7942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64" w:type="dxa"/>
                  <w:vMerge w:val="continue"/>
                  <w:vAlign w:val="center"/>
                </w:tcPr>
                <w:p w14:paraId="7F782030">
                  <w:pPr>
                    <w:widowControl/>
                    <w:jc w:val="center"/>
                    <w:textAlignment w:val="center"/>
                    <w:rPr>
                      <w:strike w:val="0"/>
                      <w:dstrike w:val="0"/>
                      <w:color w:val="auto"/>
                      <w:highlight w:val="none"/>
                    </w:rPr>
                  </w:pPr>
                </w:p>
              </w:tc>
              <w:tc>
                <w:tcPr>
                  <w:tcW w:w="1225" w:type="dxa"/>
                  <w:vMerge w:val="continue"/>
                  <w:vAlign w:val="center"/>
                </w:tcPr>
                <w:p w14:paraId="3BBE4B86">
                  <w:pPr>
                    <w:widowControl/>
                    <w:jc w:val="center"/>
                    <w:textAlignment w:val="center"/>
                    <w:rPr>
                      <w:strike w:val="0"/>
                      <w:dstrike w:val="0"/>
                      <w:color w:val="auto"/>
                      <w:highlight w:val="none"/>
                    </w:rPr>
                  </w:pPr>
                </w:p>
              </w:tc>
              <w:tc>
                <w:tcPr>
                  <w:tcW w:w="1482" w:type="dxa"/>
                  <w:vMerge w:val="continue"/>
                  <w:vAlign w:val="center"/>
                </w:tcPr>
                <w:p w14:paraId="48E3238F">
                  <w:pPr>
                    <w:widowControl/>
                    <w:jc w:val="center"/>
                    <w:textAlignment w:val="center"/>
                    <w:rPr>
                      <w:strike w:val="0"/>
                      <w:dstrike w:val="0"/>
                      <w:color w:val="auto"/>
                      <w:highlight w:val="none"/>
                    </w:rPr>
                  </w:pPr>
                </w:p>
              </w:tc>
              <w:tc>
                <w:tcPr>
                  <w:tcW w:w="1326" w:type="dxa"/>
                  <w:vMerge w:val="continue"/>
                  <w:vAlign w:val="center"/>
                </w:tcPr>
                <w:p w14:paraId="5D4DD3D3">
                  <w:pPr>
                    <w:widowControl/>
                    <w:jc w:val="center"/>
                    <w:textAlignment w:val="center"/>
                    <w:rPr>
                      <w:strike w:val="0"/>
                      <w:dstrike w:val="0"/>
                      <w:color w:val="auto"/>
                      <w:highlight w:val="none"/>
                    </w:rPr>
                  </w:pPr>
                </w:p>
              </w:tc>
              <w:tc>
                <w:tcPr>
                  <w:tcW w:w="1145" w:type="dxa"/>
                  <w:vMerge w:val="continue"/>
                  <w:vAlign w:val="center"/>
                </w:tcPr>
                <w:p w14:paraId="7B6A0DF3">
                  <w:pPr>
                    <w:widowControl/>
                    <w:jc w:val="center"/>
                    <w:textAlignment w:val="center"/>
                    <w:rPr>
                      <w:strike w:val="0"/>
                      <w:dstrike w:val="0"/>
                      <w:color w:val="auto"/>
                      <w:highlight w:val="none"/>
                    </w:rPr>
                  </w:pPr>
                </w:p>
              </w:tc>
              <w:tc>
                <w:tcPr>
                  <w:tcW w:w="1119" w:type="dxa"/>
                  <w:vMerge w:val="continue"/>
                  <w:vAlign w:val="center"/>
                </w:tcPr>
                <w:p w14:paraId="146166F7">
                  <w:pPr>
                    <w:widowControl/>
                    <w:jc w:val="center"/>
                    <w:textAlignment w:val="center"/>
                    <w:rPr>
                      <w:strike w:val="0"/>
                      <w:dstrike w:val="0"/>
                      <w:color w:val="auto"/>
                      <w:highlight w:val="none"/>
                    </w:rPr>
                  </w:pPr>
                </w:p>
              </w:tc>
              <w:tc>
                <w:tcPr>
                  <w:tcW w:w="1137" w:type="dxa"/>
                  <w:vMerge w:val="continue"/>
                  <w:vAlign w:val="center"/>
                </w:tcPr>
                <w:p w14:paraId="1B07EDC1">
                  <w:pPr>
                    <w:widowControl/>
                    <w:jc w:val="center"/>
                    <w:textAlignment w:val="center"/>
                    <w:rPr>
                      <w:strike w:val="0"/>
                      <w:dstrike w:val="0"/>
                      <w:color w:val="auto"/>
                      <w:highlight w:val="none"/>
                    </w:rPr>
                  </w:pPr>
                </w:p>
              </w:tc>
              <w:tc>
                <w:tcPr>
                  <w:tcW w:w="1180" w:type="dxa"/>
                  <w:vMerge w:val="continue"/>
                  <w:vAlign w:val="center"/>
                </w:tcPr>
                <w:p w14:paraId="61B3E504">
                  <w:pPr>
                    <w:widowControl/>
                    <w:jc w:val="center"/>
                    <w:textAlignment w:val="center"/>
                    <w:rPr>
                      <w:strike w:val="0"/>
                      <w:dstrike w:val="0"/>
                      <w:color w:val="auto"/>
                      <w:highlight w:val="none"/>
                    </w:rPr>
                  </w:pPr>
                </w:p>
              </w:tc>
              <w:tc>
                <w:tcPr>
                  <w:tcW w:w="1119" w:type="dxa"/>
                  <w:vMerge w:val="continue"/>
                  <w:vAlign w:val="center"/>
                </w:tcPr>
                <w:p w14:paraId="0768CC2C">
                  <w:pPr>
                    <w:widowControl/>
                    <w:jc w:val="center"/>
                    <w:textAlignment w:val="center"/>
                    <w:rPr>
                      <w:strike w:val="0"/>
                      <w:dstrike w:val="0"/>
                      <w:color w:val="auto"/>
                      <w:highlight w:val="none"/>
                    </w:rPr>
                  </w:pPr>
                </w:p>
              </w:tc>
              <w:tc>
                <w:tcPr>
                  <w:tcW w:w="1153" w:type="dxa"/>
                  <w:shd w:val="clear" w:color="auto" w:fill="auto"/>
                  <w:vAlign w:val="center"/>
                </w:tcPr>
                <w:p w14:paraId="3056138A">
                  <w:pPr>
                    <w:widowControl/>
                    <w:jc w:val="center"/>
                    <w:rPr>
                      <w:bCs/>
                      <w:strike w:val="0"/>
                      <w:dstrike w:val="0"/>
                      <w:color w:val="auto"/>
                      <w:kern w:val="0"/>
                      <w:szCs w:val="21"/>
                      <w:highlight w:val="none"/>
                    </w:rPr>
                  </w:pPr>
                  <w:r>
                    <w:rPr>
                      <w:strike w:val="0"/>
                      <w:dstrike w:val="0"/>
                      <w:color w:val="auto"/>
                      <w:szCs w:val="21"/>
                      <w:highlight w:val="none"/>
                    </w:rPr>
                    <w:t>NH</w:t>
                  </w:r>
                  <w:r>
                    <w:rPr>
                      <w:strike w:val="0"/>
                      <w:dstrike w:val="0"/>
                      <w:color w:val="auto"/>
                      <w:szCs w:val="21"/>
                      <w:highlight w:val="none"/>
                      <w:vertAlign w:val="subscript"/>
                    </w:rPr>
                    <w:t>3</w:t>
                  </w:r>
                  <w:r>
                    <w:rPr>
                      <w:strike w:val="0"/>
                      <w:dstrike w:val="0"/>
                      <w:color w:val="auto"/>
                      <w:szCs w:val="21"/>
                      <w:highlight w:val="none"/>
                    </w:rPr>
                    <w:t>-N</w:t>
                  </w:r>
                </w:p>
              </w:tc>
              <w:tc>
                <w:tcPr>
                  <w:tcW w:w="1425" w:type="dxa"/>
                  <w:shd w:val="clear" w:color="auto" w:fill="auto"/>
                  <w:vAlign w:val="center"/>
                </w:tcPr>
                <w:p w14:paraId="79733717">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8</w:t>
                  </w:r>
                </w:p>
              </w:tc>
            </w:tr>
            <w:tr w14:paraId="776A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64" w:type="dxa"/>
                  <w:vMerge w:val="continue"/>
                  <w:vAlign w:val="center"/>
                </w:tcPr>
                <w:p w14:paraId="64EE9883">
                  <w:pPr>
                    <w:widowControl/>
                    <w:jc w:val="center"/>
                    <w:textAlignment w:val="center"/>
                    <w:rPr>
                      <w:bCs/>
                      <w:strike w:val="0"/>
                      <w:dstrike w:val="0"/>
                      <w:color w:val="auto"/>
                      <w:kern w:val="0"/>
                      <w:szCs w:val="21"/>
                      <w:highlight w:val="none"/>
                    </w:rPr>
                  </w:pPr>
                </w:p>
              </w:tc>
              <w:tc>
                <w:tcPr>
                  <w:tcW w:w="1225" w:type="dxa"/>
                  <w:vMerge w:val="continue"/>
                  <w:vAlign w:val="center"/>
                </w:tcPr>
                <w:p w14:paraId="6D9C8FB1">
                  <w:pPr>
                    <w:widowControl/>
                    <w:jc w:val="center"/>
                    <w:textAlignment w:val="center"/>
                    <w:rPr>
                      <w:bCs/>
                      <w:strike w:val="0"/>
                      <w:dstrike w:val="0"/>
                      <w:color w:val="auto"/>
                      <w:kern w:val="0"/>
                      <w:szCs w:val="21"/>
                      <w:highlight w:val="none"/>
                    </w:rPr>
                  </w:pPr>
                </w:p>
              </w:tc>
              <w:tc>
                <w:tcPr>
                  <w:tcW w:w="1482" w:type="dxa"/>
                  <w:vMerge w:val="continue"/>
                  <w:vAlign w:val="center"/>
                </w:tcPr>
                <w:p w14:paraId="4BEC4317">
                  <w:pPr>
                    <w:widowControl/>
                    <w:jc w:val="center"/>
                    <w:textAlignment w:val="center"/>
                    <w:rPr>
                      <w:bCs/>
                      <w:strike w:val="0"/>
                      <w:dstrike w:val="0"/>
                      <w:color w:val="auto"/>
                      <w:kern w:val="0"/>
                      <w:szCs w:val="21"/>
                      <w:highlight w:val="none"/>
                    </w:rPr>
                  </w:pPr>
                </w:p>
              </w:tc>
              <w:tc>
                <w:tcPr>
                  <w:tcW w:w="1326" w:type="dxa"/>
                  <w:vMerge w:val="continue"/>
                  <w:vAlign w:val="center"/>
                </w:tcPr>
                <w:p w14:paraId="1C7CC614">
                  <w:pPr>
                    <w:widowControl/>
                    <w:jc w:val="center"/>
                    <w:textAlignment w:val="center"/>
                    <w:rPr>
                      <w:bCs/>
                      <w:strike w:val="0"/>
                      <w:dstrike w:val="0"/>
                      <w:color w:val="auto"/>
                      <w:kern w:val="0"/>
                      <w:szCs w:val="21"/>
                      <w:highlight w:val="none"/>
                    </w:rPr>
                  </w:pPr>
                </w:p>
              </w:tc>
              <w:tc>
                <w:tcPr>
                  <w:tcW w:w="1145" w:type="dxa"/>
                  <w:vMerge w:val="continue"/>
                  <w:vAlign w:val="center"/>
                </w:tcPr>
                <w:p w14:paraId="277F5D83">
                  <w:pPr>
                    <w:widowControl/>
                    <w:jc w:val="center"/>
                    <w:textAlignment w:val="center"/>
                    <w:rPr>
                      <w:bCs/>
                      <w:strike w:val="0"/>
                      <w:dstrike w:val="0"/>
                      <w:color w:val="auto"/>
                      <w:kern w:val="0"/>
                      <w:szCs w:val="21"/>
                      <w:highlight w:val="none"/>
                    </w:rPr>
                  </w:pPr>
                </w:p>
              </w:tc>
              <w:tc>
                <w:tcPr>
                  <w:tcW w:w="1119" w:type="dxa"/>
                  <w:vMerge w:val="continue"/>
                  <w:vAlign w:val="center"/>
                </w:tcPr>
                <w:p w14:paraId="1E0BCAB2">
                  <w:pPr>
                    <w:widowControl/>
                    <w:jc w:val="center"/>
                    <w:textAlignment w:val="center"/>
                    <w:rPr>
                      <w:bCs/>
                      <w:strike w:val="0"/>
                      <w:dstrike w:val="0"/>
                      <w:color w:val="auto"/>
                      <w:kern w:val="0"/>
                      <w:szCs w:val="21"/>
                      <w:highlight w:val="none"/>
                    </w:rPr>
                  </w:pPr>
                </w:p>
              </w:tc>
              <w:tc>
                <w:tcPr>
                  <w:tcW w:w="1137" w:type="dxa"/>
                  <w:vMerge w:val="continue"/>
                  <w:vAlign w:val="center"/>
                </w:tcPr>
                <w:p w14:paraId="72DABB99">
                  <w:pPr>
                    <w:widowControl/>
                    <w:jc w:val="center"/>
                    <w:textAlignment w:val="center"/>
                    <w:rPr>
                      <w:bCs/>
                      <w:strike w:val="0"/>
                      <w:dstrike w:val="0"/>
                      <w:color w:val="auto"/>
                      <w:kern w:val="0"/>
                      <w:szCs w:val="21"/>
                      <w:highlight w:val="none"/>
                    </w:rPr>
                  </w:pPr>
                </w:p>
              </w:tc>
              <w:tc>
                <w:tcPr>
                  <w:tcW w:w="1180" w:type="dxa"/>
                  <w:vMerge w:val="continue"/>
                  <w:vAlign w:val="center"/>
                </w:tcPr>
                <w:p w14:paraId="6EA22041">
                  <w:pPr>
                    <w:widowControl/>
                    <w:jc w:val="center"/>
                    <w:textAlignment w:val="center"/>
                    <w:rPr>
                      <w:bCs/>
                      <w:strike w:val="0"/>
                      <w:dstrike w:val="0"/>
                      <w:color w:val="auto"/>
                      <w:kern w:val="0"/>
                      <w:szCs w:val="21"/>
                      <w:highlight w:val="none"/>
                    </w:rPr>
                  </w:pPr>
                </w:p>
              </w:tc>
              <w:tc>
                <w:tcPr>
                  <w:tcW w:w="1119" w:type="dxa"/>
                  <w:vMerge w:val="continue"/>
                  <w:vAlign w:val="center"/>
                </w:tcPr>
                <w:p w14:paraId="2368AFAB">
                  <w:pPr>
                    <w:widowControl/>
                    <w:jc w:val="center"/>
                    <w:textAlignment w:val="center"/>
                    <w:rPr>
                      <w:bCs/>
                      <w:strike w:val="0"/>
                      <w:dstrike w:val="0"/>
                      <w:color w:val="auto"/>
                      <w:kern w:val="0"/>
                      <w:szCs w:val="21"/>
                      <w:highlight w:val="none"/>
                    </w:rPr>
                  </w:pPr>
                </w:p>
              </w:tc>
              <w:tc>
                <w:tcPr>
                  <w:tcW w:w="1153" w:type="dxa"/>
                  <w:shd w:val="clear" w:color="auto" w:fill="auto"/>
                  <w:vAlign w:val="center"/>
                </w:tcPr>
                <w:p w14:paraId="73124600">
                  <w:pPr>
                    <w:jc w:val="center"/>
                    <w:rPr>
                      <w:strike w:val="0"/>
                      <w:dstrike w:val="0"/>
                      <w:color w:val="auto"/>
                      <w:szCs w:val="21"/>
                      <w:highlight w:val="none"/>
                    </w:rPr>
                  </w:pPr>
                  <w:r>
                    <w:rPr>
                      <w:strike w:val="0"/>
                      <w:dstrike w:val="0"/>
                      <w:color w:val="auto"/>
                      <w:szCs w:val="21"/>
                      <w:highlight w:val="none"/>
                    </w:rPr>
                    <w:t>石油类</w:t>
                  </w:r>
                </w:p>
              </w:tc>
              <w:tc>
                <w:tcPr>
                  <w:tcW w:w="1425" w:type="dxa"/>
                  <w:shd w:val="clear" w:color="auto" w:fill="auto"/>
                  <w:vAlign w:val="center"/>
                </w:tcPr>
                <w:p w14:paraId="1B8D3E58">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w:t>
                  </w:r>
                </w:p>
              </w:tc>
            </w:tr>
          </w:tbl>
          <w:p w14:paraId="05A6DD1A">
            <w:pPr>
              <w:snapToGrid w:val="0"/>
              <w:ind w:firstLine="482" w:firstLineChars="200"/>
              <w:jc w:val="center"/>
              <w:rPr>
                <w:b/>
                <w:strike w:val="0"/>
                <w:dstrike w:val="0"/>
                <w:color w:val="auto"/>
                <w:sz w:val="24"/>
                <w:szCs w:val="32"/>
                <w:highlight w:val="none"/>
              </w:rPr>
            </w:pPr>
            <w:r>
              <w:rPr>
                <w:b/>
                <w:bCs/>
                <w:strike w:val="0"/>
                <w:dstrike w:val="0"/>
                <w:color w:val="auto"/>
                <w:sz w:val="24"/>
                <w:szCs w:val="32"/>
                <w:highlight w:val="none"/>
              </w:rPr>
              <w:t>表4.2-1</w:t>
            </w:r>
            <w:r>
              <w:rPr>
                <w:rFonts w:hint="eastAsia"/>
                <w:b/>
                <w:bCs/>
                <w:strike w:val="0"/>
                <w:dstrike w:val="0"/>
                <w:color w:val="auto"/>
                <w:sz w:val="24"/>
                <w:szCs w:val="32"/>
                <w:highlight w:val="none"/>
                <w:lang w:val="en-US" w:eastAsia="zh-CN"/>
              </w:rPr>
              <w:t>2</w:t>
            </w:r>
            <w:r>
              <w:rPr>
                <w:b/>
                <w:bCs/>
                <w:strike w:val="0"/>
                <w:dstrike w:val="0"/>
                <w:color w:val="auto"/>
                <w:sz w:val="24"/>
                <w:szCs w:val="32"/>
                <w:highlight w:val="none"/>
              </w:rPr>
              <w:t xml:space="preserve">  污水</w:t>
            </w:r>
            <w:r>
              <w:rPr>
                <w:b/>
                <w:strike w:val="0"/>
                <w:dstrike w:val="0"/>
                <w:color w:val="auto"/>
                <w:sz w:val="24"/>
                <w:szCs w:val="32"/>
                <w:highlight w:val="none"/>
              </w:rPr>
              <w:t>污染物排放信息一览表</w:t>
            </w:r>
          </w:p>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9"/>
              <w:gridCol w:w="2223"/>
              <w:gridCol w:w="2214"/>
              <w:gridCol w:w="3360"/>
              <w:gridCol w:w="2612"/>
              <w:gridCol w:w="2290"/>
            </w:tblGrid>
            <w:tr w14:paraId="1633F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dxa"/>
                  <w:vAlign w:val="center"/>
                </w:tcPr>
                <w:p w14:paraId="22051B32">
                  <w:pPr>
                    <w:snapToGrid w:val="0"/>
                    <w:jc w:val="center"/>
                    <w:rPr>
                      <w:b/>
                      <w:strike w:val="0"/>
                      <w:dstrike w:val="0"/>
                      <w:color w:val="auto"/>
                      <w:szCs w:val="21"/>
                      <w:highlight w:val="none"/>
                    </w:rPr>
                  </w:pPr>
                  <w:r>
                    <w:rPr>
                      <w:b/>
                      <w:strike w:val="0"/>
                      <w:dstrike w:val="0"/>
                      <w:color w:val="auto"/>
                      <w:szCs w:val="21"/>
                      <w:highlight w:val="none"/>
                    </w:rPr>
                    <w:t>序号</w:t>
                  </w:r>
                </w:p>
              </w:tc>
              <w:tc>
                <w:tcPr>
                  <w:tcW w:w="2223" w:type="dxa"/>
                  <w:vAlign w:val="center"/>
                </w:tcPr>
                <w:p w14:paraId="463FCBD2">
                  <w:pPr>
                    <w:snapToGrid w:val="0"/>
                    <w:jc w:val="center"/>
                    <w:rPr>
                      <w:b/>
                      <w:strike w:val="0"/>
                      <w:dstrike w:val="0"/>
                      <w:color w:val="auto"/>
                      <w:szCs w:val="21"/>
                      <w:highlight w:val="none"/>
                    </w:rPr>
                  </w:pPr>
                  <w:r>
                    <w:rPr>
                      <w:b/>
                      <w:strike w:val="0"/>
                      <w:dstrike w:val="0"/>
                      <w:color w:val="auto"/>
                      <w:szCs w:val="21"/>
                      <w:highlight w:val="none"/>
                    </w:rPr>
                    <w:t>排放口编号</w:t>
                  </w:r>
                </w:p>
              </w:tc>
              <w:tc>
                <w:tcPr>
                  <w:tcW w:w="2214" w:type="dxa"/>
                  <w:vAlign w:val="center"/>
                </w:tcPr>
                <w:p w14:paraId="046249CE">
                  <w:pPr>
                    <w:snapToGrid w:val="0"/>
                    <w:jc w:val="center"/>
                    <w:rPr>
                      <w:b/>
                      <w:strike w:val="0"/>
                      <w:dstrike w:val="0"/>
                      <w:color w:val="auto"/>
                      <w:szCs w:val="21"/>
                      <w:highlight w:val="none"/>
                    </w:rPr>
                  </w:pPr>
                  <w:r>
                    <w:rPr>
                      <w:b/>
                      <w:strike w:val="0"/>
                      <w:dstrike w:val="0"/>
                      <w:color w:val="auto"/>
                      <w:szCs w:val="21"/>
                      <w:highlight w:val="none"/>
                    </w:rPr>
                    <w:t>污染物种类</w:t>
                  </w:r>
                </w:p>
              </w:tc>
              <w:tc>
                <w:tcPr>
                  <w:tcW w:w="3360" w:type="dxa"/>
                  <w:vAlign w:val="center"/>
                </w:tcPr>
                <w:p w14:paraId="5346F9B9">
                  <w:pPr>
                    <w:snapToGrid w:val="0"/>
                    <w:jc w:val="center"/>
                    <w:rPr>
                      <w:b/>
                      <w:strike w:val="0"/>
                      <w:dstrike w:val="0"/>
                      <w:color w:val="auto"/>
                      <w:szCs w:val="21"/>
                      <w:highlight w:val="none"/>
                    </w:rPr>
                  </w:pPr>
                  <w:r>
                    <w:rPr>
                      <w:b/>
                      <w:strike w:val="0"/>
                      <w:dstrike w:val="0"/>
                      <w:color w:val="auto"/>
                      <w:szCs w:val="21"/>
                      <w:highlight w:val="none"/>
                    </w:rPr>
                    <w:t>排放浓度（mg/L）</w:t>
                  </w:r>
                </w:p>
              </w:tc>
              <w:tc>
                <w:tcPr>
                  <w:tcW w:w="2612" w:type="dxa"/>
                  <w:vAlign w:val="center"/>
                </w:tcPr>
                <w:p w14:paraId="1B04B400">
                  <w:pPr>
                    <w:snapToGrid w:val="0"/>
                    <w:jc w:val="center"/>
                    <w:rPr>
                      <w:b/>
                      <w:strike w:val="0"/>
                      <w:dstrike w:val="0"/>
                      <w:color w:val="auto"/>
                      <w:szCs w:val="21"/>
                      <w:highlight w:val="none"/>
                    </w:rPr>
                  </w:pPr>
                  <w:r>
                    <w:rPr>
                      <w:b/>
                      <w:strike w:val="0"/>
                      <w:dstrike w:val="0"/>
                      <w:color w:val="auto"/>
                      <w:szCs w:val="21"/>
                      <w:highlight w:val="none"/>
                    </w:rPr>
                    <w:t>日排放量（kg/d）</w:t>
                  </w:r>
                </w:p>
              </w:tc>
              <w:tc>
                <w:tcPr>
                  <w:tcW w:w="2290" w:type="dxa"/>
                  <w:vAlign w:val="center"/>
                </w:tcPr>
                <w:p w14:paraId="6E78A320">
                  <w:pPr>
                    <w:snapToGrid w:val="0"/>
                    <w:jc w:val="center"/>
                    <w:rPr>
                      <w:b/>
                      <w:strike w:val="0"/>
                      <w:dstrike w:val="0"/>
                      <w:color w:val="auto"/>
                      <w:szCs w:val="21"/>
                      <w:highlight w:val="none"/>
                    </w:rPr>
                  </w:pPr>
                  <w:r>
                    <w:rPr>
                      <w:b/>
                      <w:strike w:val="0"/>
                      <w:dstrike w:val="0"/>
                      <w:color w:val="auto"/>
                      <w:szCs w:val="21"/>
                      <w:highlight w:val="none"/>
                    </w:rPr>
                    <w:t>年排放量（t/a）</w:t>
                  </w:r>
                </w:p>
              </w:tc>
            </w:tr>
            <w:tr w14:paraId="591E1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 w:hRule="atLeast"/>
              </w:trPr>
              <w:tc>
                <w:tcPr>
                  <w:tcW w:w="1249" w:type="dxa"/>
                  <w:shd w:val="clear" w:color="auto" w:fill="auto"/>
                  <w:vAlign w:val="center"/>
                </w:tcPr>
                <w:p w14:paraId="66F7C454">
                  <w:pPr>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1</w:t>
                  </w:r>
                </w:p>
              </w:tc>
              <w:tc>
                <w:tcPr>
                  <w:tcW w:w="2223" w:type="dxa"/>
                  <w:vMerge w:val="restart"/>
                  <w:vAlign w:val="center"/>
                </w:tcPr>
                <w:p w14:paraId="17E29A6B">
                  <w:pPr>
                    <w:snapToGrid w:val="0"/>
                    <w:jc w:val="center"/>
                    <w:rPr>
                      <w:b/>
                      <w:strike w:val="0"/>
                      <w:dstrike w:val="0"/>
                      <w:color w:val="auto"/>
                      <w:szCs w:val="21"/>
                      <w:highlight w:val="none"/>
                    </w:rPr>
                  </w:pPr>
                  <w:r>
                    <w:rPr>
                      <w:strike w:val="0"/>
                      <w:dstrike w:val="0"/>
                      <w:color w:val="auto"/>
                      <w:szCs w:val="21"/>
                      <w:highlight w:val="none"/>
                    </w:rPr>
                    <w:t>DW001</w:t>
                  </w:r>
                </w:p>
              </w:tc>
              <w:tc>
                <w:tcPr>
                  <w:tcW w:w="2214" w:type="dxa"/>
                  <w:shd w:val="clear" w:color="auto" w:fill="auto"/>
                  <w:vAlign w:val="center"/>
                </w:tcPr>
                <w:p w14:paraId="0157F2A0">
                  <w:pPr>
                    <w:widowControl/>
                    <w:jc w:val="center"/>
                    <w:rPr>
                      <w:rFonts w:hint="default" w:ascii="Times New Roman" w:hAnsi="Times New Roman" w:eastAsia="宋体" w:cs="Times New Roman"/>
                      <w:bCs/>
                      <w:strike w:val="0"/>
                      <w:dstrike w:val="0"/>
                      <w:color w:val="auto"/>
                      <w:kern w:val="0"/>
                      <w:sz w:val="21"/>
                      <w:szCs w:val="21"/>
                      <w:highlight w:val="none"/>
                      <w:lang w:val="en-US" w:eastAsia="zh-CN" w:bidi="ar-SA"/>
                    </w:rPr>
                  </w:pPr>
                  <w:r>
                    <w:rPr>
                      <w:rFonts w:hint="eastAsia"/>
                      <w:bCs/>
                      <w:strike w:val="0"/>
                      <w:dstrike w:val="0"/>
                      <w:color w:val="auto"/>
                      <w:kern w:val="0"/>
                      <w:szCs w:val="21"/>
                      <w:highlight w:val="none"/>
                      <w:lang w:val="en-US" w:eastAsia="zh-CN"/>
                    </w:rPr>
                    <w:t>pH</w:t>
                  </w:r>
                </w:p>
              </w:tc>
              <w:tc>
                <w:tcPr>
                  <w:tcW w:w="3360" w:type="dxa"/>
                  <w:shd w:val="clear" w:color="auto" w:fill="auto"/>
                  <w:vAlign w:val="center"/>
                </w:tcPr>
                <w:p w14:paraId="5EC87190">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lang w:val="en-US" w:eastAsia="zh-CN" w:bidi="ar"/>
                    </w:rPr>
                  </w:pPr>
                  <w:r>
                    <w:rPr>
                      <w:rFonts w:hint="eastAsia" w:cs="Times New Roman"/>
                      <w:i w:val="0"/>
                      <w:iCs w:val="0"/>
                      <w:strike w:val="0"/>
                      <w:dstrike w:val="0"/>
                      <w:color w:val="auto"/>
                      <w:kern w:val="0"/>
                      <w:sz w:val="21"/>
                      <w:szCs w:val="21"/>
                      <w:highlight w:val="none"/>
                      <w:u w:val="none"/>
                      <w:lang w:val="en-US" w:eastAsia="zh-CN" w:bidi="ar"/>
                    </w:rPr>
                    <w:t>/</w:t>
                  </w:r>
                </w:p>
              </w:tc>
              <w:tc>
                <w:tcPr>
                  <w:tcW w:w="2612" w:type="dxa"/>
                  <w:shd w:val="clear" w:color="auto" w:fill="auto"/>
                  <w:vAlign w:val="center"/>
                </w:tcPr>
                <w:p w14:paraId="4C52542A">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lang w:val="en-US" w:eastAsia="zh-CN" w:bidi="ar"/>
                    </w:rPr>
                  </w:pPr>
                  <w:r>
                    <w:rPr>
                      <w:rFonts w:hint="eastAsia" w:cs="Times New Roman"/>
                      <w:i w:val="0"/>
                      <w:iCs w:val="0"/>
                      <w:strike w:val="0"/>
                      <w:dstrike w:val="0"/>
                      <w:color w:val="auto"/>
                      <w:kern w:val="0"/>
                      <w:sz w:val="21"/>
                      <w:szCs w:val="21"/>
                      <w:highlight w:val="none"/>
                      <w:u w:val="none"/>
                      <w:lang w:val="en-US" w:eastAsia="zh-CN" w:bidi="ar"/>
                    </w:rPr>
                    <w:t>/</w:t>
                  </w:r>
                </w:p>
              </w:tc>
              <w:tc>
                <w:tcPr>
                  <w:tcW w:w="2290" w:type="dxa"/>
                  <w:vAlign w:val="center"/>
                </w:tcPr>
                <w:p w14:paraId="0AB183C9">
                  <w:pPr>
                    <w:keepNext w:val="0"/>
                    <w:keepLines w:val="0"/>
                    <w:widowControl/>
                    <w:suppressLineNumbers w:val="0"/>
                    <w:jc w:val="center"/>
                    <w:textAlignment w:val="center"/>
                    <w:rPr>
                      <w:b/>
                      <w:strike w:val="0"/>
                      <w:dstrike w:val="0"/>
                      <w:color w:val="auto"/>
                      <w:szCs w:val="21"/>
                      <w:highlight w:val="none"/>
                    </w:rPr>
                  </w:pPr>
                  <w:r>
                    <w:rPr>
                      <w:rFonts w:hint="eastAsia" w:cs="Times New Roman"/>
                      <w:i w:val="0"/>
                      <w:iCs w:val="0"/>
                      <w:strike w:val="0"/>
                      <w:dstrike w:val="0"/>
                      <w:color w:val="auto"/>
                      <w:kern w:val="0"/>
                      <w:sz w:val="21"/>
                      <w:szCs w:val="21"/>
                      <w:highlight w:val="none"/>
                      <w:u w:val="none"/>
                      <w:lang w:val="en-US" w:eastAsia="zh-CN" w:bidi="ar"/>
                    </w:rPr>
                    <w:t>/</w:t>
                  </w:r>
                </w:p>
              </w:tc>
            </w:tr>
            <w:tr w14:paraId="1F278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dxa"/>
                  <w:shd w:val="clear" w:color="auto" w:fill="auto"/>
                  <w:vAlign w:val="center"/>
                </w:tcPr>
                <w:p w14:paraId="6CB0F463">
                  <w:pPr>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2</w:t>
                  </w:r>
                </w:p>
              </w:tc>
              <w:tc>
                <w:tcPr>
                  <w:tcW w:w="2223" w:type="dxa"/>
                  <w:vMerge w:val="continue"/>
                  <w:vAlign w:val="center"/>
                </w:tcPr>
                <w:p w14:paraId="6F35C52C">
                  <w:pPr>
                    <w:snapToGrid w:val="0"/>
                    <w:jc w:val="center"/>
                    <w:rPr>
                      <w:b/>
                      <w:strike w:val="0"/>
                      <w:dstrike w:val="0"/>
                      <w:color w:val="auto"/>
                      <w:szCs w:val="21"/>
                      <w:highlight w:val="none"/>
                    </w:rPr>
                  </w:pPr>
                </w:p>
              </w:tc>
              <w:tc>
                <w:tcPr>
                  <w:tcW w:w="2214" w:type="dxa"/>
                  <w:shd w:val="clear" w:color="auto" w:fill="auto"/>
                  <w:vAlign w:val="center"/>
                </w:tcPr>
                <w:p w14:paraId="74969D6C">
                  <w:pPr>
                    <w:widowControl/>
                    <w:jc w:val="center"/>
                    <w:rPr>
                      <w:bCs/>
                      <w:strike w:val="0"/>
                      <w:dstrike w:val="0"/>
                      <w:color w:val="auto"/>
                      <w:kern w:val="0"/>
                      <w:szCs w:val="21"/>
                      <w:highlight w:val="none"/>
                    </w:rPr>
                  </w:pPr>
                  <w:r>
                    <w:rPr>
                      <w:bCs/>
                      <w:strike w:val="0"/>
                      <w:dstrike w:val="0"/>
                      <w:color w:val="auto"/>
                      <w:kern w:val="0"/>
                      <w:szCs w:val="21"/>
                      <w:highlight w:val="none"/>
                    </w:rPr>
                    <w:t>COD</w:t>
                  </w:r>
                </w:p>
              </w:tc>
              <w:tc>
                <w:tcPr>
                  <w:tcW w:w="3360" w:type="dxa"/>
                  <w:shd w:val="clear" w:color="auto" w:fill="auto"/>
                  <w:vAlign w:val="center"/>
                </w:tcPr>
                <w:p w14:paraId="6AF840B3">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50</w:t>
                  </w:r>
                </w:p>
              </w:tc>
              <w:tc>
                <w:tcPr>
                  <w:tcW w:w="2612" w:type="dxa"/>
                  <w:shd w:val="clear" w:color="auto" w:fill="auto"/>
                  <w:vAlign w:val="center"/>
                </w:tcPr>
                <w:p w14:paraId="323BAD02">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0.1997 </w:t>
                  </w:r>
                </w:p>
              </w:tc>
              <w:tc>
                <w:tcPr>
                  <w:tcW w:w="2290" w:type="dxa"/>
                  <w:shd w:val="clear" w:color="auto" w:fill="auto"/>
                  <w:vAlign w:val="center"/>
                </w:tcPr>
                <w:p w14:paraId="7E5CE362">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0.0729 </w:t>
                  </w:r>
                </w:p>
              </w:tc>
            </w:tr>
            <w:tr w14:paraId="6004C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dxa"/>
                  <w:shd w:val="clear" w:color="auto" w:fill="auto"/>
                  <w:vAlign w:val="center"/>
                </w:tcPr>
                <w:p w14:paraId="41D92F28">
                  <w:pPr>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3</w:t>
                  </w:r>
                </w:p>
              </w:tc>
              <w:tc>
                <w:tcPr>
                  <w:tcW w:w="2223" w:type="dxa"/>
                  <w:vMerge w:val="continue"/>
                  <w:vAlign w:val="center"/>
                </w:tcPr>
                <w:p w14:paraId="39689B6E">
                  <w:pPr>
                    <w:snapToGrid w:val="0"/>
                    <w:jc w:val="center"/>
                    <w:rPr>
                      <w:b/>
                      <w:strike w:val="0"/>
                      <w:dstrike w:val="0"/>
                      <w:color w:val="auto"/>
                      <w:szCs w:val="21"/>
                      <w:highlight w:val="none"/>
                    </w:rPr>
                  </w:pPr>
                </w:p>
              </w:tc>
              <w:tc>
                <w:tcPr>
                  <w:tcW w:w="2214" w:type="dxa"/>
                  <w:shd w:val="clear" w:color="auto" w:fill="auto"/>
                  <w:vAlign w:val="center"/>
                </w:tcPr>
                <w:p w14:paraId="33E5626E">
                  <w:pPr>
                    <w:widowControl/>
                    <w:jc w:val="center"/>
                    <w:rPr>
                      <w:bCs/>
                      <w:strike w:val="0"/>
                      <w:dstrike w:val="0"/>
                      <w:color w:val="auto"/>
                      <w:kern w:val="0"/>
                      <w:szCs w:val="21"/>
                      <w:highlight w:val="none"/>
                    </w:rPr>
                  </w:pPr>
                  <w:r>
                    <w:rPr>
                      <w:strike w:val="0"/>
                      <w:dstrike w:val="0"/>
                      <w:color w:val="auto"/>
                      <w:szCs w:val="21"/>
                      <w:highlight w:val="none"/>
                    </w:rPr>
                    <w:t>BOD</w:t>
                  </w:r>
                  <w:r>
                    <w:rPr>
                      <w:strike w:val="0"/>
                      <w:dstrike w:val="0"/>
                      <w:color w:val="auto"/>
                      <w:szCs w:val="21"/>
                      <w:highlight w:val="none"/>
                      <w:vertAlign w:val="subscript"/>
                    </w:rPr>
                    <w:t>5</w:t>
                  </w:r>
                </w:p>
              </w:tc>
              <w:tc>
                <w:tcPr>
                  <w:tcW w:w="3360" w:type="dxa"/>
                  <w:shd w:val="clear" w:color="auto" w:fill="auto"/>
                  <w:vAlign w:val="center"/>
                </w:tcPr>
                <w:p w14:paraId="5E4A19AD">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10</w:t>
                  </w:r>
                </w:p>
              </w:tc>
              <w:tc>
                <w:tcPr>
                  <w:tcW w:w="2612" w:type="dxa"/>
                  <w:shd w:val="clear" w:color="auto" w:fill="auto"/>
                  <w:vAlign w:val="center"/>
                </w:tcPr>
                <w:p w14:paraId="41C04F92">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0.0399 </w:t>
                  </w:r>
                </w:p>
              </w:tc>
              <w:tc>
                <w:tcPr>
                  <w:tcW w:w="2290" w:type="dxa"/>
                  <w:shd w:val="clear" w:color="auto" w:fill="auto"/>
                  <w:vAlign w:val="center"/>
                </w:tcPr>
                <w:p w14:paraId="20A707DE">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p>
              </w:tc>
            </w:tr>
            <w:tr w14:paraId="08C6D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dxa"/>
                  <w:shd w:val="clear" w:color="auto" w:fill="auto"/>
                  <w:vAlign w:val="center"/>
                </w:tcPr>
                <w:p w14:paraId="725E33AE">
                  <w:pPr>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4</w:t>
                  </w:r>
                </w:p>
              </w:tc>
              <w:tc>
                <w:tcPr>
                  <w:tcW w:w="2223" w:type="dxa"/>
                  <w:vMerge w:val="continue"/>
                  <w:vAlign w:val="center"/>
                </w:tcPr>
                <w:p w14:paraId="16A724BB">
                  <w:pPr>
                    <w:snapToGrid w:val="0"/>
                    <w:jc w:val="center"/>
                    <w:rPr>
                      <w:b/>
                      <w:strike w:val="0"/>
                      <w:dstrike w:val="0"/>
                      <w:color w:val="auto"/>
                      <w:szCs w:val="21"/>
                      <w:highlight w:val="none"/>
                    </w:rPr>
                  </w:pPr>
                </w:p>
              </w:tc>
              <w:tc>
                <w:tcPr>
                  <w:tcW w:w="2214" w:type="dxa"/>
                  <w:shd w:val="clear" w:color="auto" w:fill="auto"/>
                  <w:vAlign w:val="center"/>
                </w:tcPr>
                <w:p w14:paraId="352AE85A">
                  <w:pPr>
                    <w:widowControl/>
                    <w:jc w:val="center"/>
                    <w:rPr>
                      <w:bCs/>
                      <w:strike w:val="0"/>
                      <w:dstrike w:val="0"/>
                      <w:color w:val="auto"/>
                      <w:kern w:val="0"/>
                      <w:szCs w:val="21"/>
                      <w:highlight w:val="none"/>
                    </w:rPr>
                  </w:pPr>
                  <w:r>
                    <w:rPr>
                      <w:bCs/>
                      <w:strike w:val="0"/>
                      <w:dstrike w:val="0"/>
                      <w:color w:val="auto"/>
                      <w:kern w:val="0"/>
                      <w:szCs w:val="21"/>
                      <w:highlight w:val="none"/>
                    </w:rPr>
                    <w:t>SS</w:t>
                  </w:r>
                </w:p>
              </w:tc>
              <w:tc>
                <w:tcPr>
                  <w:tcW w:w="3360" w:type="dxa"/>
                  <w:shd w:val="clear" w:color="auto" w:fill="auto"/>
                  <w:vAlign w:val="center"/>
                </w:tcPr>
                <w:p w14:paraId="091577E6">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10</w:t>
                  </w:r>
                </w:p>
              </w:tc>
              <w:tc>
                <w:tcPr>
                  <w:tcW w:w="2612" w:type="dxa"/>
                  <w:shd w:val="clear" w:color="auto" w:fill="auto"/>
                  <w:vAlign w:val="center"/>
                </w:tcPr>
                <w:p w14:paraId="28FFA9DF">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0.0399 </w:t>
                  </w:r>
                </w:p>
              </w:tc>
              <w:tc>
                <w:tcPr>
                  <w:tcW w:w="2290" w:type="dxa"/>
                  <w:shd w:val="clear" w:color="auto" w:fill="auto"/>
                  <w:vAlign w:val="center"/>
                </w:tcPr>
                <w:p w14:paraId="4A83505D">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p>
              </w:tc>
            </w:tr>
            <w:tr w14:paraId="42404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dxa"/>
                  <w:vAlign w:val="center"/>
                </w:tcPr>
                <w:p w14:paraId="3A1423F3">
                  <w:pPr>
                    <w:snapToGrid w:val="0"/>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5</w:t>
                  </w:r>
                </w:p>
              </w:tc>
              <w:tc>
                <w:tcPr>
                  <w:tcW w:w="2223" w:type="dxa"/>
                  <w:vMerge w:val="continue"/>
                  <w:vAlign w:val="center"/>
                </w:tcPr>
                <w:p w14:paraId="6F84A980">
                  <w:pPr>
                    <w:snapToGrid w:val="0"/>
                    <w:jc w:val="center"/>
                    <w:rPr>
                      <w:b/>
                      <w:strike w:val="0"/>
                      <w:dstrike w:val="0"/>
                      <w:color w:val="auto"/>
                      <w:szCs w:val="21"/>
                      <w:highlight w:val="none"/>
                    </w:rPr>
                  </w:pPr>
                </w:p>
              </w:tc>
              <w:tc>
                <w:tcPr>
                  <w:tcW w:w="2214" w:type="dxa"/>
                  <w:shd w:val="clear" w:color="auto" w:fill="auto"/>
                  <w:vAlign w:val="center"/>
                </w:tcPr>
                <w:p w14:paraId="0D966C23">
                  <w:pPr>
                    <w:widowControl/>
                    <w:jc w:val="center"/>
                    <w:rPr>
                      <w:bCs/>
                      <w:strike w:val="0"/>
                      <w:dstrike w:val="0"/>
                      <w:color w:val="auto"/>
                      <w:kern w:val="0"/>
                      <w:szCs w:val="21"/>
                      <w:highlight w:val="none"/>
                    </w:rPr>
                  </w:pPr>
                  <w:r>
                    <w:rPr>
                      <w:strike w:val="0"/>
                      <w:dstrike w:val="0"/>
                      <w:color w:val="auto"/>
                      <w:szCs w:val="21"/>
                      <w:highlight w:val="none"/>
                    </w:rPr>
                    <w:t>NH</w:t>
                  </w:r>
                  <w:r>
                    <w:rPr>
                      <w:strike w:val="0"/>
                      <w:dstrike w:val="0"/>
                      <w:color w:val="auto"/>
                      <w:szCs w:val="21"/>
                      <w:highlight w:val="none"/>
                      <w:vertAlign w:val="subscript"/>
                    </w:rPr>
                    <w:t>3</w:t>
                  </w:r>
                  <w:r>
                    <w:rPr>
                      <w:strike w:val="0"/>
                      <w:dstrike w:val="0"/>
                      <w:color w:val="auto"/>
                      <w:szCs w:val="21"/>
                      <w:highlight w:val="none"/>
                    </w:rPr>
                    <w:t>-N</w:t>
                  </w:r>
                </w:p>
              </w:tc>
              <w:tc>
                <w:tcPr>
                  <w:tcW w:w="3360" w:type="dxa"/>
                  <w:shd w:val="clear" w:color="auto" w:fill="auto"/>
                  <w:vAlign w:val="center"/>
                </w:tcPr>
                <w:p w14:paraId="0B5FFE01">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8</w:t>
                  </w:r>
                </w:p>
              </w:tc>
              <w:tc>
                <w:tcPr>
                  <w:tcW w:w="2612" w:type="dxa"/>
                  <w:shd w:val="clear" w:color="auto" w:fill="auto"/>
                  <w:vAlign w:val="center"/>
                </w:tcPr>
                <w:p w14:paraId="56401C3B">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0.0320 </w:t>
                  </w:r>
                </w:p>
              </w:tc>
              <w:tc>
                <w:tcPr>
                  <w:tcW w:w="2290" w:type="dxa"/>
                  <w:shd w:val="clear" w:color="auto" w:fill="auto"/>
                  <w:vAlign w:val="center"/>
                </w:tcPr>
                <w:p w14:paraId="1552D9A7">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0.0117 </w:t>
                  </w:r>
                </w:p>
              </w:tc>
            </w:tr>
            <w:tr w14:paraId="142C4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dxa"/>
                  <w:vAlign w:val="center"/>
                </w:tcPr>
                <w:p w14:paraId="29EF5B30">
                  <w:pPr>
                    <w:snapToGrid w:val="0"/>
                    <w:jc w:val="center"/>
                    <w:rPr>
                      <w:strike w:val="0"/>
                      <w:dstrike w:val="0"/>
                      <w:color w:val="auto"/>
                      <w:szCs w:val="21"/>
                      <w:highlight w:val="none"/>
                    </w:rPr>
                  </w:pPr>
                  <w:r>
                    <w:rPr>
                      <w:strike w:val="0"/>
                      <w:dstrike w:val="0"/>
                      <w:color w:val="auto"/>
                      <w:szCs w:val="21"/>
                      <w:highlight w:val="none"/>
                    </w:rPr>
                    <w:t>6</w:t>
                  </w:r>
                </w:p>
              </w:tc>
              <w:tc>
                <w:tcPr>
                  <w:tcW w:w="2223" w:type="dxa"/>
                  <w:vMerge w:val="continue"/>
                  <w:vAlign w:val="center"/>
                </w:tcPr>
                <w:p w14:paraId="41BD0AB5">
                  <w:pPr>
                    <w:snapToGrid w:val="0"/>
                    <w:jc w:val="center"/>
                    <w:rPr>
                      <w:b/>
                      <w:strike w:val="0"/>
                      <w:dstrike w:val="0"/>
                      <w:color w:val="auto"/>
                      <w:szCs w:val="21"/>
                      <w:highlight w:val="none"/>
                    </w:rPr>
                  </w:pPr>
                </w:p>
              </w:tc>
              <w:tc>
                <w:tcPr>
                  <w:tcW w:w="2214" w:type="dxa"/>
                  <w:shd w:val="clear" w:color="auto" w:fill="auto"/>
                  <w:vAlign w:val="center"/>
                </w:tcPr>
                <w:p w14:paraId="10E699F4">
                  <w:pPr>
                    <w:jc w:val="center"/>
                    <w:rPr>
                      <w:strike w:val="0"/>
                      <w:dstrike w:val="0"/>
                      <w:color w:val="auto"/>
                      <w:szCs w:val="21"/>
                      <w:highlight w:val="none"/>
                    </w:rPr>
                  </w:pPr>
                  <w:r>
                    <w:rPr>
                      <w:strike w:val="0"/>
                      <w:dstrike w:val="0"/>
                      <w:color w:val="auto"/>
                      <w:szCs w:val="21"/>
                      <w:highlight w:val="none"/>
                    </w:rPr>
                    <w:t>石油类</w:t>
                  </w:r>
                </w:p>
              </w:tc>
              <w:tc>
                <w:tcPr>
                  <w:tcW w:w="3360" w:type="dxa"/>
                  <w:shd w:val="clear" w:color="auto" w:fill="auto"/>
                  <w:vAlign w:val="center"/>
                </w:tcPr>
                <w:p w14:paraId="1A8E168E">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w:t>
                  </w:r>
                </w:p>
              </w:tc>
              <w:tc>
                <w:tcPr>
                  <w:tcW w:w="2612" w:type="dxa"/>
                  <w:shd w:val="clear" w:color="auto" w:fill="auto"/>
                  <w:vAlign w:val="center"/>
                </w:tcPr>
                <w:p w14:paraId="6A711243">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0.0040 </w:t>
                  </w:r>
                </w:p>
              </w:tc>
              <w:tc>
                <w:tcPr>
                  <w:tcW w:w="2290" w:type="dxa"/>
                  <w:shd w:val="clear" w:color="auto" w:fill="auto"/>
                  <w:vAlign w:val="center"/>
                </w:tcPr>
                <w:p w14:paraId="32410884">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0.0015 </w:t>
                  </w:r>
                </w:p>
              </w:tc>
            </w:tr>
            <w:tr w14:paraId="2D045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2" w:type="dxa"/>
                  <w:gridSpan w:val="2"/>
                  <w:vMerge w:val="restart"/>
                  <w:vAlign w:val="center"/>
                </w:tcPr>
                <w:p w14:paraId="01F4EF30">
                  <w:pPr>
                    <w:snapToGrid w:val="0"/>
                    <w:jc w:val="center"/>
                    <w:rPr>
                      <w:strike w:val="0"/>
                      <w:dstrike w:val="0"/>
                      <w:color w:val="auto"/>
                      <w:szCs w:val="21"/>
                      <w:highlight w:val="none"/>
                    </w:rPr>
                  </w:pPr>
                  <w:r>
                    <w:rPr>
                      <w:strike w:val="0"/>
                      <w:dstrike w:val="0"/>
                      <w:color w:val="auto"/>
                      <w:szCs w:val="21"/>
                      <w:highlight w:val="none"/>
                    </w:rPr>
                    <w:t>全厂排放口合计</w:t>
                  </w:r>
                </w:p>
              </w:tc>
              <w:tc>
                <w:tcPr>
                  <w:tcW w:w="8186" w:type="dxa"/>
                  <w:gridSpan w:val="3"/>
                  <w:shd w:val="clear" w:color="auto" w:fill="auto"/>
                  <w:vAlign w:val="center"/>
                </w:tcPr>
                <w:p w14:paraId="27208E0A">
                  <w:pPr>
                    <w:widowControl/>
                    <w:jc w:val="center"/>
                    <w:rPr>
                      <w:rFonts w:hint="default" w:eastAsia="宋体"/>
                      <w:bCs/>
                      <w:strike w:val="0"/>
                      <w:dstrike w:val="0"/>
                      <w:color w:val="auto"/>
                      <w:kern w:val="0"/>
                      <w:szCs w:val="21"/>
                      <w:highlight w:val="none"/>
                      <w:lang w:val="en-US" w:eastAsia="zh-CN"/>
                    </w:rPr>
                  </w:pPr>
                  <w:r>
                    <w:rPr>
                      <w:rFonts w:hint="eastAsia"/>
                      <w:bCs/>
                      <w:strike w:val="0"/>
                      <w:dstrike w:val="0"/>
                      <w:color w:val="auto"/>
                      <w:kern w:val="0"/>
                      <w:szCs w:val="21"/>
                      <w:highlight w:val="none"/>
                      <w:lang w:val="en-US" w:eastAsia="zh-CN"/>
                    </w:rPr>
                    <w:t>pH</w:t>
                  </w:r>
                </w:p>
              </w:tc>
              <w:tc>
                <w:tcPr>
                  <w:tcW w:w="2290" w:type="dxa"/>
                  <w:shd w:val="clear" w:color="auto" w:fill="auto"/>
                  <w:vAlign w:val="center"/>
                </w:tcPr>
                <w:p w14:paraId="0E49632B">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lang w:val="en-US" w:eastAsia="zh-CN" w:bidi="ar"/>
                    </w:rPr>
                  </w:pPr>
                  <w:r>
                    <w:rPr>
                      <w:rFonts w:hint="eastAsia" w:cs="Times New Roman"/>
                      <w:i w:val="0"/>
                      <w:iCs w:val="0"/>
                      <w:strike w:val="0"/>
                      <w:dstrike w:val="0"/>
                      <w:color w:val="auto"/>
                      <w:kern w:val="0"/>
                      <w:sz w:val="21"/>
                      <w:szCs w:val="21"/>
                      <w:highlight w:val="none"/>
                      <w:u w:val="none"/>
                      <w:lang w:val="en-US" w:eastAsia="zh-CN" w:bidi="ar"/>
                    </w:rPr>
                    <w:t>/</w:t>
                  </w:r>
                </w:p>
              </w:tc>
            </w:tr>
            <w:tr w14:paraId="214AA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2" w:type="dxa"/>
                  <w:gridSpan w:val="2"/>
                  <w:vMerge w:val="continue"/>
                  <w:vAlign w:val="center"/>
                </w:tcPr>
                <w:p w14:paraId="0C4C7607">
                  <w:pPr>
                    <w:snapToGrid w:val="0"/>
                    <w:jc w:val="center"/>
                    <w:rPr>
                      <w:strike w:val="0"/>
                      <w:dstrike w:val="0"/>
                      <w:color w:val="auto"/>
                      <w:szCs w:val="21"/>
                      <w:highlight w:val="none"/>
                    </w:rPr>
                  </w:pPr>
                </w:p>
              </w:tc>
              <w:tc>
                <w:tcPr>
                  <w:tcW w:w="8186" w:type="dxa"/>
                  <w:gridSpan w:val="3"/>
                  <w:shd w:val="clear" w:color="auto" w:fill="auto"/>
                  <w:vAlign w:val="center"/>
                </w:tcPr>
                <w:p w14:paraId="237C76B9">
                  <w:pPr>
                    <w:widowControl/>
                    <w:jc w:val="center"/>
                    <w:rPr>
                      <w:rFonts w:ascii="Times New Roman" w:hAnsi="Times New Roman" w:eastAsia="宋体" w:cs="Times New Roman"/>
                      <w:bCs/>
                      <w:strike w:val="0"/>
                      <w:dstrike w:val="0"/>
                      <w:color w:val="auto"/>
                      <w:kern w:val="0"/>
                      <w:sz w:val="21"/>
                      <w:szCs w:val="21"/>
                      <w:highlight w:val="none"/>
                      <w:lang w:val="en-US" w:eastAsia="zh-CN" w:bidi="ar-SA"/>
                    </w:rPr>
                  </w:pPr>
                  <w:r>
                    <w:rPr>
                      <w:bCs/>
                      <w:strike w:val="0"/>
                      <w:dstrike w:val="0"/>
                      <w:color w:val="auto"/>
                      <w:kern w:val="0"/>
                      <w:szCs w:val="21"/>
                      <w:highlight w:val="none"/>
                    </w:rPr>
                    <w:t>COD</w:t>
                  </w:r>
                </w:p>
              </w:tc>
              <w:tc>
                <w:tcPr>
                  <w:tcW w:w="2290" w:type="dxa"/>
                  <w:shd w:val="clear" w:color="auto" w:fill="auto"/>
                  <w:vAlign w:val="center"/>
                </w:tcPr>
                <w:p w14:paraId="381F5EF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0.0729 </w:t>
                  </w:r>
                </w:p>
              </w:tc>
            </w:tr>
            <w:tr w14:paraId="2EC46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2" w:type="dxa"/>
                  <w:gridSpan w:val="2"/>
                  <w:vMerge w:val="continue"/>
                  <w:vAlign w:val="center"/>
                </w:tcPr>
                <w:p w14:paraId="3A19B954">
                  <w:pPr>
                    <w:snapToGrid w:val="0"/>
                    <w:jc w:val="center"/>
                    <w:rPr>
                      <w:b/>
                      <w:strike w:val="0"/>
                      <w:dstrike w:val="0"/>
                      <w:color w:val="auto"/>
                      <w:szCs w:val="21"/>
                      <w:highlight w:val="none"/>
                    </w:rPr>
                  </w:pPr>
                </w:p>
              </w:tc>
              <w:tc>
                <w:tcPr>
                  <w:tcW w:w="8186" w:type="dxa"/>
                  <w:gridSpan w:val="3"/>
                  <w:shd w:val="clear" w:color="auto" w:fill="auto"/>
                  <w:vAlign w:val="center"/>
                </w:tcPr>
                <w:p w14:paraId="627AF365">
                  <w:pPr>
                    <w:widowControl/>
                    <w:jc w:val="center"/>
                    <w:rPr>
                      <w:bCs/>
                      <w:strike w:val="0"/>
                      <w:dstrike w:val="0"/>
                      <w:color w:val="auto"/>
                      <w:kern w:val="0"/>
                      <w:szCs w:val="21"/>
                      <w:highlight w:val="none"/>
                    </w:rPr>
                  </w:pPr>
                  <w:r>
                    <w:rPr>
                      <w:strike w:val="0"/>
                      <w:dstrike w:val="0"/>
                      <w:color w:val="auto"/>
                      <w:szCs w:val="21"/>
                      <w:highlight w:val="none"/>
                    </w:rPr>
                    <w:t>BOD</w:t>
                  </w:r>
                  <w:r>
                    <w:rPr>
                      <w:strike w:val="0"/>
                      <w:dstrike w:val="0"/>
                      <w:color w:val="auto"/>
                      <w:szCs w:val="21"/>
                      <w:highlight w:val="none"/>
                      <w:vertAlign w:val="subscript"/>
                    </w:rPr>
                    <w:t>5</w:t>
                  </w:r>
                </w:p>
              </w:tc>
              <w:tc>
                <w:tcPr>
                  <w:tcW w:w="2290" w:type="dxa"/>
                  <w:shd w:val="clear" w:color="auto" w:fill="auto"/>
                  <w:vAlign w:val="center"/>
                </w:tcPr>
                <w:p w14:paraId="6ABB816E">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p>
              </w:tc>
            </w:tr>
            <w:tr w14:paraId="54FDC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2" w:type="dxa"/>
                  <w:gridSpan w:val="2"/>
                  <w:vMerge w:val="continue"/>
                  <w:vAlign w:val="center"/>
                </w:tcPr>
                <w:p w14:paraId="4771FD11">
                  <w:pPr>
                    <w:snapToGrid w:val="0"/>
                    <w:jc w:val="center"/>
                    <w:rPr>
                      <w:b/>
                      <w:strike w:val="0"/>
                      <w:dstrike w:val="0"/>
                      <w:color w:val="auto"/>
                      <w:szCs w:val="21"/>
                      <w:highlight w:val="none"/>
                    </w:rPr>
                  </w:pPr>
                </w:p>
              </w:tc>
              <w:tc>
                <w:tcPr>
                  <w:tcW w:w="8186" w:type="dxa"/>
                  <w:gridSpan w:val="3"/>
                  <w:shd w:val="clear" w:color="auto" w:fill="auto"/>
                  <w:vAlign w:val="center"/>
                </w:tcPr>
                <w:p w14:paraId="45D8845E">
                  <w:pPr>
                    <w:widowControl/>
                    <w:jc w:val="center"/>
                    <w:rPr>
                      <w:bCs/>
                      <w:strike w:val="0"/>
                      <w:dstrike w:val="0"/>
                      <w:color w:val="auto"/>
                      <w:kern w:val="0"/>
                      <w:szCs w:val="21"/>
                      <w:highlight w:val="none"/>
                    </w:rPr>
                  </w:pPr>
                  <w:r>
                    <w:rPr>
                      <w:bCs/>
                      <w:strike w:val="0"/>
                      <w:dstrike w:val="0"/>
                      <w:color w:val="auto"/>
                      <w:kern w:val="0"/>
                      <w:szCs w:val="21"/>
                      <w:highlight w:val="none"/>
                    </w:rPr>
                    <w:t>SS</w:t>
                  </w:r>
                </w:p>
              </w:tc>
              <w:tc>
                <w:tcPr>
                  <w:tcW w:w="2290" w:type="dxa"/>
                  <w:shd w:val="clear" w:color="auto" w:fill="auto"/>
                  <w:vAlign w:val="center"/>
                </w:tcPr>
                <w:p w14:paraId="73F414BB">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p>
              </w:tc>
            </w:tr>
            <w:tr w14:paraId="3927E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2" w:type="dxa"/>
                  <w:gridSpan w:val="2"/>
                  <w:vMerge w:val="continue"/>
                  <w:vAlign w:val="center"/>
                </w:tcPr>
                <w:p w14:paraId="3D50E312">
                  <w:pPr>
                    <w:snapToGrid w:val="0"/>
                    <w:jc w:val="center"/>
                    <w:rPr>
                      <w:b/>
                      <w:strike w:val="0"/>
                      <w:dstrike w:val="0"/>
                      <w:color w:val="auto"/>
                      <w:szCs w:val="21"/>
                      <w:highlight w:val="none"/>
                    </w:rPr>
                  </w:pPr>
                </w:p>
              </w:tc>
              <w:tc>
                <w:tcPr>
                  <w:tcW w:w="8186" w:type="dxa"/>
                  <w:gridSpan w:val="3"/>
                  <w:shd w:val="clear" w:color="auto" w:fill="auto"/>
                  <w:vAlign w:val="center"/>
                </w:tcPr>
                <w:p w14:paraId="59AD1F2A">
                  <w:pPr>
                    <w:widowControl/>
                    <w:jc w:val="center"/>
                    <w:rPr>
                      <w:bCs/>
                      <w:strike w:val="0"/>
                      <w:dstrike w:val="0"/>
                      <w:color w:val="auto"/>
                      <w:kern w:val="0"/>
                      <w:szCs w:val="21"/>
                      <w:highlight w:val="none"/>
                    </w:rPr>
                  </w:pPr>
                  <w:r>
                    <w:rPr>
                      <w:strike w:val="0"/>
                      <w:dstrike w:val="0"/>
                      <w:color w:val="auto"/>
                      <w:szCs w:val="21"/>
                      <w:highlight w:val="none"/>
                    </w:rPr>
                    <w:t>NH</w:t>
                  </w:r>
                  <w:r>
                    <w:rPr>
                      <w:strike w:val="0"/>
                      <w:dstrike w:val="0"/>
                      <w:color w:val="auto"/>
                      <w:szCs w:val="21"/>
                      <w:highlight w:val="none"/>
                      <w:vertAlign w:val="subscript"/>
                    </w:rPr>
                    <w:t>3</w:t>
                  </w:r>
                  <w:r>
                    <w:rPr>
                      <w:strike w:val="0"/>
                      <w:dstrike w:val="0"/>
                      <w:color w:val="auto"/>
                      <w:szCs w:val="21"/>
                      <w:highlight w:val="none"/>
                    </w:rPr>
                    <w:t>-N</w:t>
                  </w:r>
                </w:p>
              </w:tc>
              <w:tc>
                <w:tcPr>
                  <w:tcW w:w="2290" w:type="dxa"/>
                  <w:shd w:val="clear" w:color="auto" w:fill="auto"/>
                  <w:vAlign w:val="center"/>
                </w:tcPr>
                <w:p w14:paraId="60AEC75B">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0.0117 </w:t>
                  </w:r>
                </w:p>
              </w:tc>
            </w:tr>
            <w:tr w14:paraId="1A761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2" w:type="dxa"/>
                  <w:gridSpan w:val="2"/>
                  <w:vMerge w:val="continue"/>
                  <w:vAlign w:val="center"/>
                </w:tcPr>
                <w:p w14:paraId="53D83209">
                  <w:pPr>
                    <w:snapToGrid w:val="0"/>
                    <w:jc w:val="center"/>
                    <w:rPr>
                      <w:b/>
                      <w:strike w:val="0"/>
                      <w:dstrike w:val="0"/>
                      <w:color w:val="auto"/>
                      <w:szCs w:val="21"/>
                      <w:highlight w:val="none"/>
                    </w:rPr>
                  </w:pPr>
                </w:p>
              </w:tc>
              <w:tc>
                <w:tcPr>
                  <w:tcW w:w="8186" w:type="dxa"/>
                  <w:gridSpan w:val="3"/>
                  <w:shd w:val="clear" w:color="auto" w:fill="auto"/>
                  <w:vAlign w:val="center"/>
                </w:tcPr>
                <w:p w14:paraId="328877CB">
                  <w:pPr>
                    <w:jc w:val="center"/>
                    <w:rPr>
                      <w:strike w:val="0"/>
                      <w:dstrike w:val="0"/>
                      <w:color w:val="auto"/>
                      <w:szCs w:val="21"/>
                      <w:highlight w:val="none"/>
                    </w:rPr>
                  </w:pPr>
                  <w:r>
                    <w:rPr>
                      <w:strike w:val="0"/>
                      <w:dstrike w:val="0"/>
                      <w:color w:val="auto"/>
                      <w:szCs w:val="21"/>
                      <w:highlight w:val="none"/>
                    </w:rPr>
                    <w:t>石油类</w:t>
                  </w:r>
                </w:p>
              </w:tc>
              <w:tc>
                <w:tcPr>
                  <w:tcW w:w="2290" w:type="dxa"/>
                  <w:shd w:val="clear" w:color="auto" w:fill="auto"/>
                  <w:vAlign w:val="center"/>
                </w:tcPr>
                <w:p w14:paraId="55DB5629">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0.0015 </w:t>
                  </w:r>
                </w:p>
              </w:tc>
            </w:tr>
          </w:tbl>
          <w:p w14:paraId="5B86CA3D">
            <w:pPr>
              <w:rPr>
                <w:strike w:val="0"/>
                <w:dstrike w:val="0"/>
                <w:color w:val="auto"/>
                <w:highlight w:val="none"/>
              </w:rPr>
            </w:pPr>
          </w:p>
        </w:tc>
      </w:tr>
    </w:tbl>
    <w:p w14:paraId="7F13063B">
      <w:pPr>
        <w:rPr>
          <w:strike w:val="0"/>
          <w:dstrike w:val="0"/>
          <w:color w:val="auto"/>
          <w:highlight w:val="none"/>
        </w:rPr>
        <w:sectPr>
          <w:pgSz w:w="16838" w:h="11906" w:orient="landscape"/>
          <w:pgMar w:top="1803" w:right="1440" w:bottom="1803" w:left="1440" w:header="851" w:footer="992" w:gutter="0"/>
          <w:pgNumType w:fmt="numberInDash"/>
          <w:cols w:space="0" w:num="1"/>
          <w:docGrid w:type="lines" w:linePitch="319" w:charSpace="0"/>
        </w:sectPr>
      </w:pPr>
    </w:p>
    <w:tbl>
      <w:tblPr>
        <w:tblStyle w:val="23"/>
        <w:tblW w:w="9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97"/>
      </w:tblGrid>
      <w:tr w14:paraId="294A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shd w:val="clear" w:color="auto" w:fill="auto"/>
            <w:vAlign w:val="center"/>
          </w:tcPr>
          <w:p w14:paraId="3602E6FD">
            <w:pPr>
              <w:adjustRightInd w:val="0"/>
              <w:snapToGrid w:val="0"/>
              <w:jc w:val="center"/>
              <w:rPr>
                <w:bCs/>
                <w:strike w:val="0"/>
                <w:dstrike w:val="0"/>
                <w:color w:val="auto"/>
                <w:sz w:val="24"/>
                <w:highlight w:val="none"/>
              </w:rPr>
            </w:pPr>
            <w:r>
              <w:rPr>
                <w:bCs/>
                <w:strike w:val="0"/>
                <w:dstrike w:val="0"/>
                <w:color w:val="auto"/>
                <w:sz w:val="24"/>
                <w:highlight w:val="none"/>
              </w:rPr>
              <w:t>运营</w:t>
            </w:r>
          </w:p>
          <w:p w14:paraId="17257F7D">
            <w:pPr>
              <w:adjustRightInd w:val="0"/>
              <w:snapToGrid w:val="0"/>
              <w:jc w:val="center"/>
              <w:rPr>
                <w:bCs/>
                <w:strike w:val="0"/>
                <w:dstrike w:val="0"/>
                <w:color w:val="auto"/>
                <w:sz w:val="24"/>
                <w:highlight w:val="none"/>
              </w:rPr>
            </w:pPr>
            <w:r>
              <w:rPr>
                <w:bCs/>
                <w:strike w:val="0"/>
                <w:dstrike w:val="0"/>
                <w:color w:val="auto"/>
                <w:sz w:val="24"/>
                <w:highlight w:val="none"/>
              </w:rPr>
              <w:t>期环</w:t>
            </w:r>
          </w:p>
          <w:p w14:paraId="016D44FE">
            <w:pPr>
              <w:adjustRightInd w:val="0"/>
              <w:snapToGrid w:val="0"/>
              <w:jc w:val="center"/>
              <w:rPr>
                <w:bCs/>
                <w:strike w:val="0"/>
                <w:dstrike w:val="0"/>
                <w:color w:val="auto"/>
                <w:sz w:val="24"/>
                <w:highlight w:val="none"/>
              </w:rPr>
            </w:pPr>
            <w:r>
              <w:rPr>
                <w:bCs/>
                <w:strike w:val="0"/>
                <w:dstrike w:val="0"/>
                <w:color w:val="auto"/>
                <w:sz w:val="24"/>
                <w:highlight w:val="none"/>
              </w:rPr>
              <w:t>境影</w:t>
            </w:r>
          </w:p>
          <w:p w14:paraId="64B0C0EC">
            <w:pPr>
              <w:adjustRightInd w:val="0"/>
              <w:snapToGrid w:val="0"/>
              <w:jc w:val="center"/>
              <w:rPr>
                <w:bCs/>
                <w:strike w:val="0"/>
                <w:dstrike w:val="0"/>
                <w:color w:val="auto"/>
                <w:sz w:val="24"/>
                <w:highlight w:val="none"/>
              </w:rPr>
            </w:pPr>
            <w:r>
              <w:rPr>
                <w:bCs/>
                <w:strike w:val="0"/>
                <w:dstrike w:val="0"/>
                <w:color w:val="auto"/>
                <w:sz w:val="24"/>
                <w:highlight w:val="none"/>
              </w:rPr>
              <w:t>响和</w:t>
            </w:r>
          </w:p>
          <w:p w14:paraId="0E7F54B1">
            <w:pPr>
              <w:adjustRightInd w:val="0"/>
              <w:snapToGrid w:val="0"/>
              <w:jc w:val="center"/>
              <w:rPr>
                <w:bCs/>
                <w:strike w:val="0"/>
                <w:dstrike w:val="0"/>
                <w:color w:val="auto"/>
                <w:sz w:val="24"/>
                <w:highlight w:val="none"/>
              </w:rPr>
            </w:pPr>
            <w:r>
              <w:rPr>
                <w:bCs/>
                <w:strike w:val="0"/>
                <w:dstrike w:val="0"/>
                <w:color w:val="auto"/>
                <w:sz w:val="24"/>
                <w:highlight w:val="none"/>
              </w:rPr>
              <w:t>保护</w:t>
            </w:r>
          </w:p>
          <w:p w14:paraId="5CCAD2DC">
            <w:pPr>
              <w:adjustRightInd w:val="0"/>
              <w:snapToGrid w:val="0"/>
              <w:jc w:val="center"/>
              <w:rPr>
                <w:bCs/>
                <w:strike w:val="0"/>
                <w:dstrike w:val="0"/>
                <w:color w:val="auto"/>
                <w:sz w:val="24"/>
                <w:highlight w:val="none"/>
              </w:rPr>
            </w:pPr>
            <w:r>
              <w:rPr>
                <w:bCs/>
                <w:strike w:val="0"/>
                <w:dstrike w:val="0"/>
                <w:color w:val="auto"/>
                <w:sz w:val="24"/>
                <w:highlight w:val="none"/>
              </w:rPr>
              <w:t>措施</w:t>
            </w:r>
          </w:p>
        </w:tc>
        <w:tc>
          <w:tcPr>
            <w:tcW w:w="9297" w:type="dxa"/>
            <w:shd w:val="clear" w:color="auto" w:fill="auto"/>
          </w:tcPr>
          <w:p w14:paraId="7A28EA92">
            <w:pPr>
              <w:pStyle w:val="66"/>
              <w:spacing w:line="360" w:lineRule="auto"/>
              <w:jc w:val="both"/>
              <w:rPr>
                <w:rFonts w:ascii="Times New Roman" w:cs="Times New Roman"/>
                <w:b/>
                <w:bCs/>
                <w:strike w:val="0"/>
                <w:dstrike w:val="0"/>
                <w:color w:val="auto"/>
                <w:highlight w:val="none"/>
              </w:rPr>
            </w:pPr>
            <w:r>
              <w:rPr>
                <w:rFonts w:ascii="Times New Roman" w:cs="Times New Roman"/>
                <w:b/>
                <w:bCs/>
                <w:strike w:val="0"/>
                <w:dstrike w:val="0"/>
                <w:color w:val="auto"/>
                <w:highlight w:val="none"/>
              </w:rPr>
              <w:t>4.2.2.4 废水治理设施可行性分析及达标分析</w:t>
            </w:r>
          </w:p>
          <w:p w14:paraId="15F66A66">
            <w:pPr>
              <w:pStyle w:val="7"/>
              <w:numPr>
                <w:ilvl w:val="0"/>
                <w:numId w:val="11"/>
              </w:numPr>
              <w:ind w:firstLineChars="200"/>
              <w:rPr>
                <w:rFonts w:ascii="Times New Roman" w:hAnsi="Times New Roman"/>
                <w:strike w:val="0"/>
                <w:dstrike w:val="0"/>
                <w:color w:val="auto"/>
                <w:szCs w:val="24"/>
                <w:highlight w:val="none"/>
              </w:rPr>
            </w:pPr>
            <w:r>
              <w:rPr>
                <w:rFonts w:ascii="Times New Roman" w:hAnsi="Times New Roman"/>
                <w:strike w:val="0"/>
                <w:dstrike w:val="0"/>
                <w:color w:val="auto"/>
                <w:szCs w:val="24"/>
                <w:highlight w:val="none"/>
              </w:rPr>
              <w:t>污水处理工艺可行性</w:t>
            </w:r>
          </w:p>
          <w:p w14:paraId="6C506666">
            <w:pPr>
              <w:spacing w:line="360" w:lineRule="auto"/>
              <w:ind w:firstLine="480" w:firstLineChars="200"/>
              <w:rPr>
                <w:strike w:val="0"/>
                <w:dstrike w:val="0"/>
                <w:color w:val="auto"/>
                <w:sz w:val="24"/>
                <w:highlight w:val="none"/>
              </w:rPr>
            </w:pPr>
            <w:r>
              <w:rPr>
                <w:strike w:val="0"/>
                <w:dstrike w:val="0"/>
                <w:color w:val="auto"/>
                <w:sz w:val="24"/>
                <w:highlight w:val="none"/>
              </w:rPr>
              <w:t>本项目废水主要为生活污水、场地冲洗废水以及初期雨水。</w:t>
            </w:r>
          </w:p>
          <w:p w14:paraId="05E499C3">
            <w:pPr>
              <w:spacing w:line="360" w:lineRule="auto"/>
              <w:ind w:firstLine="480" w:firstLineChars="200"/>
              <w:rPr>
                <w:strike w:val="0"/>
                <w:dstrike w:val="0"/>
                <w:color w:val="auto"/>
                <w:sz w:val="24"/>
                <w:highlight w:val="none"/>
              </w:rPr>
            </w:pPr>
            <w:r>
              <w:rPr>
                <w:strike w:val="0"/>
                <w:dstrike w:val="0"/>
                <w:color w:val="auto"/>
                <w:sz w:val="24"/>
                <w:highlight w:val="none"/>
              </w:rPr>
              <w:t>生活污水污染物</w:t>
            </w:r>
            <w:r>
              <w:rPr>
                <w:strike w:val="0"/>
                <w:dstrike w:val="0"/>
                <w:color w:val="auto"/>
                <w:sz w:val="24"/>
                <w:szCs w:val="24"/>
                <w:highlight w:val="none"/>
              </w:rPr>
              <w:t>主要为</w:t>
            </w:r>
            <w:r>
              <w:rPr>
                <w:rFonts w:ascii="Times New Roman" w:cs="Times New Roman"/>
                <w:strike w:val="0"/>
                <w:dstrike w:val="0"/>
                <w:color w:val="auto"/>
                <w:sz w:val="24"/>
                <w:szCs w:val="24"/>
                <w:highlight w:val="none"/>
              </w:rPr>
              <w:t>pH</w:t>
            </w:r>
            <w:r>
              <w:rPr>
                <w:rStyle w:val="29"/>
                <w:rFonts w:hint="eastAsia" w:cs="Times New Roman"/>
                <w:strike w:val="0"/>
                <w:dstrike w:val="0"/>
                <w:color w:val="auto"/>
                <w:sz w:val="24"/>
                <w:szCs w:val="24"/>
                <w:highlight w:val="none"/>
                <w:lang w:val="en-US" w:eastAsia="zh-CN"/>
              </w:rPr>
              <w:t>、</w:t>
            </w:r>
            <w:r>
              <w:rPr>
                <w:rFonts w:eastAsia="TimesNewRomanPSMT"/>
                <w:strike w:val="0"/>
                <w:dstrike w:val="0"/>
                <w:color w:val="auto"/>
                <w:sz w:val="24"/>
                <w:szCs w:val="24"/>
                <w:highlight w:val="none"/>
              </w:rPr>
              <w:t>COD</w:t>
            </w:r>
            <w:r>
              <w:rPr>
                <w:strike w:val="0"/>
                <w:dstrike w:val="0"/>
                <w:color w:val="auto"/>
                <w:sz w:val="24"/>
                <w:highlight w:val="none"/>
              </w:rPr>
              <w:t>、</w:t>
            </w:r>
            <w:r>
              <w:rPr>
                <w:rFonts w:eastAsia="TimesNewRomanPSMT"/>
                <w:strike w:val="0"/>
                <w:dstrike w:val="0"/>
                <w:color w:val="auto"/>
                <w:sz w:val="24"/>
                <w:highlight w:val="none"/>
              </w:rPr>
              <w:t>BOD</w:t>
            </w:r>
            <w:r>
              <w:rPr>
                <w:rFonts w:eastAsia="TimesNewRomanPSMT"/>
                <w:strike w:val="0"/>
                <w:dstrike w:val="0"/>
                <w:color w:val="auto"/>
                <w:sz w:val="24"/>
                <w:highlight w:val="none"/>
                <w:vertAlign w:val="subscript"/>
              </w:rPr>
              <w:t>5</w:t>
            </w:r>
            <w:r>
              <w:rPr>
                <w:strike w:val="0"/>
                <w:dstrike w:val="0"/>
                <w:color w:val="auto"/>
                <w:sz w:val="24"/>
                <w:highlight w:val="none"/>
              </w:rPr>
              <w:t>、</w:t>
            </w:r>
            <w:r>
              <w:rPr>
                <w:rFonts w:eastAsia="TimesNewRomanPSMT"/>
                <w:strike w:val="0"/>
                <w:dstrike w:val="0"/>
                <w:color w:val="auto"/>
                <w:sz w:val="24"/>
                <w:highlight w:val="none"/>
              </w:rPr>
              <w:t>SS</w:t>
            </w:r>
            <w:r>
              <w:rPr>
                <w:strike w:val="0"/>
                <w:dstrike w:val="0"/>
                <w:color w:val="auto"/>
                <w:sz w:val="24"/>
                <w:highlight w:val="none"/>
              </w:rPr>
              <w:t>、</w:t>
            </w:r>
            <w:r>
              <w:rPr>
                <w:rFonts w:eastAsia="TimesNewRomanPSMT"/>
                <w:strike w:val="0"/>
                <w:dstrike w:val="0"/>
                <w:color w:val="auto"/>
                <w:sz w:val="24"/>
                <w:highlight w:val="none"/>
              </w:rPr>
              <w:t>NH</w:t>
            </w:r>
            <w:r>
              <w:rPr>
                <w:rFonts w:eastAsia="TimesNewRomanPSMT"/>
                <w:strike w:val="0"/>
                <w:dstrike w:val="0"/>
                <w:color w:val="auto"/>
                <w:sz w:val="24"/>
                <w:highlight w:val="none"/>
                <w:vertAlign w:val="subscript"/>
              </w:rPr>
              <w:t>3</w:t>
            </w:r>
            <w:r>
              <w:rPr>
                <w:rFonts w:eastAsia="TimesNewRomanPSMT"/>
                <w:strike w:val="0"/>
                <w:dstrike w:val="0"/>
                <w:color w:val="auto"/>
                <w:sz w:val="24"/>
                <w:highlight w:val="none"/>
              </w:rPr>
              <w:t>-N</w:t>
            </w:r>
            <w:r>
              <w:rPr>
                <w:strike w:val="0"/>
                <w:dstrike w:val="0"/>
                <w:color w:val="auto"/>
                <w:sz w:val="24"/>
                <w:highlight w:val="none"/>
              </w:rPr>
              <w:t>，进入生化池处理（处理工艺：沉淀</w:t>
            </w:r>
            <w:r>
              <w:rPr>
                <w:rFonts w:eastAsia="TimesNewRomanPSMT"/>
                <w:strike w:val="0"/>
                <w:dstrike w:val="0"/>
                <w:color w:val="auto"/>
                <w:sz w:val="24"/>
                <w:highlight w:val="none"/>
              </w:rPr>
              <w:t>+</w:t>
            </w:r>
            <w:r>
              <w:rPr>
                <w:strike w:val="0"/>
                <w:dstrike w:val="0"/>
                <w:color w:val="auto"/>
                <w:sz w:val="24"/>
                <w:highlight w:val="none"/>
              </w:rPr>
              <w:t>厌氧，</w:t>
            </w:r>
            <w:r>
              <w:rPr>
                <w:rFonts w:hint="eastAsia"/>
                <w:strike w:val="0"/>
                <w:dstrike w:val="0"/>
                <w:color w:val="auto"/>
                <w:sz w:val="24"/>
                <w:highlight w:val="none"/>
                <w:lang w:eastAsia="zh-CN"/>
              </w:rPr>
              <w:t>处理能力为6m</w:t>
            </w:r>
            <w:r>
              <w:rPr>
                <w:strike w:val="0"/>
                <w:dstrike w:val="0"/>
                <w:color w:val="auto"/>
                <w:sz w:val="24"/>
                <w:highlight w:val="none"/>
                <w:vertAlign w:val="superscript"/>
              </w:rPr>
              <w:t>3</w:t>
            </w:r>
            <w:r>
              <w:rPr>
                <w:rFonts w:eastAsia="TimesNewRomanPSMT"/>
                <w:strike w:val="0"/>
                <w:dstrike w:val="0"/>
                <w:color w:val="auto"/>
                <w:sz w:val="24"/>
                <w:highlight w:val="none"/>
              </w:rPr>
              <w:t>/d</w:t>
            </w:r>
            <w:r>
              <w:rPr>
                <w:strike w:val="0"/>
                <w:dstrike w:val="0"/>
                <w:color w:val="auto"/>
                <w:sz w:val="24"/>
                <w:highlight w:val="none"/>
              </w:rPr>
              <w:t>）。生化池处理工艺成熟，污水经生化池处理后，各污染物排放浓度能够满足《污水综合排放标准》（</w:t>
            </w:r>
            <w:r>
              <w:rPr>
                <w:rFonts w:eastAsia="TimesNewRomanPSMT"/>
                <w:strike w:val="0"/>
                <w:dstrike w:val="0"/>
                <w:color w:val="auto"/>
                <w:sz w:val="24"/>
                <w:highlight w:val="none"/>
              </w:rPr>
              <w:t>GB8978-1996</w:t>
            </w:r>
            <w:r>
              <w:rPr>
                <w:strike w:val="0"/>
                <w:dstrike w:val="0"/>
                <w:color w:val="auto"/>
                <w:sz w:val="24"/>
                <w:highlight w:val="none"/>
              </w:rPr>
              <w:t>）三级标准</w:t>
            </w:r>
            <w:r>
              <w:rPr>
                <w:strike w:val="0"/>
                <w:dstrike w:val="0"/>
                <w:color w:val="auto"/>
                <w:kern w:val="0"/>
                <w:sz w:val="24"/>
                <w:highlight w:val="none"/>
              </w:rPr>
              <w:t>（其中氨氮执行《污水排入城镇下水道水质标准》（GB/T31962-2015））</w:t>
            </w:r>
            <w:r>
              <w:rPr>
                <w:strike w:val="0"/>
                <w:dstrike w:val="0"/>
                <w:color w:val="auto"/>
                <w:sz w:val="24"/>
                <w:highlight w:val="none"/>
              </w:rPr>
              <w:t>。</w:t>
            </w:r>
          </w:p>
          <w:p w14:paraId="10C76789">
            <w:pPr>
              <w:spacing w:line="360" w:lineRule="auto"/>
              <w:ind w:firstLine="480" w:firstLineChars="200"/>
              <w:rPr>
                <w:strike w:val="0"/>
                <w:dstrike w:val="0"/>
                <w:color w:val="auto"/>
                <w:sz w:val="24"/>
                <w:highlight w:val="none"/>
              </w:rPr>
            </w:pPr>
            <w:r>
              <w:rPr>
                <w:strike w:val="0"/>
                <w:dstrike w:val="0"/>
                <w:color w:val="auto"/>
                <w:sz w:val="24"/>
                <w:highlight w:val="none"/>
              </w:rPr>
              <w:t>场地冲洗废水和初期雨水污染物主要为</w:t>
            </w:r>
            <w:r>
              <w:rPr>
                <w:rFonts w:eastAsia="TimesNewRomanPSMT"/>
                <w:strike w:val="0"/>
                <w:dstrike w:val="0"/>
                <w:color w:val="auto"/>
                <w:sz w:val="24"/>
                <w:highlight w:val="none"/>
              </w:rPr>
              <w:t>SS</w:t>
            </w:r>
            <w:r>
              <w:rPr>
                <w:strike w:val="0"/>
                <w:dstrike w:val="0"/>
                <w:color w:val="auto"/>
                <w:sz w:val="24"/>
                <w:highlight w:val="none"/>
              </w:rPr>
              <w:t>、石油类，污染物种类简单且各污染物浓度较小，经三段式隔油沉淀后能满足《污水综合排放标准》（</w:t>
            </w:r>
            <w:r>
              <w:rPr>
                <w:rFonts w:eastAsia="TimesNewRomanPSMT"/>
                <w:strike w:val="0"/>
                <w:dstrike w:val="0"/>
                <w:color w:val="auto"/>
                <w:sz w:val="24"/>
                <w:highlight w:val="none"/>
              </w:rPr>
              <w:t>GB8978-1996</w:t>
            </w:r>
            <w:r>
              <w:rPr>
                <w:strike w:val="0"/>
                <w:dstrike w:val="0"/>
                <w:color w:val="auto"/>
                <w:sz w:val="24"/>
                <w:highlight w:val="none"/>
              </w:rPr>
              <w:t>）三级标准。雨水进入隔油池前端设置切换阀，后期雨水直接进入市政雨水管网。</w:t>
            </w:r>
          </w:p>
          <w:p w14:paraId="5CCADC5B">
            <w:pPr>
              <w:spacing w:line="360" w:lineRule="auto"/>
              <w:ind w:firstLine="480" w:firstLineChars="200"/>
              <w:rPr>
                <w:strike w:val="0"/>
                <w:dstrike w:val="0"/>
                <w:color w:val="auto"/>
                <w:sz w:val="24"/>
                <w:highlight w:val="none"/>
              </w:rPr>
            </w:pPr>
            <w:r>
              <w:rPr>
                <w:strike w:val="0"/>
                <w:dstrike w:val="0"/>
                <w:color w:val="auto"/>
                <w:sz w:val="24"/>
                <w:highlight w:val="none"/>
              </w:rPr>
              <w:t>项目废水经生化池或隔油池处理达《污水综合排放标准》（</w:t>
            </w:r>
            <w:r>
              <w:rPr>
                <w:rFonts w:eastAsia="TimesNewRomanPSMT"/>
                <w:strike w:val="0"/>
                <w:dstrike w:val="0"/>
                <w:color w:val="auto"/>
                <w:sz w:val="24"/>
                <w:highlight w:val="none"/>
              </w:rPr>
              <w:t>GB8978-1996</w:t>
            </w:r>
            <w:r>
              <w:rPr>
                <w:strike w:val="0"/>
                <w:dstrike w:val="0"/>
                <w:color w:val="auto"/>
                <w:sz w:val="24"/>
                <w:highlight w:val="none"/>
              </w:rPr>
              <w:t>）三级标准</w:t>
            </w:r>
            <w:r>
              <w:rPr>
                <w:strike w:val="0"/>
                <w:dstrike w:val="0"/>
                <w:color w:val="auto"/>
                <w:kern w:val="0"/>
                <w:sz w:val="24"/>
                <w:highlight w:val="none"/>
              </w:rPr>
              <w:t>（其中氨氮执行《污水排入城镇下水道水质标准》（GB/T31962-2015））</w:t>
            </w:r>
            <w:r>
              <w:rPr>
                <w:strike w:val="0"/>
                <w:dstrike w:val="0"/>
                <w:color w:val="auto"/>
                <w:sz w:val="24"/>
                <w:highlight w:val="none"/>
              </w:rPr>
              <w:t>后经</w:t>
            </w:r>
            <w:r>
              <w:rPr>
                <w:rFonts w:hint="eastAsia"/>
                <w:strike w:val="0"/>
                <w:dstrike w:val="0"/>
                <w:color w:val="auto"/>
                <w:sz w:val="24"/>
                <w:highlight w:val="none"/>
              </w:rPr>
              <w:t>市政污水管网</w:t>
            </w:r>
            <w:r>
              <w:rPr>
                <w:strike w:val="0"/>
                <w:dstrike w:val="0"/>
                <w:color w:val="auto"/>
                <w:sz w:val="24"/>
                <w:highlight w:val="none"/>
              </w:rPr>
              <w:t>排入</w:t>
            </w:r>
            <w:r>
              <w:rPr>
                <w:rFonts w:hint="eastAsia"/>
                <w:strike w:val="0"/>
                <w:dstrike w:val="0"/>
                <w:color w:val="auto"/>
                <w:sz w:val="24"/>
                <w:highlight w:val="none"/>
                <w:lang w:eastAsia="zh-CN"/>
              </w:rPr>
              <w:t>微车基地污水处理厂</w:t>
            </w:r>
            <w:r>
              <w:rPr>
                <w:strike w:val="0"/>
                <w:dstrike w:val="0"/>
                <w:color w:val="auto"/>
                <w:sz w:val="24"/>
                <w:highlight w:val="none"/>
              </w:rPr>
              <w:t>处理达《城镇污水处理</w:t>
            </w:r>
            <w:r>
              <w:rPr>
                <w:bCs/>
                <w:strike w:val="0"/>
                <w:dstrike w:val="0"/>
                <w:color w:val="auto"/>
                <w:sz w:val="24"/>
                <w:highlight w:val="none"/>
              </w:rPr>
              <w:t>厂污染物排放标准》(GB18918-2002)一级A标后排入柏水溪，最终汇入嘉陵江。</w:t>
            </w:r>
          </w:p>
          <w:p w14:paraId="70DD7DC5">
            <w:pPr>
              <w:spacing w:line="360" w:lineRule="auto"/>
              <w:ind w:firstLine="480" w:firstLineChars="200"/>
              <w:rPr>
                <w:strike w:val="0"/>
                <w:dstrike w:val="0"/>
                <w:color w:val="auto"/>
                <w:sz w:val="24"/>
                <w:highlight w:val="none"/>
              </w:rPr>
            </w:pPr>
            <w:r>
              <w:rPr>
                <w:strike w:val="0"/>
                <w:dstrike w:val="0"/>
                <w:color w:val="auto"/>
                <w:sz w:val="24"/>
                <w:highlight w:val="none"/>
              </w:rPr>
              <w:t>项目污水水质简单且排放量较小，经过上述处理措施处置后，本项目废水可实现达标排放，处理措施可行。项目污水经上述治理措施达标排放后对地表水环境影响较小。</w:t>
            </w:r>
          </w:p>
          <w:p w14:paraId="4D01A31C">
            <w:pPr>
              <w:spacing w:line="360" w:lineRule="auto"/>
              <w:ind w:firstLine="480" w:firstLineChars="200"/>
              <w:rPr>
                <w:strike w:val="0"/>
                <w:dstrike w:val="0"/>
                <w:color w:val="auto"/>
                <w:sz w:val="24"/>
                <w:highlight w:val="none"/>
              </w:rPr>
            </w:pPr>
            <w:r>
              <w:rPr>
                <w:strike w:val="0"/>
                <w:dstrike w:val="0"/>
                <w:color w:val="auto"/>
                <w:sz w:val="24"/>
                <w:highlight w:val="none"/>
              </w:rPr>
              <w:t>本项目废水处理工艺流程图详见图4.2-1。</w:t>
            </w:r>
          </w:p>
          <w:p w14:paraId="65FD1764">
            <w:pPr>
              <w:jc w:val="center"/>
              <w:rPr>
                <w:strike w:val="0"/>
                <w:dstrike w:val="0"/>
                <w:color w:val="auto"/>
                <w:highlight w:val="none"/>
              </w:rPr>
            </w:pPr>
            <w:r>
              <w:rPr>
                <w:strike w:val="0"/>
                <w:dstrike w:val="0"/>
                <w:color w:val="auto"/>
                <w:highlight w:val="none"/>
              </w:rPr>
              <w:object>
                <v:shape id="_x0000_i1034" o:spt="75" type="#_x0000_t75" style="height:88.3pt;width:369.4pt;" o:ole="t" filled="f" o:preferrelative="t" stroked="f" coordsize="21600,21600">
                  <v:path/>
                  <v:fill on="f" focussize="0,0"/>
                  <v:stroke on="f" joinstyle="miter"/>
                  <v:imagedata r:id="rId33" o:title=""/>
                  <o:lock v:ext="edit" aspectratio="f"/>
                  <w10:wrap type="none"/>
                  <w10:anchorlock/>
                </v:shape>
                <o:OLEObject Type="Embed" ProgID="Visio.Drawing.15" ShapeID="_x0000_i1034" DrawAspect="Content" ObjectID="_1468075732" r:id="rId32">
                  <o:LockedField>false</o:LockedField>
                </o:OLEObject>
              </w:object>
            </w:r>
          </w:p>
          <w:p w14:paraId="5DE4950E">
            <w:pPr>
              <w:spacing w:line="360" w:lineRule="auto"/>
              <w:jc w:val="center"/>
              <w:rPr>
                <w:b/>
                <w:bCs/>
                <w:strike w:val="0"/>
                <w:dstrike w:val="0"/>
                <w:color w:val="auto"/>
                <w:sz w:val="24"/>
                <w:szCs w:val="32"/>
                <w:highlight w:val="none"/>
              </w:rPr>
            </w:pPr>
            <w:r>
              <w:rPr>
                <w:b/>
                <w:bCs/>
                <w:strike w:val="0"/>
                <w:dstrike w:val="0"/>
                <w:color w:val="auto"/>
                <w:sz w:val="24"/>
                <w:szCs w:val="32"/>
                <w:highlight w:val="none"/>
              </w:rPr>
              <w:t>图4.2-1  本项目废水处理工艺流程图</w:t>
            </w:r>
          </w:p>
          <w:p w14:paraId="01FAC088">
            <w:pPr>
              <w:pStyle w:val="67"/>
              <w:widowControl w:val="0"/>
              <w:spacing w:before="0" w:beforeAutospacing="0" w:after="0" w:afterAutospacing="0" w:line="360" w:lineRule="auto"/>
              <w:ind w:firstLine="480" w:firstLineChars="200"/>
              <w:jc w:val="both"/>
              <w:rPr>
                <w:strike w:val="0"/>
                <w:dstrike w:val="0"/>
                <w:color w:val="auto"/>
                <w:highlight w:val="none"/>
              </w:rPr>
            </w:pPr>
            <w:r>
              <w:rPr>
                <w:strike w:val="0"/>
                <w:dstrike w:val="0"/>
                <w:color w:val="auto"/>
                <w:highlight w:val="none"/>
              </w:rPr>
              <w:t>（2）项目所在区域的污水管网现状及污水处理厂接纳情况分析</w:t>
            </w:r>
          </w:p>
          <w:p w14:paraId="28C73978">
            <w:pPr>
              <w:spacing w:line="360" w:lineRule="auto"/>
              <w:ind w:firstLine="480" w:firstLineChars="200"/>
              <w:rPr>
                <w:strike w:val="0"/>
                <w:dstrike w:val="0"/>
                <w:color w:val="auto"/>
                <w:sz w:val="24"/>
                <w:highlight w:val="none"/>
              </w:rPr>
            </w:pPr>
            <w:r>
              <w:rPr>
                <w:strike w:val="0"/>
                <w:dstrike w:val="0"/>
                <w:color w:val="auto"/>
                <w:sz w:val="24"/>
                <w:highlight w:val="none"/>
              </w:rPr>
              <w:t>经调查，</w:t>
            </w:r>
            <w:r>
              <w:rPr>
                <w:rFonts w:hint="eastAsia"/>
                <w:strike w:val="0"/>
                <w:dstrike w:val="0"/>
                <w:color w:val="auto"/>
                <w:sz w:val="24"/>
                <w:highlight w:val="none"/>
                <w:lang w:eastAsia="zh-CN"/>
              </w:rPr>
              <w:t>微车基地污水处理厂</w:t>
            </w:r>
            <w:r>
              <w:rPr>
                <w:strike w:val="0"/>
                <w:dstrike w:val="0"/>
                <w:color w:val="auto"/>
                <w:sz w:val="24"/>
                <w:highlight w:val="none"/>
              </w:rPr>
              <w:t>工程于2018年开始建设，目前污水处理厂已建设完毕。污水处理厂设计处理规模为20000m</w:t>
            </w:r>
            <w:r>
              <w:rPr>
                <w:strike w:val="0"/>
                <w:dstrike w:val="0"/>
                <w:color w:val="auto"/>
                <w:sz w:val="24"/>
                <w:highlight w:val="none"/>
                <w:vertAlign w:val="superscript"/>
              </w:rPr>
              <w:t>3</w:t>
            </w:r>
            <w:r>
              <w:rPr>
                <w:strike w:val="0"/>
                <w:dstrike w:val="0"/>
                <w:color w:val="auto"/>
                <w:sz w:val="24"/>
                <w:highlight w:val="none"/>
              </w:rPr>
              <w:t>/d，处理工艺为改良A</w:t>
            </w:r>
            <w:r>
              <w:rPr>
                <w:strike w:val="0"/>
                <w:dstrike w:val="0"/>
                <w:color w:val="auto"/>
                <w:sz w:val="24"/>
                <w:highlight w:val="none"/>
                <w:vertAlign w:val="subscript"/>
              </w:rPr>
              <w:t>2</w:t>
            </w:r>
            <w:r>
              <w:rPr>
                <w:strike w:val="0"/>
                <w:dstrike w:val="0"/>
                <w:color w:val="auto"/>
                <w:sz w:val="24"/>
                <w:highlight w:val="none"/>
              </w:rPr>
              <w:t>/O工艺，出水标准为《城镇污水处理厂污染物排放标准》（GB18918-2002）一级A标准。主要服务范围为天顶组团工业污水和生活污水的混合废水。目前，</w:t>
            </w:r>
            <w:r>
              <w:rPr>
                <w:rFonts w:hint="eastAsia"/>
                <w:strike w:val="0"/>
                <w:dstrike w:val="0"/>
                <w:color w:val="auto"/>
                <w:sz w:val="24"/>
                <w:highlight w:val="none"/>
                <w:lang w:eastAsia="zh-CN"/>
              </w:rPr>
              <w:t>微车基地污水处理厂</w:t>
            </w:r>
            <w:r>
              <w:rPr>
                <w:strike w:val="0"/>
                <w:dstrike w:val="0"/>
                <w:color w:val="auto"/>
                <w:sz w:val="24"/>
                <w:highlight w:val="none"/>
              </w:rPr>
              <w:t>主体工程已建成投入运行。</w:t>
            </w:r>
          </w:p>
          <w:p w14:paraId="21312207">
            <w:pPr>
              <w:spacing w:line="360" w:lineRule="auto"/>
              <w:ind w:firstLine="480" w:firstLineChars="200"/>
              <w:rPr>
                <w:strike w:val="0"/>
                <w:dstrike w:val="0"/>
                <w:color w:val="auto"/>
                <w:sz w:val="24"/>
                <w:highlight w:val="none"/>
              </w:rPr>
            </w:pPr>
            <w:r>
              <w:rPr>
                <w:strike w:val="0"/>
                <w:dstrike w:val="0"/>
                <w:color w:val="auto"/>
                <w:sz w:val="24"/>
                <w:highlight w:val="none"/>
              </w:rPr>
              <w:t>本项目属于</w:t>
            </w:r>
            <w:r>
              <w:rPr>
                <w:rFonts w:hint="eastAsia"/>
                <w:strike w:val="0"/>
                <w:dstrike w:val="0"/>
                <w:color w:val="auto"/>
                <w:sz w:val="24"/>
                <w:highlight w:val="none"/>
                <w:lang w:eastAsia="zh-CN"/>
              </w:rPr>
              <w:t>微车基地污水处理厂</w:t>
            </w:r>
            <w:r>
              <w:rPr>
                <w:strike w:val="0"/>
                <w:dstrike w:val="0"/>
                <w:color w:val="auto"/>
                <w:sz w:val="24"/>
                <w:highlight w:val="none"/>
              </w:rPr>
              <w:t>服务范围，区域污水管网完善。本项目</w:t>
            </w:r>
            <w:r>
              <w:rPr>
                <w:strike w:val="0"/>
                <w:dstrike w:val="0"/>
                <w:color w:val="auto"/>
                <w:kern w:val="0"/>
                <w:sz w:val="24"/>
                <w:highlight w:val="none"/>
              </w:rPr>
              <w:t>污水水量少（</w:t>
            </w:r>
            <w:r>
              <w:rPr>
                <w:rFonts w:hint="eastAsia"/>
                <w:strike w:val="0"/>
                <w:dstrike w:val="0"/>
                <w:color w:val="auto"/>
                <w:kern w:val="0"/>
                <w:sz w:val="24"/>
                <w:highlight w:val="none"/>
                <w:lang w:val="en-US" w:eastAsia="zh-CN"/>
              </w:rPr>
              <w:t>生化池处理废水</w:t>
            </w:r>
            <w:r>
              <w:rPr>
                <w:strike w:val="0"/>
                <w:dstrike w:val="0"/>
                <w:color w:val="auto"/>
                <w:kern w:val="0"/>
                <w:sz w:val="24"/>
                <w:highlight w:val="none"/>
              </w:rPr>
              <w:t>仅为</w:t>
            </w:r>
            <w:r>
              <w:rPr>
                <w:rFonts w:hint="eastAsia"/>
                <w:strike w:val="0"/>
                <w:dstrike w:val="0"/>
                <w:color w:val="auto"/>
                <w:kern w:val="0"/>
                <w:sz w:val="24"/>
                <w:highlight w:val="none"/>
                <w:lang w:val="en-US" w:eastAsia="zh-CN"/>
              </w:rPr>
              <w:t>3.33</w:t>
            </w:r>
            <w:r>
              <w:rPr>
                <w:strike w:val="0"/>
                <w:dstrike w:val="0"/>
                <w:color w:val="auto"/>
                <w:sz w:val="24"/>
                <w:highlight w:val="none"/>
              </w:rPr>
              <w:t>m</w:t>
            </w:r>
            <w:r>
              <w:rPr>
                <w:strike w:val="0"/>
                <w:dstrike w:val="0"/>
                <w:color w:val="auto"/>
                <w:sz w:val="24"/>
                <w:highlight w:val="none"/>
                <w:vertAlign w:val="superscript"/>
              </w:rPr>
              <w:t>3</w:t>
            </w:r>
            <w:r>
              <w:rPr>
                <w:strike w:val="0"/>
                <w:dstrike w:val="0"/>
                <w:color w:val="auto"/>
                <w:sz w:val="24"/>
                <w:highlight w:val="none"/>
              </w:rPr>
              <w:t>/d</w:t>
            </w:r>
            <w:r>
              <w:rPr>
                <w:strike w:val="0"/>
                <w:dstrike w:val="0"/>
                <w:color w:val="auto"/>
                <w:kern w:val="0"/>
                <w:sz w:val="24"/>
                <w:highlight w:val="none"/>
              </w:rPr>
              <w:t>，仅占</w:t>
            </w:r>
            <w:r>
              <w:rPr>
                <w:rFonts w:hint="eastAsia"/>
                <w:strike w:val="0"/>
                <w:dstrike w:val="0"/>
                <w:color w:val="auto"/>
                <w:kern w:val="0"/>
                <w:sz w:val="24"/>
                <w:highlight w:val="none"/>
                <w:lang w:eastAsia="zh-CN"/>
              </w:rPr>
              <w:t>微车基地污水处理厂</w:t>
            </w:r>
            <w:r>
              <w:rPr>
                <w:strike w:val="0"/>
                <w:dstrike w:val="0"/>
                <w:color w:val="auto"/>
                <w:kern w:val="0"/>
                <w:sz w:val="24"/>
                <w:highlight w:val="none"/>
              </w:rPr>
              <w:t>日处理能力的0.0</w:t>
            </w:r>
            <w:r>
              <w:rPr>
                <w:rFonts w:hint="eastAsia"/>
                <w:strike w:val="0"/>
                <w:dstrike w:val="0"/>
                <w:color w:val="auto"/>
                <w:kern w:val="0"/>
                <w:sz w:val="24"/>
                <w:highlight w:val="none"/>
                <w:lang w:val="en-US" w:eastAsia="zh-CN"/>
              </w:rPr>
              <w:t>17</w:t>
            </w:r>
            <w:r>
              <w:rPr>
                <w:strike w:val="0"/>
                <w:dstrike w:val="0"/>
                <w:color w:val="auto"/>
                <w:kern w:val="0"/>
                <w:sz w:val="24"/>
                <w:highlight w:val="none"/>
              </w:rPr>
              <w:t>%），污水成分简单，满足</w:t>
            </w:r>
            <w:r>
              <w:rPr>
                <w:rFonts w:hint="eastAsia"/>
                <w:strike w:val="0"/>
                <w:dstrike w:val="0"/>
                <w:color w:val="auto"/>
                <w:kern w:val="0"/>
                <w:sz w:val="24"/>
                <w:highlight w:val="none"/>
                <w:lang w:eastAsia="zh-CN"/>
              </w:rPr>
              <w:t>微车基地污水处理厂</w:t>
            </w:r>
            <w:r>
              <w:rPr>
                <w:strike w:val="0"/>
                <w:dstrike w:val="0"/>
                <w:color w:val="auto"/>
                <w:kern w:val="0"/>
                <w:sz w:val="24"/>
                <w:highlight w:val="none"/>
              </w:rPr>
              <w:t>的纳管水质要求。此外，本项目所在区域污水管网已完善。因此，本项目</w:t>
            </w:r>
            <w:r>
              <w:rPr>
                <w:strike w:val="0"/>
                <w:dstrike w:val="0"/>
                <w:color w:val="auto"/>
                <w:sz w:val="24"/>
                <w:highlight w:val="none"/>
              </w:rPr>
              <w:t>外排废水量、废水水质不会对</w:t>
            </w:r>
            <w:r>
              <w:rPr>
                <w:rFonts w:hint="eastAsia"/>
                <w:strike w:val="0"/>
                <w:dstrike w:val="0"/>
                <w:color w:val="auto"/>
                <w:sz w:val="24"/>
                <w:highlight w:val="none"/>
                <w:lang w:eastAsia="zh-CN"/>
              </w:rPr>
              <w:t>微车基地污水处理厂</w:t>
            </w:r>
            <w:r>
              <w:rPr>
                <w:strike w:val="0"/>
                <w:dstrike w:val="0"/>
                <w:color w:val="auto"/>
                <w:sz w:val="24"/>
                <w:highlight w:val="none"/>
              </w:rPr>
              <w:t>产生明显冲击，</w:t>
            </w:r>
            <w:r>
              <w:rPr>
                <w:rFonts w:hint="eastAsia"/>
                <w:strike w:val="0"/>
                <w:dstrike w:val="0"/>
                <w:color w:val="auto"/>
                <w:sz w:val="24"/>
                <w:highlight w:val="none"/>
                <w:lang w:eastAsia="zh-CN"/>
              </w:rPr>
              <w:t>微车基地污水处理厂</w:t>
            </w:r>
            <w:r>
              <w:rPr>
                <w:strike w:val="0"/>
                <w:dstrike w:val="0"/>
                <w:color w:val="auto"/>
                <w:sz w:val="24"/>
                <w:highlight w:val="none"/>
              </w:rPr>
              <w:t>采取的处理工艺能够满足本项目废水处理要求。因此，本项目废水排入</w:t>
            </w:r>
            <w:r>
              <w:rPr>
                <w:rFonts w:hint="eastAsia"/>
                <w:strike w:val="0"/>
                <w:dstrike w:val="0"/>
                <w:color w:val="auto"/>
                <w:sz w:val="24"/>
                <w:highlight w:val="none"/>
                <w:lang w:eastAsia="zh-CN"/>
              </w:rPr>
              <w:t>微车基地污水处理厂</w:t>
            </w:r>
            <w:r>
              <w:rPr>
                <w:strike w:val="0"/>
                <w:dstrike w:val="0"/>
                <w:color w:val="auto"/>
                <w:sz w:val="24"/>
                <w:highlight w:val="none"/>
              </w:rPr>
              <w:t>处理是可行的。</w:t>
            </w:r>
          </w:p>
          <w:p w14:paraId="02A64501">
            <w:pPr>
              <w:spacing w:line="360" w:lineRule="auto"/>
              <w:rPr>
                <w:b/>
                <w:bCs/>
                <w:strike w:val="0"/>
                <w:dstrike w:val="0"/>
                <w:color w:val="auto"/>
                <w:sz w:val="24"/>
                <w:highlight w:val="none"/>
              </w:rPr>
            </w:pPr>
            <w:r>
              <w:rPr>
                <w:b/>
                <w:bCs/>
                <w:strike w:val="0"/>
                <w:dstrike w:val="0"/>
                <w:color w:val="auto"/>
                <w:sz w:val="24"/>
                <w:highlight w:val="none"/>
              </w:rPr>
              <w:t>4.2.2.5 废水监测计划</w:t>
            </w:r>
          </w:p>
          <w:p w14:paraId="2DB92BCF">
            <w:pPr>
              <w:pStyle w:val="66"/>
              <w:spacing w:line="360" w:lineRule="auto"/>
              <w:ind w:firstLine="480" w:firstLineChars="200"/>
              <w:jc w:val="both"/>
              <w:rPr>
                <w:rFonts w:ascii="Times New Roman" w:cs="Times New Roman"/>
                <w:strike w:val="0"/>
                <w:dstrike w:val="0"/>
                <w:color w:val="auto"/>
                <w:highlight w:val="none"/>
              </w:rPr>
            </w:pPr>
            <w:r>
              <w:rPr>
                <w:rFonts w:ascii="Times New Roman" w:cs="Times New Roman"/>
                <w:strike w:val="0"/>
                <w:dstrike w:val="0"/>
                <w:color w:val="auto"/>
                <w:highlight w:val="none"/>
              </w:rPr>
              <w:t>根据</w:t>
            </w:r>
            <w:r>
              <w:rPr>
                <w:rFonts w:ascii="Times New Roman" w:cs="Times New Roman"/>
                <w:strike w:val="0"/>
                <w:dstrike w:val="0"/>
                <w:color w:val="auto"/>
                <w:szCs w:val="32"/>
                <w:highlight w:val="none"/>
              </w:rPr>
              <w:t>《</w:t>
            </w:r>
            <w:r>
              <w:rPr>
                <w:rFonts w:hint="eastAsia" w:cs="Times New Roman"/>
                <w:strike w:val="0"/>
                <w:dstrike w:val="0"/>
                <w:color w:val="auto"/>
                <w:szCs w:val="32"/>
                <w:highlight w:val="none"/>
              </w:rPr>
              <w:t>排污单位自行监</w:t>
            </w:r>
            <w:r>
              <w:rPr>
                <w:rFonts w:ascii="Times New Roman" w:cs="Times New Roman"/>
                <w:strike w:val="0"/>
                <w:dstrike w:val="0"/>
                <w:color w:val="auto"/>
                <w:szCs w:val="32"/>
                <w:highlight w:val="none"/>
              </w:rPr>
              <w:t>测技术指南 储油库、加油站》（</w:t>
            </w:r>
            <w:r>
              <w:rPr>
                <w:rFonts w:ascii="Times New Roman" w:eastAsia="TimesNewRomanPSMT" w:cs="Times New Roman"/>
                <w:strike w:val="0"/>
                <w:dstrike w:val="0"/>
                <w:color w:val="auto"/>
                <w:szCs w:val="32"/>
                <w:highlight w:val="none"/>
              </w:rPr>
              <w:t>HJ1249-2022</w:t>
            </w:r>
            <w:r>
              <w:rPr>
                <w:rFonts w:ascii="Times New Roman" w:cs="Times New Roman"/>
                <w:strike w:val="0"/>
                <w:dstrike w:val="0"/>
                <w:color w:val="auto"/>
                <w:szCs w:val="32"/>
                <w:highlight w:val="none"/>
              </w:rPr>
              <w:t>）、</w:t>
            </w:r>
            <w:r>
              <w:rPr>
                <w:rFonts w:ascii="Times New Roman" w:cs="Times New Roman"/>
                <w:strike w:val="0"/>
                <w:dstrike w:val="0"/>
                <w:color w:val="auto"/>
                <w:highlight w:val="none"/>
              </w:rPr>
              <w:t>《排污许可证核发与申请技术规范 储油库、加油站》（HJ1118-2020），本项目废水监测计划见表4.2-1</w:t>
            </w:r>
            <w:r>
              <w:rPr>
                <w:rFonts w:hint="eastAsia" w:ascii="Times New Roman" w:cs="Times New Roman"/>
                <w:strike w:val="0"/>
                <w:dstrike w:val="0"/>
                <w:color w:val="auto"/>
                <w:highlight w:val="none"/>
                <w:lang w:val="en-US" w:eastAsia="zh-CN"/>
              </w:rPr>
              <w:t>3</w:t>
            </w:r>
            <w:r>
              <w:rPr>
                <w:rFonts w:ascii="Times New Roman" w:cs="Times New Roman"/>
                <w:strike w:val="0"/>
                <w:dstrike w:val="0"/>
                <w:color w:val="auto"/>
                <w:highlight w:val="none"/>
              </w:rPr>
              <w:t>。</w:t>
            </w:r>
          </w:p>
          <w:p w14:paraId="65586A7F">
            <w:pPr>
              <w:pStyle w:val="66"/>
              <w:jc w:val="center"/>
              <w:rPr>
                <w:rFonts w:ascii="Times New Roman" w:cs="Times New Roman"/>
                <w:b/>
                <w:bCs/>
                <w:strike w:val="0"/>
                <w:dstrike w:val="0"/>
                <w:color w:val="auto"/>
                <w:highlight w:val="none"/>
              </w:rPr>
            </w:pPr>
            <w:r>
              <w:rPr>
                <w:rFonts w:ascii="Times New Roman" w:cs="Times New Roman"/>
                <w:b/>
                <w:bCs/>
                <w:strike w:val="0"/>
                <w:dstrike w:val="0"/>
                <w:color w:val="auto"/>
                <w:highlight w:val="none"/>
              </w:rPr>
              <w:t>表4.2-1</w:t>
            </w:r>
            <w:r>
              <w:rPr>
                <w:rFonts w:hint="eastAsia" w:ascii="Times New Roman" w:cs="Times New Roman"/>
                <w:b/>
                <w:bCs/>
                <w:strike w:val="0"/>
                <w:dstrike w:val="0"/>
                <w:color w:val="auto"/>
                <w:highlight w:val="none"/>
                <w:lang w:val="en-US" w:eastAsia="zh-CN"/>
              </w:rPr>
              <w:t>3</w:t>
            </w:r>
            <w:r>
              <w:rPr>
                <w:rFonts w:ascii="Times New Roman" w:cs="Times New Roman"/>
                <w:b/>
                <w:bCs/>
                <w:strike w:val="0"/>
                <w:dstrike w:val="0"/>
                <w:color w:val="auto"/>
                <w:highlight w:val="none"/>
              </w:rPr>
              <w:t xml:space="preserve">  本项目废水监测计划一览表</w:t>
            </w:r>
          </w:p>
          <w:tbl>
            <w:tblPr>
              <w:tblStyle w:val="22"/>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213"/>
              <w:gridCol w:w="1390"/>
              <w:gridCol w:w="3559"/>
            </w:tblGrid>
            <w:tr w14:paraId="2DFE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6" w:type="dxa"/>
                  <w:vAlign w:val="center"/>
                </w:tcPr>
                <w:p w14:paraId="3BAED1B9">
                  <w:pPr>
                    <w:pStyle w:val="66"/>
                    <w:jc w:val="center"/>
                    <w:rPr>
                      <w:rFonts w:ascii="Times New Roman" w:cs="Times New Roman"/>
                      <w:strike w:val="0"/>
                      <w:dstrike w:val="0"/>
                      <w:color w:val="auto"/>
                      <w:sz w:val="21"/>
                      <w:szCs w:val="21"/>
                      <w:highlight w:val="none"/>
                    </w:rPr>
                  </w:pPr>
                  <w:r>
                    <w:rPr>
                      <w:rFonts w:ascii="Times New Roman" w:cs="Times New Roman"/>
                      <w:strike w:val="0"/>
                      <w:dstrike w:val="0"/>
                      <w:color w:val="auto"/>
                      <w:sz w:val="21"/>
                      <w:szCs w:val="21"/>
                      <w:highlight w:val="none"/>
                    </w:rPr>
                    <w:t>监测点位</w:t>
                  </w:r>
                </w:p>
              </w:tc>
              <w:tc>
                <w:tcPr>
                  <w:tcW w:w="2213" w:type="dxa"/>
                  <w:vAlign w:val="center"/>
                </w:tcPr>
                <w:p w14:paraId="7186FE81">
                  <w:pPr>
                    <w:pStyle w:val="66"/>
                    <w:jc w:val="center"/>
                    <w:rPr>
                      <w:rFonts w:ascii="Times New Roman" w:cs="Times New Roman"/>
                      <w:strike w:val="0"/>
                      <w:dstrike w:val="0"/>
                      <w:color w:val="auto"/>
                      <w:sz w:val="21"/>
                      <w:szCs w:val="21"/>
                      <w:highlight w:val="none"/>
                    </w:rPr>
                  </w:pPr>
                  <w:r>
                    <w:rPr>
                      <w:rFonts w:ascii="Times New Roman" w:cs="Times New Roman"/>
                      <w:strike w:val="0"/>
                      <w:dstrike w:val="0"/>
                      <w:color w:val="auto"/>
                      <w:sz w:val="21"/>
                      <w:szCs w:val="21"/>
                      <w:highlight w:val="none"/>
                    </w:rPr>
                    <w:t>监测因子</w:t>
                  </w:r>
                </w:p>
              </w:tc>
              <w:tc>
                <w:tcPr>
                  <w:tcW w:w="1390" w:type="dxa"/>
                  <w:vAlign w:val="center"/>
                </w:tcPr>
                <w:p w14:paraId="647D3E40">
                  <w:pPr>
                    <w:pStyle w:val="66"/>
                    <w:jc w:val="center"/>
                    <w:rPr>
                      <w:rFonts w:ascii="Times New Roman" w:cs="Times New Roman"/>
                      <w:strike w:val="0"/>
                      <w:dstrike w:val="0"/>
                      <w:color w:val="auto"/>
                      <w:sz w:val="21"/>
                      <w:szCs w:val="21"/>
                      <w:highlight w:val="none"/>
                    </w:rPr>
                  </w:pPr>
                  <w:r>
                    <w:rPr>
                      <w:rFonts w:ascii="Times New Roman" w:cs="Times New Roman"/>
                      <w:strike w:val="0"/>
                      <w:dstrike w:val="0"/>
                      <w:color w:val="auto"/>
                      <w:sz w:val="21"/>
                      <w:szCs w:val="21"/>
                      <w:highlight w:val="none"/>
                    </w:rPr>
                    <w:t>监测频次（间接排放）</w:t>
                  </w:r>
                </w:p>
              </w:tc>
              <w:tc>
                <w:tcPr>
                  <w:tcW w:w="3559" w:type="dxa"/>
                  <w:shd w:val="clear" w:color="auto" w:fill="auto"/>
                  <w:vAlign w:val="center"/>
                </w:tcPr>
                <w:p w14:paraId="4FBA988B">
                  <w:pPr>
                    <w:pStyle w:val="60"/>
                    <w:jc w:val="center"/>
                    <w:rPr>
                      <w:rFonts w:ascii="Times New Roman" w:hAnsi="Times New Roman"/>
                      <w:b/>
                      <w:bCs/>
                      <w:strike w:val="0"/>
                      <w:dstrike w:val="0"/>
                      <w:color w:val="auto"/>
                      <w:sz w:val="21"/>
                      <w:szCs w:val="21"/>
                      <w:highlight w:val="none"/>
                    </w:rPr>
                  </w:pPr>
                  <w:r>
                    <w:rPr>
                      <w:rFonts w:ascii="Times New Roman" w:hAnsi="Times New Roman"/>
                      <w:b/>
                      <w:bCs/>
                      <w:strike w:val="0"/>
                      <w:dstrike w:val="0"/>
                      <w:color w:val="auto"/>
                      <w:sz w:val="21"/>
                      <w:szCs w:val="21"/>
                      <w:highlight w:val="none"/>
                    </w:rPr>
                    <w:t>执行排放标准</w:t>
                  </w:r>
                </w:p>
              </w:tc>
            </w:tr>
            <w:tr w14:paraId="0DB2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6" w:type="dxa"/>
                  <w:vAlign w:val="center"/>
                </w:tcPr>
                <w:p w14:paraId="340169E7">
                  <w:pPr>
                    <w:jc w:val="center"/>
                    <w:rPr>
                      <w:rFonts w:hint="default" w:eastAsia="宋体"/>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综合废水</w:t>
                  </w:r>
                  <w:r>
                    <w:rPr>
                      <w:strike w:val="0"/>
                      <w:dstrike w:val="0"/>
                      <w:color w:val="auto"/>
                      <w:sz w:val="21"/>
                      <w:szCs w:val="21"/>
                      <w:highlight w:val="none"/>
                    </w:rPr>
                    <w:t>处理设施出口</w:t>
                  </w:r>
                  <w:r>
                    <w:rPr>
                      <w:rFonts w:hint="eastAsia"/>
                      <w:strike w:val="0"/>
                      <w:dstrike w:val="0"/>
                      <w:color w:val="auto"/>
                      <w:sz w:val="21"/>
                      <w:szCs w:val="21"/>
                      <w:highlight w:val="none"/>
                      <w:lang w:val="en-US" w:eastAsia="zh-CN"/>
                    </w:rPr>
                    <w:t>DW001</w:t>
                  </w:r>
                </w:p>
              </w:tc>
              <w:tc>
                <w:tcPr>
                  <w:tcW w:w="2213" w:type="dxa"/>
                  <w:vAlign w:val="center"/>
                </w:tcPr>
                <w:p w14:paraId="3EE645E8">
                  <w:pPr>
                    <w:pStyle w:val="66"/>
                    <w:jc w:val="center"/>
                    <w:rPr>
                      <w:rFonts w:hint="eastAsia" w:ascii="Times New Roman" w:eastAsia="宋体" w:cs="Times New Roman"/>
                      <w:strike w:val="0"/>
                      <w:dstrike w:val="0"/>
                      <w:color w:val="auto"/>
                      <w:sz w:val="21"/>
                      <w:szCs w:val="21"/>
                      <w:highlight w:val="none"/>
                      <w:lang w:eastAsia="zh-CN"/>
                    </w:rPr>
                  </w:pPr>
                  <w:r>
                    <w:rPr>
                      <w:rFonts w:ascii="Times New Roman" w:cs="Times New Roman"/>
                      <w:strike w:val="0"/>
                      <w:dstrike w:val="0"/>
                      <w:color w:val="auto"/>
                      <w:sz w:val="21"/>
                      <w:szCs w:val="21"/>
                      <w:highlight w:val="none"/>
                    </w:rPr>
                    <w:t>流量、pH</w:t>
                  </w:r>
                  <w:r>
                    <w:rPr>
                      <w:rStyle w:val="29"/>
                      <w:rFonts w:hint="eastAsia" w:ascii="Times New Roman" w:cs="Times New Roman"/>
                      <w:strike w:val="0"/>
                      <w:dstrike w:val="0"/>
                      <w:color w:val="auto"/>
                      <w:sz w:val="21"/>
                      <w:szCs w:val="21"/>
                      <w:highlight w:val="none"/>
                      <w:lang w:val="en-US" w:eastAsia="zh-CN"/>
                    </w:rPr>
                    <w:t>值</w:t>
                  </w:r>
                  <w:r>
                    <w:rPr>
                      <w:rFonts w:ascii="Times New Roman" w:cs="Times New Roman"/>
                      <w:strike w:val="0"/>
                      <w:dstrike w:val="0"/>
                      <w:color w:val="auto"/>
                      <w:sz w:val="21"/>
                      <w:szCs w:val="21"/>
                      <w:highlight w:val="none"/>
                    </w:rPr>
                    <w:t>、COD、氨氮</w:t>
                  </w:r>
                  <w:r>
                    <w:rPr>
                      <w:rFonts w:hint="eastAsia" w:ascii="Times New Roman" w:cs="Times New Roman"/>
                      <w:strike w:val="0"/>
                      <w:dstrike w:val="0"/>
                      <w:color w:val="auto"/>
                      <w:sz w:val="21"/>
                      <w:szCs w:val="21"/>
                      <w:highlight w:val="none"/>
                      <w:lang w:eastAsia="zh-CN"/>
                    </w:rPr>
                    <w:t>、</w:t>
                  </w:r>
                  <w:r>
                    <w:rPr>
                      <w:rFonts w:ascii="Times New Roman" w:cs="Times New Roman"/>
                      <w:strike w:val="0"/>
                      <w:dstrike w:val="0"/>
                      <w:color w:val="auto"/>
                      <w:sz w:val="21"/>
                      <w:szCs w:val="21"/>
                      <w:highlight w:val="none"/>
                    </w:rPr>
                    <w:t>SS、石油类</w:t>
                  </w:r>
                </w:p>
              </w:tc>
              <w:tc>
                <w:tcPr>
                  <w:tcW w:w="1390" w:type="dxa"/>
                  <w:vAlign w:val="center"/>
                </w:tcPr>
                <w:p w14:paraId="32BF912B">
                  <w:pPr>
                    <w:pStyle w:val="66"/>
                    <w:jc w:val="center"/>
                    <w:rPr>
                      <w:rFonts w:hint="default" w:ascii="Times New Roman" w:cs="Times New Roman"/>
                      <w:strike w:val="0"/>
                      <w:dstrike w:val="0"/>
                      <w:color w:val="auto"/>
                      <w:sz w:val="21"/>
                      <w:szCs w:val="21"/>
                      <w:highlight w:val="none"/>
                      <w:lang w:val="en-US"/>
                    </w:rPr>
                  </w:pPr>
                  <w:r>
                    <w:rPr>
                      <w:rFonts w:ascii="Times New Roman" w:cs="Times New Roman"/>
                      <w:strike w:val="0"/>
                      <w:dstrike w:val="0"/>
                      <w:color w:val="auto"/>
                      <w:sz w:val="21"/>
                      <w:szCs w:val="21"/>
                      <w:highlight w:val="none"/>
                    </w:rPr>
                    <w:t>验收时监测一次</w:t>
                  </w:r>
                </w:p>
              </w:tc>
              <w:tc>
                <w:tcPr>
                  <w:tcW w:w="3559" w:type="dxa"/>
                  <w:vAlign w:val="center"/>
                </w:tcPr>
                <w:p w14:paraId="312FA1EF">
                  <w:pPr>
                    <w:jc w:val="center"/>
                    <w:rPr>
                      <w:strike w:val="0"/>
                      <w:dstrike w:val="0"/>
                      <w:color w:val="auto"/>
                      <w:sz w:val="21"/>
                      <w:szCs w:val="21"/>
                      <w:highlight w:val="none"/>
                    </w:rPr>
                  </w:pPr>
                  <w:r>
                    <w:rPr>
                      <w:strike w:val="0"/>
                      <w:dstrike w:val="0"/>
                      <w:color w:val="auto"/>
                      <w:sz w:val="21"/>
                      <w:szCs w:val="21"/>
                      <w:highlight w:val="none"/>
                    </w:rPr>
                    <w:t>《污水综合排放标准》（</w:t>
                  </w:r>
                  <w:r>
                    <w:rPr>
                      <w:rFonts w:eastAsia="TimesNewRomanPSMT"/>
                      <w:strike w:val="0"/>
                      <w:dstrike w:val="0"/>
                      <w:color w:val="auto"/>
                      <w:sz w:val="21"/>
                      <w:szCs w:val="21"/>
                      <w:highlight w:val="none"/>
                    </w:rPr>
                    <w:t>GB8978-1996</w:t>
                  </w:r>
                  <w:r>
                    <w:rPr>
                      <w:strike w:val="0"/>
                      <w:dstrike w:val="0"/>
                      <w:color w:val="auto"/>
                      <w:sz w:val="21"/>
                      <w:szCs w:val="21"/>
                      <w:highlight w:val="none"/>
                    </w:rPr>
                    <w:t>）三级标准</w:t>
                  </w:r>
                  <w:r>
                    <w:rPr>
                      <w:strike w:val="0"/>
                      <w:dstrike w:val="0"/>
                      <w:color w:val="auto"/>
                      <w:kern w:val="0"/>
                      <w:sz w:val="21"/>
                      <w:szCs w:val="21"/>
                      <w:highlight w:val="none"/>
                    </w:rPr>
                    <w:t>，其中氨氮执行《污水排入城镇下水道水质标准》（GB/T31962-2015））</w:t>
                  </w:r>
                </w:p>
              </w:tc>
            </w:tr>
          </w:tbl>
          <w:p w14:paraId="56751206">
            <w:pPr>
              <w:pStyle w:val="45"/>
              <w:spacing w:line="360" w:lineRule="auto"/>
              <w:ind w:firstLine="0" w:firstLineChars="0"/>
              <w:rPr>
                <w:b/>
                <w:bCs w:val="0"/>
                <w:strike w:val="0"/>
                <w:dstrike w:val="0"/>
                <w:color w:val="auto"/>
                <w:szCs w:val="20"/>
                <w:highlight w:val="none"/>
              </w:rPr>
            </w:pPr>
            <w:r>
              <w:rPr>
                <w:b/>
                <w:bCs w:val="0"/>
                <w:strike w:val="0"/>
                <w:dstrike w:val="0"/>
                <w:color w:val="auto"/>
                <w:szCs w:val="20"/>
                <w:highlight w:val="none"/>
              </w:rPr>
              <w:t xml:space="preserve">4.2.3 </w:t>
            </w:r>
            <w:r>
              <w:rPr>
                <w:b/>
                <w:bCs w:val="0"/>
                <w:strike w:val="0"/>
                <w:dstrike w:val="0"/>
                <w:color w:val="auto"/>
                <w:kern w:val="0"/>
                <w:highlight w:val="none"/>
              </w:rPr>
              <w:t>声环境影响分析及防治措施</w:t>
            </w:r>
          </w:p>
          <w:p w14:paraId="68E0A725">
            <w:pPr>
              <w:pStyle w:val="45"/>
              <w:spacing w:line="360" w:lineRule="auto"/>
              <w:ind w:firstLine="0" w:firstLineChars="0"/>
              <w:rPr>
                <w:b/>
                <w:bCs w:val="0"/>
                <w:strike w:val="0"/>
                <w:dstrike w:val="0"/>
                <w:color w:val="auto"/>
                <w:highlight w:val="none"/>
              </w:rPr>
            </w:pPr>
            <w:r>
              <w:rPr>
                <w:b/>
                <w:bCs w:val="0"/>
                <w:strike w:val="0"/>
                <w:dstrike w:val="0"/>
                <w:color w:val="auto"/>
                <w:highlight w:val="none"/>
              </w:rPr>
              <w:t>4.2.3.1 噪声源强</w:t>
            </w:r>
          </w:p>
          <w:p w14:paraId="408D339F">
            <w:pPr>
              <w:spacing w:line="360" w:lineRule="auto"/>
              <w:ind w:firstLine="480" w:firstLineChars="200"/>
              <w:rPr>
                <w:strike w:val="0"/>
                <w:dstrike w:val="0"/>
                <w:color w:val="auto"/>
                <w:sz w:val="24"/>
                <w:highlight w:val="none"/>
              </w:rPr>
            </w:pPr>
            <w:r>
              <w:rPr>
                <w:strike w:val="0"/>
                <w:dstrike w:val="0"/>
                <w:color w:val="auto"/>
                <w:sz w:val="24"/>
                <w:highlight w:val="none"/>
              </w:rPr>
              <w:t>运营期燃气中压管道埋地铺设，不产生噪声；噪声主要来源于</w:t>
            </w:r>
            <w:r>
              <w:rPr>
                <w:rFonts w:hint="eastAsia"/>
                <w:strike w:val="0"/>
                <w:dstrike w:val="0"/>
                <w:color w:val="auto"/>
                <w:sz w:val="24"/>
                <w:highlight w:val="none"/>
              </w:rPr>
              <w:t>站区</w:t>
            </w:r>
            <w:r>
              <w:rPr>
                <w:strike w:val="0"/>
                <w:dstrike w:val="0"/>
                <w:color w:val="auto"/>
                <w:sz w:val="24"/>
                <w:highlight w:val="none"/>
              </w:rPr>
              <w:t>加油机、</w:t>
            </w:r>
            <w:r>
              <w:rPr>
                <w:rFonts w:hint="eastAsia"/>
                <w:strike w:val="0"/>
                <w:dstrike w:val="0"/>
                <w:color w:val="auto"/>
                <w:sz w:val="24"/>
                <w:highlight w:val="none"/>
              </w:rPr>
              <w:t>加气机、</w:t>
            </w:r>
            <w:r>
              <w:rPr>
                <w:strike w:val="0"/>
                <w:dstrike w:val="0"/>
                <w:color w:val="auto"/>
                <w:sz w:val="24"/>
                <w:highlight w:val="none"/>
              </w:rPr>
              <w:t>潜油泵</w:t>
            </w:r>
            <w:r>
              <w:rPr>
                <w:rFonts w:hint="eastAsia"/>
                <w:strike w:val="0"/>
                <w:dstrike w:val="0"/>
                <w:color w:val="auto"/>
                <w:sz w:val="24"/>
                <w:highlight w:val="none"/>
                <w:lang w:eastAsia="zh-CN"/>
              </w:rPr>
              <w:t>、</w:t>
            </w:r>
            <w:r>
              <w:rPr>
                <w:rFonts w:hint="eastAsia"/>
                <w:strike w:val="0"/>
                <w:dstrike w:val="0"/>
                <w:color w:val="auto"/>
                <w:sz w:val="24"/>
                <w:highlight w:val="none"/>
                <w:lang w:val="en-US" w:eastAsia="zh-CN"/>
              </w:rPr>
              <w:t>潜液泵</w:t>
            </w:r>
            <w:r>
              <w:rPr>
                <w:strike w:val="0"/>
                <w:dstrike w:val="0"/>
                <w:color w:val="auto"/>
                <w:sz w:val="24"/>
                <w:highlight w:val="none"/>
              </w:rPr>
              <w:t>等设备噪声，以及槽车进场、汽车噪声。</w:t>
            </w:r>
          </w:p>
          <w:p w14:paraId="7943D6E3">
            <w:pPr>
              <w:spacing w:line="360" w:lineRule="auto"/>
              <w:ind w:firstLine="480" w:firstLineChars="200"/>
              <w:rPr>
                <w:strike w:val="0"/>
                <w:dstrike w:val="0"/>
                <w:color w:val="auto"/>
                <w:sz w:val="24"/>
                <w:highlight w:val="none"/>
              </w:rPr>
            </w:pPr>
            <w:r>
              <w:rPr>
                <w:strike w:val="0"/>
                <w:dstrike w:val="0"/>
                <w:color w:val="auto"/>
                <w:sz w:val="24"/>
                <w:highlight w:val="none"/>
              </w:rPr>
              <w:t>由于进站车辆噪声为间断性产生，汽车进站加油时需关闭发动机，因此车辆噪声主要反映在驶进站过程和驶离站过程，由于进出站口均设置减速标志，车辆行驶速度较慢，进出站车辆行驶噪声</w:t>
            </w:r>
            <w:r>
              <w:rPr>
                <w:rFonts w:eastAsia="TimesNewRomanPSMT"/>
                <w:strike w:val="0"/>
                <w:dstrike w:val="0"/>
                <w:color w:val="auto"/>
                <w:sz w:val="24"/>
                <w:highlight w:val="none"/>
              </w:rPr>
              <w:t>65</w:t>
            </w:r>
            <w:r>
              <w:rPr>
                <w:strike w:val="0"/>
                <w:dstrike w:val="0"/>
                <w:color w:val="auto"/>
                <w:sz w:val="24"/>
                <w:highlight w:val="none"/>
              </w:rPr>
              <w:t>～</w:t>
            </w:r>
            <w:r>
              <w:rPr>
                <w:rFonts w:eastAsia="TimesNewRomanPSMT"/>
                <w:strike w:val="0"/>
                <w:dstrike w:val="0"/>
                <w:color w:val="auto"/>
                <w:sz w:val="24"/>
                <w:highlight w:val="none"/>
              </w:rPr>
              <w:t>70dB</w:t>
            </w:r>
            <w:r>
              <w:rPr>
                <w:strike w:val="0"/>
                <w:dstrike w:val="0"/>
                <w:color w:val="auto"/>
                <w:sz w:val="24"/>
                <w:highlight w:val="none"/>
              </w:rPr>
              <w:t>（</w:t>
            </w:r>
            <w:r>
              <w:rPr>
                <w:rFonts w:eastAsia="TimesNewRomanPSMT"/>
                <w:strike w:val="0"/>
                <w:dstrike w:val="0"/>
                <w:color w:val="auto"/>
                <w:sz w:val="24"/>
                <w:highlight w:val="none"/>
              </w:rPr>
              <w:t>A</w:t>
            </w:r>
            <w:r>
              <w:rPr>
                <w:strike w:val="0"/>
                <w:dstrike w:val="0"/>
                <w:color w:val="auto"/>
                <w:sz w:val="24"/>
                <w:highlight w:val="none"/>
              </w:rPr>
              <w:t>）</w:t>
            </w:r>
            <w:r>
              <w:rPr>
                <w:strike w:val="0"/>
                <w:dstrike w:val="0"/>
                <w:color w:val="auto"/>
                <w:kern w:val="0"/>
                <w:sz w:val="24"/>
                <w:highlight w:val="none"/>
              </w:rPr>
              <w:t>。</w:t>
            </w:r>
            <w:r>
              <w:rPr>
                <w:strike w:val="0"/>
                <w:dstrike w:val="0"/>
                <w:color w:val="auto"/>
                <w:sz w:val="24"/>
                <w:highlight w:val="none"/>
              </w:rPr>
              <w:t>本项目噪声源及源强具体见表4.2-1</w:t>
            </w:r>
            <w:r>
              <w:rPr>
                <w:rFonts w:hint="eastAsia"/>
                <w:strike w:val="0"/>
                <w:dstrike w:val="0"/>
                <w:color w:val="auto"/>
                <w:sz w:val="24"/>
                <w:highlight w:val="none"/>
                <w:lang w:val="en-US" w:eastAsia="zh-CN"/>
              </w:rPr>
              <w:t>4</w:t>
            </w:r>
            <w:r>
              <w:rPr>
                <w:strike w:val="0"/>
                <w:dstrike w:val="0"/>
                <w:color w:val="auto"/>
                <w:sz w:val="24"/>
                <w:highlight w:val="none"/>
              </w:rPr>
              <w:t>~表4.2-1</w:t>
            </w:r>
            <w:r>
              <w:rPr>
                <w:rFonts w:hint="eastAsia"/>
                <w:strike w:val="0"/>
                <w:dstrike w:val="0"/>
                <w:color w:val="auto"/>
                <w:sz w:val="24"/>
                <w:highlight w:val="none"/>
                <w:lang w:val="en-US" w:eastAsia="zh-CN"/>
              </w:rPr>
              <w:t>5</w:t>
            </w:r>
            <w:r>
              <w:rPr>
                <w:strike w:val="0"/>
                <w:dstrike w:val="0"/>
                <w:color w:val="auto"/>
                <w:sz w:val="24"/>
                <w:highlight w:val="none"/>
              </w:rPr>
              <w:t>。</w:t>
            </w:r>
          </w:p>
          <w:p w14:paraId="14936253">
            <w:pPr>
              <w:autoSpaceDE w:val="0"/>
              <w:autoSpaceDN w:val="0"/>
              <w:adjustRightInd w:val="0"/>
              <w:jc w:val="center"/>
              <w:textAlignment w:val="baseline"/>
              <w:rPr>
                <w:b/>
                <w:bCs/>
                <w:strike w:val="0"/>
                <w:dstrike w:val="0"/>
                <w:color w:val="auto"/>
                <w:sz w:val="24"/>
                <w:highlight w:val="none"/>
              </w:rPr>
            </w:pPr>
            <w:r>
              <w:rPr>
                <w:b/>
                <w:bCs/>
                <w:strike w:val="0"/>
                <w:dstrike w:val="0"/>
                <w:color w:val="auto"/>
                <w:sz w:val="24"/>
                <w:highlight w:val="none"/>
              </w:rPr>
              <w:t>表4.2-1</w:t>
            </w:r>
            <w:r>
              <w:rPr>
                <w:rFonts w:hint="eastAsia"/>
                <w:b/>
                <w:bCs/>
                <w:strike w:val="0"/>
                <w:dstrike w:val="0"/>
                <w:color w:val="auto"/>
                <w:sz w:val="24"/>
                <w:highlight w:val="none"/>
                <w:lang w:val="en-US" w:eastAsia="zh-CN"/>
              </w:rPr>
              <w:t>4</w:t>
            </w:r>
            <w:r>
              <w:rPr>
                <w:b/>
                <w:bCs/>
                <w:strike w:val="0"/>
                <w:dstrike w:val="0"/>
                <w:color w:val="auto"/>
                <w:sz w:val="24"/>
                <w:highlight w:val="none"/>
              </w:rPr>
              <w:t xml:space="preserve">  主要噪声源强（室外声源）  单位：dB(A)</w:t>
            </w:r>
          </w:p>
          <w:tbl>
            <w:tblPr>
              <w:tblStyle w:val="22"/>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77"/>
              <w:gridCol w:w="1649"/>
              <w:gridCol w:w="510"/>
              <w:gridCol w:w="600"/>
              <w:gridCol w:w="603"/>
              <w:gridCol w:w="1480"/>
              <w:gridCol w:w="1230"/>
              <w:gridCol w:w="931"/>
            </w:tblGrid>
            <w:tr w14:paraId="2197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dxa"/>
                  <w:vMerge w:val="restart"/>
                  <w:vAlign w:val="center"/>
                </w:tcPr>
                <w:p w14:paraId="15F3085E">
                  <w:pPr>
                    <w:jc w:val="center"/>
                    <w:rPr>
                      <w:b/>
                      <w:bCs/>
                      <w:strike w:val="0"/>
                      <w:dstrike w:val="0"/>
                      <w:color w:val="auto"/>
                      <w:szCs w:val="21"/>
                      <w:highlight w:val="none"/>
                    </w:rPr>
                  </w:pPr>
                  <w:r>
                    <w:rPr>
                      <w:b/>
                      <w:strike w:val="0"/>
                      <w:dstrike w:val="0"/>
                      <w:color w:val="auto"/>
                      <w:szCs w:val="21"/>
                      <w:highlight w:val="none"/>
                    </w:rPr>
                    <w:t>序号</w:t>
                  </w:r>
                </w:p>
              </w:tc>
              <w:tc>
                <w:tcPr>
                  <w:tcW w:w="1177" w:type="dxa"/>
                  <w:vMerge w:val="restart"/>
                  <w:vAlign w:val="center"/>
                </w:tcPr>
                <w:p w14:paraId="0B9E8467">
                  <w:pPr>
                    <w:jc w:val="center"/>
                    <w:rPr>
                      <w:b/>
                      <w:bCs/>
                      <w:strike w:val="0"/>
                      <w:dstrike w:val="0"/>
                      <w:color w:val="auto"/>
                      <w:szCs w:val="21"/>
                      <w:highlight w:val="none"/>
                    </w:rPr>
                  </w:pPr>
                  <w:r>
                    <w:rPr>
                      <w:b/>
                      <w:strike w:val="0"/>
                      <w:dstrike w:val="0"/>
                      <w:color w:val="auto"/>
                      <w:szCs w:val="21"/>
                      <w:highlight w:val="none"/>
                    </w:rPr>
                    <w:t>声源名称</w:t>
                  </w:r>
                </w:p>
              </w:tc>
              <w:tc>
                <w:tcPr>
                  <w:tcW w:w="1649" w:type="dxa"/>
                  <w:vMerge w:val="restart"/>
                  <w:vAlign w:val="center"/>
                </w:tcPr>
                <w:p w14:paraId="2E8D2475">
                  <w:pPr>
                    <w:jc w:val="center"/>
                    <w:rPr>
                      <w:b/>
                      <w:bCs/>
                      <w:strike w:val="0"/>
                      <w:dstrike w:val="0"/>
                      <w:color w:val="auto"/>
                      <w:szCs w:val="21"/>
                      <w:highlight w:val="none"/>
                    </w:rPr>
                  </w:pPr>
                  <w:r>
                    <w:rPr>
                      <w:b/>
                      <w:strike w:val="0"/>
                      <w:dstrike w:val="0"/>
                      <w:color w:val="auto"/>
                      <w:szCs w:val="21"/>
                      <w:highlight w:val="none"/>
                    </w:rPr>
                    <w:t>型号</w:t>
                  </w:r>
                </w:p>
              </w:tc>
              <w:tc>
                <w:tcPr>
                  <w:tcW w:w="1713" w:type="dxa"/>
                  <w:gridSpan w:val="3"/>
                  <w:vAlign w:val="center"/>
                </w:tcPr>
                <w:p w14:paraId="0EE8EE3A">
                  <w:pPr>
                    <w:jc w:val="center"/>
                    <w:rPr>
                      <w:b/>
                      <w:bCs/>
                      <w:strike w:val="0"/>
                      <w:dstrike w:val="0"/>
                      <w:color w:val="auto"/>
                      <w:szCs w:val="21"/>
                      <w:highlight w:val="none"/>
                    </w:rPr>
                  </w:pPr>
                  <w:r>
                    <w:rPr>
                      <w:b/>
                      <w:strike w:val="0"/>
                      <w:dstrike w:val="0"/>
                      <w:color w:val="auto"/>
                      <w:szCs w:val="21"/>
                      <w:highlight w:val="none"/>
                    </w:rPr>
                    <w:t>空间相对位置/m</w:t>
                  </w:r>
                </w:p>
              </w:tc>
              <w:tc>
                <w:tcPr>
                  <w:tcW w:w="1480" w:type="dxa"/>
                  <w:vAlign w:val="center"/>
                </w:tcPr>
                <w:p w14:paraId="2A5C544D">
                  <w:pPr>
                    <w:jc w:val="center"/>
                    <w:rPr>
                      <w:b/>
                      <w:bCs/>
                      <w:strike w:val="0"/>
                      <w:dstrike w:val="0"/>
                      <w:color w:val="auto"/>
                      <w:szCs w:val="21"/>
                      <w:highlight w:val="none"/>
                    </w:rPr>
                  </w:pPr>
                  <w:r>
                    <w:rPr>
                      <w:b/>
                      <w:strike w:val="0"/>
                      <w:dstrike w:val="0"/>
                      <w:color w:val="auto"/>
                      <w:szCs w:val="21"/>
                      <w:highlight w:val="none"/>
                    </w:rPr>
                    <w:t>声源源强</w:t>
                  </w:r>
                </w:p>
              </w:tc>
              <w:tc>
                <w:tcPr>
                  <w:tcW w:w="1230" w:type="dxa"/>
                  <w:vMerge w:val="restart"/>
                  <w:vAlign w:val="center"/>
                </w:tcPr>
                <w:p w14:paraId="32CD7848">
                  <w:pPr>
                    <w:jc w:val="center"/>
                    <w:rPr>
                      <w:b/>
                      <w:bCs/>
                      <w:strike w:val="0"/>
                      <w:dstrike w:val="0"/>
                      <w:color w:val="auto"/>
                      <w:szCs w:val="21"/>
                      <w:highlight w:val="none"/>
                    </w:rPr>
                  </w:pPr>
                  <w:r>
                    <w:rPr>
                      <w:b/>
                      <w:strike w:val="0"/>
                      <w:dstrike w:val="0"/>
                      <w:color w:val="auto"/>
                      <w:szCs w:val="21"/>
                      <w:highlight w:val="none"/>
                    </w:rPr>
                    <w:t>声源控制措施</w:t>
                  </w:r>
                </w:p>
              </w:tc>
              <w:tc>
                <w:tcPr>
                  <w:tcW w:w="931" w:type="dxa"/>
                  <w:vMerge w:val="restart"/>
                  <w:vAlign w:val="center"/>
                </w:tcPr>
                <w:p w14:paraId="20790CBF">
                  <w:pPr>
                    <w:jc w:val="center"/>
                    <w:rPr>
                      <w:b/>
                      <w:bCs/>
                      <w:strike w:val="0"/>
                      <w:dstrike w:val="0"/>
                      <w:color w:val="auto"/>
                      <w:szCs w:val="21"/>
                      <w:highlight w:val="none"/>
                    </w:rPr>
                  </w:pPr>
                  <w:r>
                    <w:rPr>
                      <w:b/>
                      <w:strike w:val="0"/>
                      <w:dstrike w:val="0"/>
                      <w:color w:val="auto"/>
                      <w:szCs w:val="21"/>
                      <w:highlight w:val="none"/>
                    </w:rPr>
                    <w:t>运行时段</w:t>
                  </w:r>
                </w:p>
              </w:tc>
            </w:tr>
            <w:tr w14:paraId="789A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dxa"/>
                  <w:vMerge w:val="continue"/>
                  <w:vAlign w:val="center"/>
                </w:tcPr>
                <w:p w14:paraId="0687AC3B">
                  <w:pPr>
                    <w:jc w:val="center"/>
                    <w:rPr>
                      <w:b/>
                      <w:bCs/>
                      <w:strike w:val="0"/>
                      <w:dstrike w:val="0"/>
                      <w:color w:val="auto"/>
                      <w:szCs w:val="21"/>
                      <w:highlight w:val="none"/>
                    </w:rPr>
                  </w:pPr>
                </w:p>
              </w:tc>
              <w:tc>
                <w:tcPr>
                  <w:tcW w:w="1177" w:type="dxa"/>
                  <w:vMerge w:val="continue"/>
                  <w:vAlign w:val="center"/>
                </w:tcPr>
                <w:p w14:paraId="22C6877F">
                  <w:pPr>
                    <w:jc w:val="center"/>
                    <w:rPr>
                      <w:b/>
                      <w:bCs/>
                      <w:strike w:val="0"/>
                      <w:dstrike w:val="0"/>
                      <w:color w:val="auto"/>
                      <w:szCs w:val="21"/>
                      <w:highlight w:val="none"/>
                    </w:rPr>
                  </w:pPr>
                </w:p>
              </w:tc>
              <w:tc>
                <w:tcPr>
                  <w:tcW w:w="1649" w:type="dxa"/>
                  <w:vMerge w:val="continue"/>
                  <w:vAlign w:val="center"/>
                </w:tcPr>
                <w:p w14:paraId="6C82D561">
                  <w:pPr>
                    <w:jc w:val="center"/>
                    <w:rPr>
                      <w:b/>
                      <w:bCs/>
                      <w:strike w:val="0"/>
                      <w:dstrike w:val="0"/>
                      <w:color w:val="auto"/>
                      <w:szCs w:val="21"/>
                      <w:highlight w:val="none"/>
                    </w:rPr>
                  </w:pPr>
                </w:p>
              </w:tc>
              <w:tc>
                <w:tcPr>
                  <w:tcW w:w="510" w:type="dxa"/>
                  <w:vAlign w:val="center"/>
                </w:tcPr>
                <w:p w14:paraId="303EF032">
                  <w:pPr>
                    <w:jc w:val="center"/>
                    <w:rPr>
                      <w:b/>
                      <w:bCs/>
                      <w:strike w:val="0"/>
                      <w:dstrike w:val="0"/>
                      <w:color w:val="auto"/>
                      <w:szCs w:val="21"/>
                      <w:highlight w:val="none"/>
                    </w:rPr>
                  </w:pPr>
                  <w:r>
                    <w:rPr>
                      <w:strike w:val="0"/>
                      <w:dstrike w:val="0"/>
                      <w:color w:val="auto"/>
                      <w:szCs w:val="21"/>
                      <w:highlight w:val="none"/>
                    </w:rPr>
                    <w:t>X</w:t>
                  </w:r>
                </w:p>
              </w:tc>
              <w:tc>
                <w:tcPr>
                  <w:tcW w:w="600" w:type="dxa"/>
                  <w:vAlign w:val="center"/>
                </w:tcPr>
                <w:p w14:paraId="0A6437F5">
                  <w:pPr>
                    <w:jc w:val="center"/>
                    <w:rPr>
                      <w:strike w:val="0"/>
                      <w:dstrike w:val="0"/>
                      <w:color w:val="auto"/>
                      <w:szCs w:val="21"/>
                      <w:highlight w:val="none"/>
                    </w:rPr>
                  </w:pPr>
                  <w:r>
                    <w:rPr>
                      <w:strike w:val="0"/>
                      <w:dstrike w:val="0"/>
                      <w:color w:val="auto"/>
                      <w:szCs w:val="21"/>
                      <w:highlight w:val="none"/>
                    </w:rPr>
                    <w:t>Y</w:t>
                  </w:r>
                </w:p>
              </w:tc>
              <w:tc>
                <w:tcPr>
                  <w:tcW w:w="603" w:type="dxa"/>
                  <w:vAlign w:val="center"/>
                </w:tcPr>
                <w:p w14:paraId="6098B1E4">
                  <w:pPr>
                    <w:jc w:val="center"/>
                    <w:rPr>
                      <w:strike w:val="0"/>
                      <w:dstrike w:val="0"/>
                      <w:color w:val="auto"/>
                      <w:szCs w:val="21"/>
                      <w:highlight w:val="none"/>
                    </w:rPr>
                  </w:pPr>
                  <w:r>
                    <w:rPr>
                      <w:strike w:val="0"/>
                      <w:dstrike w:val="0"/>
                      <w:color w:val="auto"/>
                      <w:szCs w:val="21"/>
                      <w:highlight w:val="none"/>
                    </w:rPr>
                    <w:t>Z</w:t>
                  </w:r>
                </w:p>
              </w:tc>
              <w:tc>
                <w:tcPr>
                  <w:tcW w:w="1480" w:type="dxa"/>
                  <w:vAlign w:val="center"/>
                </w:tcPr>
                <w:p w14:paraId="0ED687C0">
                  <w:pPr>
                    <w:jc w:val="center"/>
                    <w:rPr>
                      <w:strike w:val="0"/>
                      <w:dstrike w:val="0"/>
                      <w:color w:val="auto"/>
                      <w:szCs w:val="21"/>
                      <w:highlight w:val="none"/>
                    </w:rPr>
                  </w:pPr>
                  <w:r>
                    <w:rPr>
                      <w:strike w:val="0"/>
                      <w:dstrike w:val="0"/>
                      <w:color w:val="auto"/>
                      <w:szCs w:val="21"/>
                      <w:highlight w:val="none"/>
                    </w:rPr>
                    <w:t>声功率级/dB(A)</w:t>
                  </w:r>
                </w:p>
              </w:tc>
              <w:tc>
                <w:tcPr>
                  <w:tcW w:w="1230" w:type="dxa"/>
                  <w:vMerge w:val="continue"/>
                  <w:vAlign w:val="center"/>
                </w:tcPr>
                <w:p w14:paraId="19810A8F">
                  <w:pPr>
                    <w:jc w:val="center"/>
                    <w:rPr>
                      <w:b/>
                      <w:bCs/>
                      <w:strike w:val="0"/>
                      <w:dstrike w:val="0"/>
                      <w:color w:val="auto"/>
                      <w:szCs w:val="21"/>
                      <w:highlight w:val="none"/>
                    </w:rPr>
                  </w:pPr>
                </w:p>
              </w:tc>
              <w:tc>
                <w:tcPr>
                  <w:tcW w:w="931" w:type="dxa"/>
                  <w:vMerge w:val="continue"/>
                  <w:vAlign w:val="center"/>
                </w:tcPr>
                <w:p w14:paraId="79EB11B9">
                  <w:pPr>
                    <w:jc w:val="center"/>
                    <w:rPr>
                      <w:b/>
                      <w:bCs/>
                      <w:strike w:val="0"/>
                      <w:dstrike w:val="0"/>
                      <w:color w:val="auto"/>
                      <w:szCs w:val="21"/>
                      <w:highlight w:val="none"/>
                    </w:rPr>
                  </w:pPr>
                </w:p>
              </w:tc>
            </w:tr>
            <w:tr w14:paraId="72CF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dxa"/>
                  <w:vAlign w:val="center"/>
                </w:tcPr>
                <w:p w14:paraId="4133AE33">
                  <w:pPr>
                    <w:jc w:val="center"/>
                    <w:rPr>
                      <w:strike w:val="0"/>
                      <w:dstrike w:val="0"/>
                      <w:color w:val="auto"/>
                      <w:szCs w:val="21"/>
                      <w:highlight w:val="none"/>
                    </w:rPr>
                  </w:pPr>
                  <w:r>
                    <w:rPr>
                      <w:strike w:val="0"/>
                      <w:dstrike w:val="0"/>
                      <w:color w:val="auto"/>
                      <w:szCs w:val="21"/>
                      <w:highlight w:val="none"/>
                    </w:rPr>
                    <w:t>1</w:t>
                  </w:r>
                </w:p>
              </w:tc>
              <w:tc>
                <w:tcPr>
                  <w:tcW w:w="1177" w:type="dxa"/>
                  <w:vAlign w:val="center"/>
                </w:tcPr>
                <w:p w14:paraId="5FD2E4FD">
                  <w:pPr>
                    <w:jc w:val="center"/>
                    <w:rPr>
                      <w:strike w:val="0"/>
                      <w:dstrike w:val="0"/>
                      <w:color w:val="auto"/>
                      <w:szCs w:val="21"/>
                      <w:highlight w:val="none"/>
                    </w:rPr>
                  </w:pPr>
                  <w:r>
                    <w:rPr>
                      <w:strike w:val="0"/>
                      <w:dstrike w:val="0"/>
                      <w:color w:val="auto"/>
                      <w:szCs w:val="21"/>
                      <w:highlight w:val="none"/>
                    </w:rPr>
                    <w:t>1#加油机</w:t>
                  </w:r>
                </w:p>
              </w:tc>
              <w:tc>
                <w:tcPr>
                  <w:tcW w:w="1649" w:type="dxa"/>
                  <w:vAlign w:val="center"/>
                </w:tcPr>
                <w:p w14:paraId="58AC6D86">
                  <w:pPr>
                    <w:jc w:val="center"/>
                    <w:rPr>
                      <w:strike w:val="0"/>
                      <w:dstrike w:val="0"/>
                      <w:color w:val="auto"/>
                      <w:szCs w:val="21"/>
                      <w:highlight w:val="none"/>
                    </w:rPr>
                  </w:pPr>
                  <w:r>
                    <w:rPr>
                      <w:rFonts w:hint="eastAsia"/>
                      <w:strike w:val="0"/>
                      <w:dstrike w:val="0"/>
                      <w:color w:val="auto"/>
                      <w:szCs w:val="21"/>
                      <w:highlight w:val="none"/>
                    </w:rPr>
                    <w:t>6</w:t>
                  </w:r>
                  <w:r>
                    <w:rPr>
                      <w:strike w:val="0"/>
                      <w:dstrike w:val="0"/>
                      <w:color w:val="auto"/>
                      <w:szCs w:val="21"/>
                      <w:highlight w:val="none"/>
                    </w:rPr>
                    <w:t>枪加油机</w:t>
                  </w:r>
                </w:p>
              </w:tc>
              <w:tc>
                <w:tcPr>
                  <w:tcW w:w="510" w:type="dxa"/>
                  <w:shd w:val="clear" w:color="auto" w:fill="FFFFFF"/>
                  <w:vAlign w:val="center"/>
                </w:tcPr>
                <w:p w14:paraId="1C2C1168">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9</w:t>
                  </w:r>
                </w:p>
              </w:tc>
              <w:tc>
                <w:tcPr>
                  <w:tcW w:w="600" w:type="dxa"/>
                  <w:shd w:val="clear" w:color="auto" w:fill="FFFFFF"/>
                  <w:vAlign w:val="center"/>
                </w:tcPr>
                <w:p w14:paraId="5BB87C51">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5</w:t>
                  </w:r>
                </w:p>
              </w:tc>
              <w:tc>
                <w:tcPr>
                  <w:tcW w:w="603" w:type="dxa"/>
                  <w:shd w:val="clear" w:color="auto" w:fill="FFFFFF"/>
                  <w:vAlign w:val="center"/>
                </w:tcPr>
                <w:p w14:paraId="1102B460">
                  <w:pPr>
                    <w:rPr>
                      <w:strike w:val="0"/>
                      <w:dstrike w:val="0"/>
                      <w:color w:val="auto"/>
                      <w:szCs w:val="21"/>
                      <w:highlight w:val="none"/>
                    </w:rPr>
                  </w:pPr>
                  <w:r>
                    <w:rPr>
                      <w:rFonts w:eastAsia="Arial"/>
                      <w:strike w:val="0"/>
                      <w:dstrike w:val="0"/>
                      <w:color w:val="auto"/>
                      <w:szCs w:val="21"/>
                      <w:highlight w:val="none"/>
                    </w:rPr>
                    <w:t>1.2</w:t>
                  </w:r>
                </w:p>
              </w:tc>
              <w:tc>
                <w:tcPr>
                  <w:tcW w:w="1480" w:type="dxa"/>
                  <w:vAlign w:val="center"/>
                </w:tcPr>
                <w:p w14:paraId="61985D4E">
                  <w:pPr>
                    <w:jc w:val="center"/>
                    <w:rPr>
                      <w:strike w:val="0"/>
                      <w:dstrike w:val="0"/>
                      <w:color w:val="auto"/>
                      <w:szCs w:val="21"/>
                      <w:highlight w:val="none"/>
                    </w:rPr>
                  </w:pPr>
                  <w:r>
                    <w:rPr>
                      <w:strike w:val="0"/>
                      <w:dstrike w:val="0"/>
                      <w:color w:val="auto"/>
                      <w:szCs w:val="21"/>
                      <w:highlight w:val="none"/>
                    </w:rPr>
                    <w:t>65</w:t>
                  </w:r>
                </w:p>
              </w:tc>
              <w:tc>
                <w:tcPr>
                  <w:tcW w:w="1230" w:type="dxa"/>
                  <w:vAlign w:val="center"/>
                </w:tcPr>
                <w:p w14:paraId="6D2DF65D">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基础减振</w:t>
                  </w:r>
                </w:p>
              </w:tc>
              <w:tc>
                <w:tcPr>
                  <w:tcW w:w="931" w:type="dxa"/>
                  <w:vAlign w:val="center"/>
                </w:tcPr>
                <w:p w14:paraId="59DE1C16">
                  <w:pPr>
                    <w:jc w:val="center"/>
                    <w:rPr>
                      <w:strike w:val="0"/>
                      <w:dstrike w:val="0"/>
                      <w:color w:val="auto"/>
                      <w:szCs w:val="21"/>
                      <w:highlight w:val="none"/>
                    </w:rPr>
                  </w:pPr>
                  <w:r>
                    <w:rPr>
                      <w:bCs/>
                      <w:strike w:val="0"/>
                      <w:dstrike w:val="0"/>
                      <w:color w:val="auto"/>
                      <w:szCs w:val="21"/>
                      <w:highlight w:val="none"/>
                    </w:rPr>
                    <w:t>昼夜间</w:t>
                  </w:r>
                </w:p>
              </w:tc>
            </w:tr>
            <w:tr w14:paraId="3D67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dxa"/>
                  <w:vAlign w:val="center"/>
                </w:tcPr>
                <w:p w14:paraId="3F0A122B">
                  <w:pPr>
                    <w:jc w:val="center"/>
                    <w:rPr>
                      <w:strike w:val="0"/>
                      <w:dstrike w:val="0"/>
                      <w:color w:val="auto"/>
                      <w:szCs w:val="21"/>
                      <w:highlight w:val="none"/>
                    </w:rPr>
                  </w:pPr>
                  <w:r>
                    <w:rPr>
                      <w:strike w:val="0"/>
                      <w:dstrike w:val="0"/>
                      <w:color w:val="auto"/>
                      <w:szCs w:val="21"/>
                      <w:highlight w:val="none"/>
                    </w:rPr>
                    <w:t>2</w:t>
                  </w:r>
                </w:p>
              </w:tc>
              <w:tc>
                <w:tcPr>
                  <w:tcW w:w="1177" w:type="dxa"/>
                  <w:vAlign w:val="center"/>
                </w:tcPr>
                <w:p w14:paraId="7BAD5FDA">
                  <w:pPr>
                    <w:jc w:val="center"/>
                    <w:rPr>
                      <w:strike w:val="0"/>
                      <w:dstrike w:val="0"/>
                      <w:color w:val="auto"/>
                      <w:szCs w:val="21"/>
                      <w:highlight w:val="none"/>
                    </w:rPr>
                  </w:pPr>
                  <w:r>
                    <w:rPr>
                      <w:strike w:val="0"/>
                      <w:dstrike w:val="0"/>
                      <w:color w:val="auto"/>
                      <w:szCs w:val="21"/>
                      <w:highlight w:val="none"/>
                    </w:rPr>
                    <w:t>2#加油机</w:t>
                  </w:r>
                </w:p>
              </w:tc>
              <w:tc>
                <w:tcPr>
                  <w:tcW w:w="1649" w:type="dxa"/>
                  <w:vAlign w:val="center"/>
                </w:tcPr>
                <w:p w14:paraId="12440092">
                  <w:pPr>
                    <w:jc w:val="center"/>
                    <w:rPr>
                      <w:strike w:val="0"/>
                      <w:dstrike w:val="0"/>
                      <w:color w:val="auto"/>
                      <w:szCs w:val="21"/>
                      <w:highlight w:val="none"/>
                    </w:rPr>
                  </w:pPr>
                  <w:r>
                    <w:rPr>
                      <w:strike w:val="0"/>
                      <w:dstrike w:val="0"/>
                      <w:color w:val="auto"/>
                      <w:szCs w:val="21"/>
                      <w:highlight w:val="none"/>
                    </w:rPr>
                    <w:t>4枪加油机</w:t>
                  </w:r>
                </w:p>
              </w:tc>
              <w:tc>
                <w:tcPr>
                  <w:tcW w:w="510" w:type="dxa"/>
                  <w:shd w:val="clear" w:color="auto" w:fill="FFFFFF"/>
                  <w:vAlign w:val="center"/>
                </w:tcPr>
                <w:p w14:paraId="4EDF8F12">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6</w:t>
                  </w:r>
                </w:p>
              </w:tc>
              <w:tc>
                <w:tcPr>
                  <w:tcW w:w="600" w:type="dxa"/>
                  <w:shd w:val="clear" w:color="auto" w:fill="FFFFFF"/>
                  <w:vAlign w:val="center"/>
                </w:tcPr>
                <w:p w14:paraId="09875292">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1</w:t>
                  </w:r>
                </w:p>
              </w:tc>
              <w:tc>
                <w:tcPr>
                  <w:tcW w:w="603" w:type="dxa"/>
                  <w:shd w:val="clear" w:color="auto" w:fill="FFFFFF"/>
                  <w:vAlign w:val="center"/>
                </w:tcPr>
                <w:p w14:paraId="1C35536C">
                  <w:pPr>
                    <w:rPr>
                      <w:strike w:val="0"/>
                      <w:dstrike w:val="0"/>
                      <w:color w:val="auto"/>
                      <w:szCs w:val="21"/>
                      <w:highlight w:val="none"/>
                    </w:rPr>
                  </w:pPr>
                  <w:r>
                    <w:rPr>
                      <w:rFonts w:eastAsia="Arial"/>
                      <w:strike w:val="0"/>
                      <w:dstrike w:val="0"/>
                      <w:color w:val="auto"/>
                      <w:szCs w:val="21"/>
                      <w:highlight w:val="none"/>
                    </w:rPr>
                    <w:t>1.2</w:t>
                  </w:r>
                </w:p>
              </w:tc>
              <w:tc>
                <w:tcPr>
                  <w:tcW w:w="1480" w:type="dxa"/>
                  <w:vAlign w:val="center"/>
                </w:tcPr>
                <w:p w14:paraId="083F3B7F">
                  <w:pPr>
                    <w:jc w:val="center"/>
                    <w:rPr>
                      <w:strike w:val="0"/>
                      <w:dstrike w:val="0"/>
                      <w:color w:val="auto"/>
                      <w:szCs w:val="21"/>
                      <w:highlight w:val="none"/>
                    </w:rPr>
                  </w:pPr>
                  <w:r>
                    <w:rPr>
                      <w:strike w:val="0"/>
                      <w:dstrike w:val="0"/>
                      <w:color w:val="auto"/>
                      <w:szCs w:val="21"/>
                      <w:highlight w:val="none"/>
                    </w:rPr>
                    <w:t>65</w:t>
                  </w:r>
                </w:p>
              </w:tc>
              <w:tc>
                <w:tcPr>
                  <w:tcW w:w="1230" w:type="dxa"/>
                  <w:vAlign w:val="center"/>
                </w:tcPr>
                <w:p w14:paraId="5BCD5092">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基础减振</w:t>
                  </w:r>
                </w:p>
              </w:tc>
              <w:tc>
                <w:tcPr>
                  <w:tcW w:w="931" w:type="dxa"/>
                  <w:vAlign w:val="center"/>
                </w:tcPr>
                <w:p w14:paraId="3A3DD1D6">
                  <w:pPr>
                    <w:jc w:val="center"/>
                    <w:rPr>
                      <w:bCs/>
                      <w:strike w:val="0"/>
                      <w:dstrike w:val="0"/>
                      <w:color w:val="auto"/>
                      <w:szCs w:val="21"/>
                      <w:highlight w:val="none"/>
                    </w:rPr>
                  </w:pPr>
                  <w:r>
                    <w:rPr>
                      <w:bCs/>
                      <w:strike w:val="0"/>
                      <w:dstrike w:val="0"/>
                      <w:color w:val="auto"/>
                      <w:szCs w:val="21"/>
                      <w:highlight w:val="none"/>
                    </w:rPr>
                    <w:t>昼夜间</w:t>
                  </w:r>
                </w:p>
              </w:tc>
            </w:tr>
            <w:tr w14:paraId="3877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dxa"/>
                  <w:vAlign w:val="center"/>
                </w:tcPr>
                <w:p w14:paraId="4F75D039">
                  <w:pPr>
                    <w:jc w:val="center"/>
                    <w:rPr>
                      <w:strike w:val="0"/>
                      <w:dstrike w:val="0"/>
                      <w:color w:val="auto"/>
                      <w:szCs w:val="21"/>
                      <w:highlight w:val="none"/>
                    </w:rPr>
                  </w:pPr>
                  <w:r>
                    <w:rPr>
                      <w:strike w:val="0"/>
                      <w:dstrike w:val="0"/>
                      <w:color w:val="auto"/>
                      <w:szCs w:val="21"/>
                      <w:highlight w:val="none"/>
                    </w:rPr>
                    <w:t>3</w:t>
                  </w:r>
                </w:p>
              </w:tc>
              <w:tc>
                <w:tcPr>
                  <w:tcW w:w="1177" w:type="dxa"/>
                  <w:vAlign w:val="center"/>
                </w:tcPr>
                <w:p w14:paraId="34A7C61F">
                  <w:pPr>
                    <w:jc w:val="center"/>
                    <w:rPr>
                      <w:strike w:val="0"/>
                      <w:dstrike w:val="0"/>
                      <w:color w:val="auto"/>
                      <w:szCs w:val="21"/>
                      <w:highlight w:val="none"/>
                    </w:rPr>
                  </w:pPr>
                  <w:r>
                    <w:rPr>
                      <w:strike w:val="0"/>
                      <w:dstrike w:val="0"/>
                      <w:color w:val="auto"/>
                      <w:szCs w:val="21"/>
                      <w:highlight w:val="none"/>
                    </w:rPr>
                    <w:t>3#加油机</w:t>
                  </w:r>
                </w:p>
              </w:tc>
              <w:tc>
                <w:tcPr>
                  <w:tcW w:w="1649" w:type="dxa"/>
                  <w:vAlign w:val="center"/>
                </w:tcPr>
                <w:p w14:paraId="4B431095">
                  <w:pPr>
                    <w:jc w:val="center"/>
                    <w:rPr>
                      <w:strike w:val="0"/>
                      <w:dstrike w:val="0"/>
                      <w:color w:val="auto"/>
                      <w:szCs w:val="21"/>
                      <w:highlight w:val="none"/>
                    </w:rPr>
                  </w:pPr>
                  <w:r>
                    <w:rPr>
                      <w:rFonts w:hint="eastAsia"/>
                      <w:strike w:val="0"/>
                      <w:dstrike w:val="0"/>
                      <w:color w:val="auto"/>
                      <w:szCs w:val="21"/>
                      <w:highlight w:val="none"/>
                    </w:rPr>
                    <w:t>6</w:t>
                  </w:r>
                  <w:r>
                    <w:rPr>
                      <w:strike w:val="0"/>
                      <w:dstrike w:val="0"/>
                      <w:color w:val="auto"/>
                      <w:szCs w:val="21"/>
                      <w:highlight w:val="none"/>
                    </w:rPr>
                    <w:t>枪加油机</w:t>
                  </w:r>
                </w:p>
              </w:tc>
              <w:tc>
                <w:tcPr>
                  <w:tcW w:w="510" w:type="dxa"/>
                  <w:shd w:val="clear" w:color="auto" w:fill="FFFFFF"/>
                  <w:vAlign w:val="center"/>
                </w:tcPr>
                <w:p w14:paraId="0D7CA926">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3</w:t>
                  </w:r>
                </w:p>
              </w:tc>
              <w:tc>
                <w:tcPr>
                  <w:tcW w:w="600" w:type="dxa"/>
                  <w:shd w:val="clear" w:color="auto" w:fill="FFFFFF"/>
                  <w:vAlign w:val="center"/>
                </w:tcPr>
                <w:p w14:paraId="585E19A0">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-4</w:t>
                  </w:r>
                </w:p>
              </w:tc>
              <w:tc>
                <w:tcPr>
                  <w:tcW w:w="603" w:type="dxa"/>
                  <w:shd w:val="clear" w:color="auto" w:fill="FFFFFF"/>
                  <w:vAlign w:val="center"/>
                </w:tcPr>
                <w:p w14:paraId="6D30D423">
                  <w:pPr>
                    <w:rPr>
                      <w:strike w:val="0"/>
                      <w:dstrike w:val="0"/>
                      <w:color w:val="auto"/>
                      <w:szCs w:val="21"/>
                      <w:highlight w:val="none"/>
                    </w:rPr>
                  </w:pPr>
                  <w:r>
                    <w:rPr>
                      <w:rFonts w:eastAsia="Arial"/>
                      <w:strike w:val="0"/>
                      <w:dstrike w:val="0"/>
                      <w:color w:val="auto"/>
                      <w:szCs w:val="21"/>
                      <w:highlight w:val="none"/>
                    </w:rPr>
                    <w:t>1.2</w:t>
                  </w:r>
                </w:p>
              </w:tc>
              <w:tc>
                <w:tcPr>
                  <w:tcW w:w="1480" w:type="dxa"/>
                  <w:vAlign w:val="center"/>
                </w:tcPr>
                <w:p w14:paraId="4B9B1FB2">
                  <w:pPr>
                    <w:jc w:val="center"/>
                    <w:rPr>
                      <w:strike w:val="0"/>
                      <w:dstrike w:val="0"/>
                      <w:color w:val="auto"/>
                      <w:szCs w:val="21"/>
                      <w:highlight w:val="none"/>
                    </w:rPr>
                  </w:pPr>
                  <w:r>
                    <w:rPr>
                      <w:strike w:val="0"/>
                      <w:dstrike w:val="0"/>
                      <w:color w:val="auto"/>
                      <w:szCs w:val="21"/>
                      <w:highlight w:val="none"/>
                    </w:rPr>
                    <w:t>65</w:t>
                  </w:r>
                </w:p>
              </w:tc>
              <w:tc>
                <w:tcPr>
                  <w:tcW w:w="1230" w:type="dxa"/>
                  <w:vAlign w:val="center"/>
                </w:tcPr>
                <w:p w14:paraId="45AC1ED7">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基础减振</w:t>
                  </w:r>
                </w:p>
              </w:tc>
              <w:tc>
                <w:tcPr>
                  <w:tcW w:w="931" w:type="dxa"/>
                  <w:vAlign w:val="center"/>
                </w:tcPr>
                <w:p w14:paraId="28350113">
                  <w:pPr>
                    <w:jc w:val="center"/>
                    <w:rPr>
                      <w:bCs/>
                      <w:strike w:val="0"/>
                      <w:dstrike w:val="0"/>
                      <w:color w:val="auto"/>
                      <w:szCs w:val="21"/>
                      <w:highlight w:val="none"/>
                    </w:rPr>
                  </w:pPr>
                  <w:r>
                    <w:rPr>
                      <w:bCs/>
                      <w:strike w:val="0"/>
                      <w:dstrike w:val="0"/>
                      <w:color w:val="auto"/>
                      <w:szCs w:val="21"/>
                      <w:highlight w:val="none"/>
                    </w:rPr>
                    <w:t>昼夜间</w:t>
                  </w:r>
                </w:p>
              </w:tc>
            </w:tr>
            <w:tr w14:paraId="0C76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dxa"/>
                  <w:vAlign w:val="center"/>
                </w:tcPr>
                <w:p w14:paraId="71519397">
                  <w:pPr>
                    <w:jc w:val="center"/>
                    <w:rPr>
                      <w:strike w:val="0"/>
                      <w:dstrike w:val="0"/>
                      <w:color w:val="auto"/>
                      <w:szCs w:val="21"/>
                      <w:highlight w:val="none"/>
                    </w:rPr>
                  </w:pPr>
                  <w:r>
                    <w:rPr>
                      <w:strike w:val="0"/>
                      <w:dstrike w:val="0"/>
                      <w:color w:val="auto"/>
                      <w:szCs w:val="21"/>
                      <w:highlight w:val="none"/>
                    </w:rPr>
                    <w:t>4</w:t>
                  </w:r>
                </w:p>
              </w:tc>
              <w:tc>
                <w:tcPr>
                  <w:tcW w:w="1177" w:type="dxa"/>
                  <w:vAlign w:val="center"/>
                </w:tcPr>
                <w:p w14:paraId="34FAD73D">
                  <w:pPr>
                    <w:jc w:val="center"/>
                    <w:rPr>
                      <w:strike w:val="0"/>
                      <w:dstrike w:val="0"/>
                      <w:color w:val="auto"/>
                      <w:szCs w:val="21"/>
                      <w:highlight w:val="none"/>
                    </w:rPr>
                  </w:pPr>
                  <w:r>
                    <w:rPr>
                      <w:strike w:val="0"/>
                      <w:dstrike w:val="0"/>
                      <w:color w:val="auto"/>
                      <w:szCs w:val="21"/>
                      <w:highlight w:val="none"/>
                    </w:rPr>
                    <w:t>4#加油机</w:t>
                  </w:r>
                </w:p>
              </w:tc>
              <w:tc>
                <w:tcPr>
                  <w:tcW w:w="1649" w:type="dxa"/>
                  <w:vAlign w:val="center"/>
                </w:tcPr>
                <w:p w14:paraId="17E03AF9">
                  <w:pPr>
                    <w:jc w:val="center"/>
                    <w:rPr>
                      <w:strike w:val="0"/>
                      <w:dstrike w:val="0"/>
                      <w:color w:val="auto"/>
                      <w:szCs w:val="21"/>
                      <w:highlight w:val="none"/>
                    </w:rPr>
                  </w:pPr>
                  <w:r>
                    <w:rPr>
                      <w:strike w:val="0"/>
                      <w:dstrike w:val="0"/>
                      <w:color w:val="auto"/>
                      <w:szCs w:val="21"/>
                      <w:highlight w:val="none"/>
                    </w:rPr>
                    <w:t>4枪加油机</w:t>
                  </w:r>
                </w:p>
              </w:tc>
              <w:tc>
                <w:tcPr>
                  <w:tcW w:w="510" w:type="dxa"/>
                  <w:shd w:val="clear" w:color="auto" w:fill="FFFFFF"/>
                  <w:vAlign w:val="center"/>
                </w:tcPr>
                <w:p w14:paraId="322C21BC">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1</w:t>
                  </w:r>
                </w:p>
              </w:tc>
              <w:tc>
                <w:tcPr>
                  <w:tcW w:w="600" w:type="dxa"/>
                  <w:shd w:val="clear" w:color="auto" w:fill="FFFFFF"/>
                  <w:vAlign w:val="center"/>
                </w:tcPr>
                <w:p w14:paraId="0DD7FE13">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-7</w:t>
                  </w:r>
                </w:p>
              </w:tc>
              <w:tc>
                <w:tcPr>
                  <w:tcW w:w="603" w:type="dxa"/>
                  <w:shd w:val="clear" w:color="auto" w:fill="FFFFFF"/>
                  <w:vAlign w:val="center"/>
                </w:tcPr>
                <w:p w14:paraId="79AEAE85">
                  <w:pPr>
                    <w:rPr>
                      <w:strike w:val="0"/>
                      <w:dstrike w:val="0"/>
                      <w:color w:val="auto"/>
                      <w:szCs w:val="21"/>
                      <w:highlight w:val="none"/>
                    </w:rPr>
                  </w:pPr>
                  <w:r>
                    <w:rPr>
                      <w:rFonts w:eastAsia="Arial"/>
                      <w:strike w:val="0"/>
                      <w:dstrike w:val="0"/>
                      <w:color w:val="auto"/>
                      <w:szCs w:val="21"/>
                      <w:highlight w:val="none"/>
                    </w:rPr>
                    <w:t>1.2</w:t>
                  </w:r>
                </w:p>
              </w:tc>
              <w:tc>
                <w:tcPr>
                  <w:tcW w:w="1480" w:type="dxa"/>
                  <w:vAlign w:val="center"/>
                </w:tcPr>
                <w:p w14:paraId="53585603">
                  <w:pPr>
                    <w:jc w:val="center"/>
                    <w:rPr>
                      <w:strike w:val="0"/>
                      <w:dstrike w:val="0"/>
                      <w:color w:val="auto"/>
                      <w:szCs w:val="21"/>
                      <w:highlight w:val="none"/>
                    </w:rPr>
                  </w:pPr>
                  <w:r>
                    <w:rPr>
                      <w:strike w:val="0"/>
                      <w:dstrike w:val="0"/>
                      <w:color w:val="auto"/>
                      <w:szCs w:val="21"/>
                      <w:highlight w:val="none"/>
                    </w:rPr>
                    <w:t>65</w:t>
                  </w:r>
                </w:p>
              </w:tc>
              <w:tc>
                <w:tcPr>
                  <w:tcW w:w="1230" w:type="dxa"/>
                  <w:vAlign w:val="center"/>
                </w:tcPr>
                <w:p w14:paraId="4B2C3E1A">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基础减振</w:t>
                  </w:r>
                </w:p>
              </w:tc>
              <w:tc>
                <w:tcPr>
                  <w:tcW w:w="931" w:type="dxa"/>
                  <w:vAlign w:val="center"/>
                </w:tcPr>
                <w:p w14:paraId="0D32A69A">
                  <w:pPr>
                    <w:jc w:val="center"/>
                    <w:rPr>
                      <w:bCs/>
                      <w:strike w:val="0"/>
                      <w:dstrike w:val="0"/>
                      <w:color w:val="auto"/>
                      <w:szCs w:val="21"/>
                      <w:highlight w:val="none"/>
                    </w:rPr>
                  </w:pPr>
                  <w:r>
                    <w:rPr>
                      <w:bCs/>
                      <w:strike w:val="0"/>
                      <w:dstrike w:val="0"/>
                      <w:color w:val="auto"/>
                      <w:szCs w:val="21"/>
                      <w:highlight w:val="none"/>
                    </w:rPr>
                    <w:t>昼夜间</w:t>
                  </w:r>
                </w:p>
              </w:tc>
            </w:tr>
            <w:tr w14:paraId="6EBB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dxa"/>
                  <w:vAlign w:val="center"/>
                </w:tcPr>
                <w:p w14:paraId="7CC6D783">
                  <w:pPr>
                    <w:jc w:val="center"/>
                    <w:rPr>
                      <w:strike w:val="0"/>
                      <w:dstrike w:val="0"/>
                      <w:color w:val="auto"/>
                      <w:szCs w:val="21"/>
                      <w:highlight w:val="none"/>
                    </w:rPr>
                  </w:pPr>
                  <w:r>
                    <w:rPr>
                      <w:strike w:val="0"/>
                      <w:dstrike w:val="0"/>
                      <w:color w:val="auto"/>
                      <w:szCs w:val="21"/>
                      <w:highlight w:val="none"/>
                    </w:rPr>
                    <w:t>5</w:t>
                  </w:r>
                </w:p>
              </w:tc>
              <w:tc>
                <w:tcPr>
                  <w:tcW w:w="1177" w:type="dxa"/>
                  <w:vAlign w:val="center"/>
                </w:tcPr>
                <w:p w14:paraId="52DBCEE4">
                  <w:pPr>
                    <w:jc w:val="center"/>
                    <w:rPr>
                      <w:strike w:val="0"/>
                      <w:dstrike w:val="0"/>
                      <w:color w:val="auto"/>
                      <w:szCs w:val="21"/>
                      <w:highlight w:val="none"/>
                    </w:rPr>
                  </w:pPr>
                  <w:r>
                    <w:rPr>
                      <w:strike w:val="0"/>
                      <w:dstrike w:val="0"/>
                      <w:color w:val="auto"/>
                      <w:szCs w:val="21"/>
                      <w:highlight w:val="none"/>
                    </w:rPr>
                    <w:t>1#LNG加气机</w:t>
                  </w:r>
                </w:p>
              </w:tc>
              <w:tc>
                <w:tcPr>
                  <w:tcW w:w="1649" w:type="dxa"/>
                  <w:vAlign w:val="center"/>
                </w:tcPr>
                <w:p w14:paraId="70B3C3DE">
                  <w:pPr>
                    <w:widowControl/>
                    <w:jc w:val="center"/>
                    <w:textAlignment w:val="center"/>
                    <w:rPr>
                      <w:strike w:val="0"/>
                      <w:dstrike w:val="0"/>
                      <w:color w:val="auto"/>
                      <w:szCs w:val="21"/>
                      <w:highlight w:val="none"/>
                    </w:rPr>
                  </w:pPr>
                  <w:r>
                    <w:rPr>
                      <w:strike w:val="0"/>
                      <w:dstrike w:val="0"/>
                      <w:color w:val="auto"/>
                      <w:szCs w:val="21"/>
                      <w:highlight w:val="none"/>
                    </w:rPr>
                    <w:t>单枪加气机，200W，220V</w:t>
                  </w:r>
                </w:p>
              </w:tc>
              <w:tc>
                <w:tcPr>
                  <w:tcW w:w="510" w:type="dxa"/>
                  <w:shd w:val="clear" w:color="auto" w:fill="FFFFFF"/>
                  <w:vAlign w:val="center"/>
                </w:tcPr>
                <w:p w14:paraId="2BEC47CA">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-1</w:t>
                  </w:r>
                </w:p>
              </w:tc>
              <w:tc>
                <w:tcPr>
                  <w:tcW w:w="600" w:type="dxa"/>
                  <w:shd w:val="clear" w:color="auto" w:fill="FFFFFF"/>
                  <w:vAlign w:val="center"/>
                </w:tcPr>
                <w:p w14:paraId="04C8076B">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3</w:t>
                  </w:r>
                </w:p>
              </w:tc>
              <w:tc>
                <w:tcPr>
                  <w:tcW w:w="603" w:type="dxa"/>
                  <w:shd w:val="clear" w:color="auto" w:fill="FFFFFF"/>
                  <w:vAlign w:val="center"/>
                </w:tcPr>
                <w:p w14:paraId="3D969E4D">
                  <w:pPr>
                    <w:rPr>
                      <w:strike w:val="0"/>
                      <w:dstrike w:val="0"/>
                      <w:color w:val="auto"/>
                      <w:szCs w:val="21"/>
                      <w:highlight w:val="none"/>
                    </w:rPr>
                  </w:pPr>
                  <w:r>
                    <w:rPr>
                      <w:rFonts w:eastAsia="Arial"/>
                      <w:strike w:val="0"/>
                      <w:dstrike w:val="0"/>
                      <w:color w:val="auto"/>
                      <w:szCs w:val="21"/>
                      <w:highlight w:val="none"/>
                    </w:rPr>
                    <w:t>1.2</w:t>
                  </w:r>
                </w:p>
              </w:tc>
              <w:tc>
                <w:tcPr>
                  <w:tcW w:w="1480" w:type="dxa"/>
                  <w:vAlign w:val="center"/>
                </w:tcPr>
                <w:p w14:paraId="39A401DB">
                  <w:pPr>
                    <w:jc w:val="center"/>
                    <w:rPr>
                      <w:strike w:val="0"/>
                      <w:dstrike w:val="0"/>
                      <w:color w:val="auto"/>
                      <w:szCs w:val="21"/>
                      <w:highlight w:val="none"/>
                    </w:rPr>
                  </w:pPr>
                  <w:r>
                    <w:rPr>
                      <w:strike w:val="0"/>
                      <w:dstrike w:val="0"/>
                      <w:color w:val="auto"/>
                      <w:szCs w:val="21"/>
                      <w:highlight w:val="none"/>
                    </w:rPr>
                    <w:t>65</w:t>
                  </w:r>
                </w:p>
              </w:tc>
              <w:tc>
                <w:tcPr>
                  <w:tcW w:w="1230" w:type="dxa"/>
                  <w:vAlign w:val="center"/>
                </w:tcPr>
                <w:p w14:paraId="0F2FF6A5">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基础减振</w:t>
                  </w:r>
                </w:p>
              </w:tc>
              <w:tc>
                <w:tcPr>
                  <w:tcW w:w="931" w:type="dxa"/>
                  <w:vAlign w:val="center"/>
                </w:tcPr>
                <w:p w14:paraId="07052140">
                  <w:pPr>
                    <w:jc w:val="center"/>
                    <w:rPr>
                      <w:bCs/>
                      <w:strike w:val="0"/>
                      <w:dstrike w:val="0"/>
                      <w:color w:val="auto"/>
                      <w:szCs w:val="21"/>
                      <w:highlight w:val="none"/>
                    </w:rPr>
                  </w:pPr>
                  <w:r>
                    <w:rPr>
                      <w:bCs/>
                      <w:strike w:val="0"/>
                      <w:dstrike w:val="0"/>
                      <w:color w:val="auto"/>
                      <w:szCs w:val="21"/>
                      <w:highlight w:val="none"/>
                    </w:rPr>
                    <w:t>昼夜间</w:t>
                  </w:r>
                </w:p>
              </w:tc>
            </w:tr>
            <w:tr w14:paraId="4A7E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dxa"/>
                  <w:vAlign w:val="center"/>
                </w:tcPr>
                <w:p w14:paraId="58ED6DAA">
                  <w:pPr>
                    <w:jc w:val="center"/>
                    <w:rPr>
                      <w:strike w:val="0"/>
                      <w:dstrike w:val="0"/>
                      <w:color w:val="auto"/>
                      <w:szCs w:val="21"/>
                      <w:highlight w:val="none"/>
                    </w:rPr>
                  </w:pPr>
                  <w:r>
                    <w:rPr>
                      <w:strike w:val="0"/>
                      <w:dstrike w:val="0"/>
                      <w:color w:val="auto"/>
                      <w:szCs w:val="21"/>
                      <w:highlight w:val="none"/>
                    </w:rPr>
                    <w:t>6</w:t>
                  </w:r>
                </w:p>
              </w:tc>
              <w:tc>
                <w:tcPr>
                  <w:tcW w:w="1177" w:type="dxa"/>
                  <w:vAlign w:val="center"/>
                </w:tcPr>
                <w:p w14:paraId="62F25655">
                  <w:pPr>
                    <w:jc w:val="center"/>
                    <w:rPr>
                      <w:strike w:val="0"/>
                      <w:dstrike w:val="0"/>
                      <w:color w:val="auto"/>
                      <w:szCs w:val="21"/>
                      <w:highlight w:val="none"/>
                    </w:rPr>
                  </w:pPr>
                  <w:r>
                    <w:rPr>
                      <w:strike w:val="0"/>
                      <w:dstrike w:val="0"/>
                      <w:color w:val="auto"/>
                      <w:szCs w:val="21"/>
                      <w:highlight w:val="none"/>
                    </w:rPr>
                    <w:t>2#LNG加气机</w:t>
                  </w:r>
                </w:p>
              </w:tc>
              <w:tc>
                <w:tcPr>
                  <w:tcW w:w="1649" w:type="dxa"/>
                  <w:vAlign w:val="center"/>
                </w:tcPr>
                <w:p w14:paraId="7622D6D6">
                  <w:pPr>
                    <w:widowControl/>
                    <w:jc w:val="center"/>
                    <w:textAlignment w:val="center"/>
                    <w:rPr>
                      <w:strike w:val="0"/>
                      <w:dstrike w:val="0"/>
                      <w:color w:val="auto"/>
                      <w:szCs w:val="21"/>
                      <w:highlight w:val="none"/>
                    </w:rPr>
                  </w:pPr>
                  <w:r>
                    <w:rPr>
                      <w:strike w:val="0"/>
                      <w:dstrike w:val="0"/>
                      <w:color w:val="auto"/>
                      <w:szCs w:val="21"/>
                      <w:highlight w:val="none"/>
                    </w:rPr>
                    <w:t>单枪加气机，200W，220V</w:t>
                  </w:r>
                </w:p>
              </w:tc>
              <w:tc>
                <w:tcPr>
                  <w:tcW w:w="510" w:type="dxa"/>
                  <w:shd w:val="clear" w:color="auto" w:fill="FFFFFF"/>
                  <w:vAlign w:val="center"/>
                </w:tcPr>
                <w:p w14:paraId="5143FDDC">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-8</w:t>
                  </w:r>
                </w:p>
              </w:tc>
              <w:tc>
                <w:tcPr>
                  <w:tcW w:w="600" w:type="dxa"/>
                  <w:shd w:val="clear" w:color="auto" w:fill="FFFFFF"/>
                  <w:vAlign w:val="center"/>
                </w:tcPr>
                <w:p w14:paraId="746A7A81">
                  <w:pPr>
                    <w:jc w:val="center"/>
                    <w:rPr>
                      <w:rFonts w:ascii="Times New Roman" w:hAnsi="Times New Roman" w:eastAsia="宋体" w:cs="Times New Roman"/>
                      <w:strike w:val="0"/>
                      <w:dstrike w:val="0"/>
                      <w:color w:val="auto"/>
                      <w:szCs w:val="21"/>
                      <w:highlight w:val="none"/>
                    </w:rPr>
                  </w:pPr>
                  <w:r>
                    <w:rPr>
                      <w:rFonts w:hint="eastAsia" w:ascii="Times New Roman" w:hAnsi="Times New Roman" w:eastAsia="宋体" w:cs="Times New Roman"/>
                      <w:strike w:val="0"/>
                      <w:dstrike w:val="0"/>
                      <w:color w:val="auto"/>
                      <w:szCs w:val="21"/>
                      <w:highlight w:val="none"/>
                      <w:lang w:val="en-US" w:eastAsia="zh-CN"/>
                    </w:rPr>
                    <w:t>-7</w:t>
                  </w:r>
                </w:p>
              </w:tc>
              <w:tc>
                <w:tcPr>
                  <w:tcW w:w="603" w:type="dxa"/>
                  <w:shd w:val="clear" w:color="auto" w:fill="FFFFFF"/>
                  <w:vAlign w:val="center"/>
                </w:tcPr>
                <w:p w14:paraId="662B319A">
                  <w:pPr>
                    <w:rPr>
                      <w:strike w:val="0"/>
                      <w:dstrike w:val="0"/>
                      <w:color w:val="auto"/>
                      <w:szCs w:val="21"/>
                      <w:highlight w:val="none"/>
                    </w:rPr>
                  </w:pPr>
                  <w:r>
                    <w:rPr>
                      <w:rFonts w:eastAsia="Arial"/>
                      <w:strike w:val="0"/>
                      <w:dstrike w:val="0"/>
                      <w:color w:val="auto"/>
                      <w:szCs w:val="21"/>
                      <w:highlight w:val="none"/>
                    </w:rPr>
                    <w:t>1.2</w:t>
                  </w:r>
                </w:p>
              </w:tc>
              <w:tc>
                <w:tcPr>
                  <w:tcW w:w="1480" w:type="dxa"/>
                  <w:vAlign w:val="center"/>
                </w:tcPr>
                <w:p w14:paraId="37110D78">
                  <w:pPr>
                    <w:jc w:val="center"/>
                    <w:rPr>
                      <w:strike w:val="0"/>
                      <w:dstrike w:val="0"/>
                      <w:color w:val="auto"/>
                      <w:szCs w:val="21"/>
                      <w:highlight w:val="none"/>
                    </w:rPr>
                  </w:pPr>
                  <w:r>
                    <w:rPr>
                      <w:strike w:val="0"/>
                      <w:dstrike w:val="0"/>
                      <w:color w:val="auto"/>
                      <w:szCs w:val="21"/>
                      <w:highlight w:val="none"/>
                    </w:rPr>
                    <w:t>65</w:t>
                  </w:r>
                </w:p>
              </w:tc>
              <w:tc>
                <w:tcPr>
                  <w:tcW w:w="1230" w:type="dxa"/>
                  <w:vAlign w:val="center"/>
                </w:tcPr>
                <w:p w14:paraId="287C3622">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基础减振</w:t>
                  </w:r>
                </w:p>
              </w:tc>
              <w:tc>
                <w:tcPr>
                  <w:tcW w:w="931" w:type="dxa"/>
                  <w:vAlign w:val="center"/>
                </w:tcPr>
                <w:p w14:paraId="5CE10211">
                  <w:pPr>
                    <w:jc w:val="center"/>
                    <w:rPr>
                      <w:bCs/>
                      <w:strike w:val="0"/>
                      <w:dstrike w:val="0"/>
                      <w:color w:val="auto"/>
                      <w:szCs w:val="21"/>
                      <w:highlight w:val="none"/>
                    </w:rPr>
                  </w:pPr>
                  <w:r>
                    <w:rPr>
                      <w:bCs/>
                      <w:strike w:val="0"/>
                      <w:dstrike w:val="0"/>
                      <w:color w:val="auto"/>
                      <w:szCs w:val="21"/>
                      <w:highlight w:val="none"/>
                    </w:rPr>
                    <w:t>昼夜间</w:t>
                  </w:r>
                </w:p>
              </w:tc>
            </w:tr>
          </w:tbl>
          <w:p w14:paraId="1F5BA193">
            <w:pPr>
              <w:rPr>
                <w:bCs/>
                <w:strike w:val="0"/>
                <w:dstrike w:val="0"/>
                <w:color w:val="auto"/>
                <w:szCs w:val="21"/>
                <w:highlight w:val="none"/>
              </w:rPr>
            </w:pPr>
            <w:r>
              <w:rPr>
                <w:bCs/>
                <w:strike w:val="0"/>
                <w:dstrike w:val="0"/>
                <w:color w:val="auto"/>
                <w:szCs w:val="21"/>
                <w:highlight w:val="none"/>
              </w:rPr>
              <w:t>注：表中坐标以厂界中心（106.481071,29.936271）为坐标原点，正东向为X轴正方向，正北向为Y轴正方向。</w:t>
            </w:r>
          </w:p>
          <w:p w14:paraId="43318DCB">
            <w:pPr>
              <w:autoSpaceDE w:val="0"/>
              <w:autoSpaceDN w:val="0"/>
              <w:adjustRightInd w:val="0"/>
              <w:jc w:val="center"/>
              <w:textAlignment w:val="baseline"/>
              <w:rPr>
                <w:b/>
                <w:bCs/>
                <w:strike w:val="0"/>
                <w:dstrike w:val="0"/>
                <w:color w:val="auto"/>
                <w:sz w:val="24"/>
                <w:highlight w:val="none"/>
              </w:rPr>
            </w:pPr>
            <w:r>
              <w:rPr>
                <w:b/>
                <w:bCs/>
                <w:strike w:val="0"/>
                <w:dstrike w:val="0"/>
                <w:color w:val="auto"/>
                <w:sz w:val="24"/>
                <w:highlight w:val="none"/>
              </w:rPr>
              <w:t>表4.2-1</w:t>
            </w:r>
            <w:r>
              <w:rPr>
                <w:rFonts w:hint="eastAsia"/>
                <w:b/>
                <w:bCs/>
                <w:strike w:val="0"/>
                <w:dstrike w:val="0"/>
                <w:color w:val="auto"/>
                <w:sz w:val="24"/>
                <w:highlight w:val="none"/>
                <w:lang w:val="en-US" w:eastAsia="zh-CN"/>
              </w:rPr>
              <w:t>5</w:t>
            </w:r>
            <w:r>
              <w:rPr>
                <w:b/>
                <w:bCs/>
                <w:strike w:val="0"/>
                <w:dstrike w:val="0"/>
                <w:color w:val="auto"/>
                <w:sz w:val="24"/>
                <w:highlight w:val="none"/>
              </w:rPr>
              <w:t xml:space="preserve">  主要设备噪声源强（室内声源）  单位：dB(A)</w:t>
            </w:r>
          </w:p>
          <w:tbl>
            <w:tblPr>
              <w:tblStyle w:val="22"/>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793"/>
              <w:gridCol w:w="1138"/>
              <w:gridCol w:w="650"/>
              <w:gridCol w:w="962"/>
              <w:gridCol w:w="1039"/>
              <w:gridCol w:w="686"/>
              <w:gridCol w:w="746"/>
              <w:gridCol w:w="665"/>
              <w:gridCol w:w="982"/>
              <w:gridCol w:w="930"/>
            </w:tblGrid>
            <w:tr w14:paraId="7F57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vMerge w:val="restart"/>
                  <w:vAlign w:val="center"/>
                </w:tcPr>
                <w:p w14:paraId="2BE66079">
                  <w:pPr>
                    <w:jc w:val="center"/>
                    <w:rPr>
                      <w:strike w:val="0"/>
                      <w:dstrike w:val="0"/>
                      <w:color w:val="auto"/>
                      <w:sz w:val="18"/>
                      <w:szCs w:val="18"/>
                      <w:highlight w:val="none"/>
                    </w:rPr>
                  </w:pPr>
                  <w:r>
                    <w:rPr>
                      <w:b/>
                      <w:strike w:val="0"/>
                      <w:dstrike w:val="0"/>
                      <w:color w:val="auto"/>
                      <w:sz w:val="18"/>
                      <w:szCs w:val="18"/>
                      <w:highlight w:val="none"/>
                    </w:rPr>
                    <w:t>序号</w:t>
                  </w:r>
                </w:p>
              </w:tc>
              <w:tc>
                <w:tcPr>
                  <w:tcW w:w="793" w:type="dxa"/>
                  <w:vMerge w:val="restart"/>
                  <w:vAlign w:val="center"/>
                </w:tcPr>
                <w:p w14:paraId="17F4F2B7">
                  <w:pPr>
                    <w:jc w:val="center"/>
                    <w:rPr>
                      <w:strike w:val="0"/>
                      <w:dstrike w:val="0"/>
                      <w:color w:val="auto"/>
                      <w:sz w:val="18"/>
                      <w:szCs w:val="18"/>
                      <w:highlight w:val="none"/>
                    </w:rPr>
                  </w:pPr>
                  <w:r>
                    <w:rPr>
                      <w:b/>
                      <w:strike w:val="0"/>
                      <w:dstrike w:val="0"/>
                      <w:color w:val="auto"/>
                      <w:sz w:val="18"/>
                      <w:szCs w:val="18"/>
                      <w:highlight w:val="none"/>
                    </w:rPr>
                    <w:t>建筑物名称</w:t>
                  </w:r>
                </w:p>
              </w:tc>
              <w:tc>
                <w:tcPr>
                  <w:tcW w:w="1138" w:type="dxa"/>
                  <w:vMerge w:val="restart"/>
                  <w:vAlign w:val="center"/>
                </w:tcPr>
                <w:p w14:paraId="59DA3470">
                  <w:pPr>
                    <w:jc w:val="center"/>
                    <w:rPr>
                      <w:strike w:val="0"/>
                      <w:dstrike w:val="0"/>
                      <w:color w:val="auto"/>
                      <w:sz w:val="18"/>
                      <w:szCs w:val="18"/>
                      <w:highlight w:val="none"/>
                    </w:rPr>
                  </w:pPr>
                  <w:r>
                    <w:rPr>
                      <w:b/>
                      <w:strike w:val="0"/>
                      <w:dstrike w:val="0"/>
                      <w:color w:val="auto"/>
                      <w:sz w:val="18"/>
                      <w:szCs w:val="18"/>
                      <w:highlight w:val="none"/>
                    </w:rPr>
                    <w:t>声源名称</w:t>
                  </w:r>
                </w:p>
              </w:tc>
              <w:tc>
                <w:tcPr>
                  <w:tcW w:w="650" w:type="dxa"/>
                  <w:vMerge w:val="restart"/>
                  <w:vAlign w:val="center"/>
                </w:tcPr>
                <w:p w14:paraId="4A6DFE7D">
                  <w:pPr>
                    <w:jc w:val="center"/>
                    <w:rPr>
                      <w:strike w:val="0"/>
                      <w:dstrike w:val="0"/>
                      <w:color w:val="auto"/>
                      <w:sz w:val="18"/>
                      <w:szCs w:val="18"/>
                      <w:highlight w:val="none"/>
                    </w:rPr>
                  </w:pPr>
                  <w:r>
                    <w:rPr>
                      <w:b/>
                      <w:strike w:val="0"/>
                      <w:dstrike w:val="0"/>
                      <w:color w:val="auto"/>
                      <w:sz w:val="18"/>
                      <w:szCs w:val="18"/>
                      <w:highlight w:val="none"/>
                    </w:rPr>
                    <w:t>数量</w:t>
                  </w:r>
                </w:p>
              </w:tc>
              <w:tc>
                <w:tcPr>
                  <w:tcW w:w="962" w:type="dxa"/>
                  <w:vAlign w:val="center"/>
                </w:tcPr>
                <w:p w14:paraId="288B808F">
                  <w:pPr>
                    <w:jc w:val="center"/>
                    <w:rPr>
                      <w:strike w:val="0"/>
                      <w:dstrike w:val="0"/>
                      <w:color w:val="auto"/>
                      <w:sz w:val="18"/>
                      <w:szCs w:val="18"/>
                      <w:highlight w:val="none"/>
                    </w:rPr>
                  </w:pPr>
                  <w:r>
                    <w:rPr>
                      <w:b/>
                      <w:strike w:val="0"/>
                      <w:dstrike w:val="0"/>
                      <w:color w:val="auto"/>
                      <w:sz w:val="18"/>
                      <w:szCs w:val="18"/>
                      <w:highlight w:val="none"/>
                    </w:rPr>
                    <w:t>声源源强</w:t>
                  </w:r>
                </w:p>
              </w:tc>
              <w:tc>
                <w:tcPr>
                  <w:tcW w:w="1039" w:type="dxa"/>
                  <w:vMerge w:val="restart"/>
                  <w:vAlign w:val="center"/>
                </w:tcPr>
                <w:p w14:paraId="32D5F260">
                  <w:pPr>
                    <w:jc w:val="center"/>
                    <w:rPr>
                      <w:strike w:val="0"/>
                      <w:dstrike w:val="0"/>
                      <w:color w:val="auto"/>
                      <w:sz w:val="18"/>
                      <w:szCs w:val="18"/>
                      <w:highlight w:val="none"/>
                    </w:rPr>
                  </w:pPr>
                  <w:r>
                    <w:rPr>
                      <w:b/>
                      <w:strike w:val="0"/>
                      <w:dstrike w:val="0"/>
                      <w:color w:val="auto"/>
                      <w:sz w:val="18"/>
                      <w:szCs w:val="18"/>
                      <w:highlight w:val="none"/>
                    </w:rPr>
                    <w:t>声源控制措施</w:t>
                  </w:r>
                </w:p>
              </w:tc>
              <w:tc>
                <w:tcPr>
                  <w:tcW w:w="2097" w:type="dxa"/>
                  <w:gridSpan w:val="3"/>
                  <w:vAlign w:val="center"/>
                </w:tcPr>
                <w:p w14:paraId="1E7E14AF">
                  <w:pPr>
                    <w:jc w:val="center"/>
                    <w:rPr>
                      <w:strike w:val="0"/>
                      <w:dstrike w:val="0"/>
                      <w:color w:val="auto"/>
                      <w:sz w:val="18"/>
                      <w:szCs w:val="18"/>
                      <w:highlight w:val="none"/>
                    </w:rPr>
                  </w:pPr>
                  <w:r>
                    <w:rPr>
                      <w:b/>
                      <w:strike w:val="0"/>
                      <w:dstrike w:val="0"/>
                      <w:color w:val="auto"/>
                      <w:sz w:val="18"/>
                      <w:szCs w:val="18"/>
                      <w:highlight w:val="none"/>
                    </w:rPr>
                    <w:t>空间相对位置/m</w:t>
                  </w:r>
                </w:p>
              </w:tc>
              <w:tc>
                <w:tcPr>
                  <w:tcW w:w="982" w:type="dxa"/>
                  <w:vMerge w:val="restart"/>
                  <w:vAlign w:val="center"/>
                </w:tcPr>
                <w:p w14:paraId="6795A2C0">
                  <w:pPr>
                    <w:jc w:val="center"/>
                    <w:rPr>
                      <w:strike w:val="0"/>
                      <w:dstrike w:val="0"/>
                      <w:color w:val="auto"/>
                      <w:sz w:val="18"/>
                      <w:szCs w:val="18"/>
                      <w:highlight w:val="none"/>
                    </w:rPr>
                  </w:pPr>
                  <w:r>
                    <w:rPr>
                      <w:b/>
                      <w:strike w:val="0"/>
                      <w:dstrike w:val="0"/>
                      <w:color w:val="auto"/>
                      <w:sz w:val="18"/>
                      <w:szCs w:val="18"/>
                      <w:highlight w:val="none"/>
                    </w:rPr>
                    <w:t>运行时段</w:t>
                  </w:r>
                </w:p>
              </w:tc>
              <w:tc>
                <w:tcPr>
                  <w:tcW w:w="930" w:type="dxa"/>
                  <w:vMerge w:val="restart"/>
                  <w:vAlign w:val="center"/>
                </w:tcPr>
                <w:p w14:paraId="55612A40">
                  <w:pPr>
                    <w:jc w:val="center"/>
                    <w:rPr>
                      <w:b/>
                      <w:strike w:val="0"/>
                      <w:dstrike w:val="0"/>
                      <w:color w:val="auto"/>
                      <w:sz w:val="18"/>
                      <w:szCs w:val="18"/>
                      <w:highlight w:val="none"/>
                    </w:rPr>
                  </w:pPr>
                  <w:r>
                    <w:rPr>
                      <w:b/>
                      <w:strike w:val="0"/>
                      <w:dstrike w:val="0"/>
                      <w:color w:val="auto"/>
                      <w:sz w:val="18"/>
                      <w:szCs w:val="18"/>
                      <w:highlight w:val="none"/>
                    </w:rPr>
                    <w:t>备注</w:t>
                  </w:r>
                </w:p>
              </w:tc>
            </w:tr>
            <w:tr w14:paraId="55A6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vMerge w:val="continue"/>
                  <w:vAlign w:val="center"/>
                </w:tcPr>
                <w:p w14:paraId="3C1786FB">
                  <w:pPr>
                    <w:jc w:val="center"/>
                    <w:rPr>
                      <w:strike w:val="0"/>
                      <w:dstrike w:val="0"/>
                      <w:color w:val="auto"/>
                      <w:sz w:val="18"/>
                      <w:szCs w:val="18"/>
                      <w:highlight w:val="none"/>
                    </w:rPr>
                  </w:pPr>
                </w:p>
              </w:tc>
              <w:tc>
                <w:tcPr>
                  <w:tcW w:w="793" w:type="dxa"/>
                  <w:vMerge w:val="continue"/>
                  <w:vAlign w:val="center"/>
                </w:tcPr>
                <w:p w14:paraId="77FC2A79">
                  <w:pPr>
                    <w:jc w:val="center"/>
                    <w:rPr>
                      <w:strike w:val="0"/>
                      <w:dstrike w:val="0"/>
                      <w:color w:val="auto"/>
                      <w:sz w:val="18"/>
                      <w:szCs w:val="18"/>
                      <w:highlight w:val="none"/>
                    </w:rPr>
                  </w:pPr>
                </w:p>
              </w:tc>
              <w:tc>
                <w:tcPr>
                  <w:tcW w:w="1138" w:type="dxa"/>
                  <w:vMerge w:val="continue"/>
                  <w:vAlign w:val="center"/>
                </w:tcPr>
                <w:p w14:paraId="52AD8690">
                  <w:pPr>
                    <w:jc w:val="center"/>
                    <w:rPr>
                      <w:strike w:val="0"/>
                      <w:dstrike w:val="0"/>
                      <w:color w:val="auto"/>
                      <w:sz w:val="18"/>
                      <w:szCs w:val="18"/>
                      <w:highlight w:val="none"/>
                    </w:rPr>
                  </w:pPr>
                </w:p>
              </w:tc>
              <w:tc>
                <w:tcPr>
                  <w:tcW w:w="650" w:type="dxa"/>
                  <w:vMerge w:val="continue"/>
                  <w:vAlign w:val="center"/>
                </w:tcPr>
                <w:p w14:paraId="0179DE6B">
                  <w:pPr>
                    <w:jc w:val="center"/>
                    <w:rPr>
                      <w:strike w:val="0"/>
                      <w:dstrike w:val="0"/>
                      <w:color w:val="auto"/>
                      <w:sz w:val="18"/>
                      <w:szCs w:val="18"/>
                      <w:highlight w:val="none"/>
                    </w:rPr>
                  </w:pPr>
                </w:p>
              </w:tc>
              <w:tc>
                <w:tcPr>
                  <w:tcW w:w="962" w:type="dxa"/>
                  <w:vAlign w:val="center"/>
                </w:tcPr>
                <w:p w14:paraId="7ABD664C">
                  <w:pPr>
                    <w:jc w:val="center"/>
                    <w:rPr>
                      <w:strike w:val="0"/>
                      <w:dstrike w:val="0"/>
                      <w:color w:val="auto"/>
                      <w:sz w:val="18"/>
                      <w:szCs w:val="18"/>
                      <w:highlight w:val="none"/>
                    </w:rPr>
                  </w:pPr>
                  <w:r>
                    <w:rPr>
                      <w:strike w:val="0"/>
                      <w:dstrike w:val="0"/>
                      <w:color w:val="auto"/>
                      <w:sz w:val="18"/>
                      <w:szCs w:val="18"/>
                      <w:highlight w:val="none"/>
                    </w:rPr>
                    <w:t>声功率级/dB(A)</w:t>
                  </w:r>
                </w:p>
              </w:tc>
              <w:tc>
                <w:tcPr>
                  <w:tcW w:w="1039" w:type="dxa"/>
                  <w:vMerge w:val="continue"/>
                  <w:vAlign w:val="center"/>
                </w:tcPr>
                <w:p w14:paraId="7F0A522F">
                  <w:pPr>
                    <w:jc w:val="center"/>
                    <w:rPr>
                      <w:strike w:val="0"/>
                      <w:dstrike w:val="0"/>
                      <w:color w:val="auto"/>
                      <w:sz w:val="18"/>
                      <w:szCs w:val="18"/>
                      <w:highlight w:val="none"/>
                    </w:rPr>
                  </w:pPr>
                </w:p>
              </w:tc>
              <w:tc>
                <w:tcPr>
                  <w:tcW w:w="686" w:type="dxa"/>
                  <w:vAlign w:val="center"/>
                </w:tcPr>
                <w:p w14:paraId="727F1B58">
                  <w:pPr>
                    <w:jc w:val="center"/>
                    <w:rPr>
                      <w:strike w:val="0"/>
                      <w:dstrike w:val="0"/>
                      <w:color w:val="auto"/>
                      <w:sz w:val="18"/>
                      <w:szCs w:val="18"/>
                      <w:highlight w:val="none"/>
                    </w:rPr>
                  </w:pPr>
                  <w:r>
                    <w:rPr>
                      <w:strike w:val="0"/>
                      <w:dstrike w:val="0"/>
                      <w:color w:val="auto"/>
                      <w:sz w:val="18"/>
                      <w:szCs w:val="18"/>
                      <w:highlight w:val="none"/>
                    </w:rPr>
                    <w:t>X</w:t>
                  </w:r>
                </w:p>
              </w:tc>
              <w:tc>
                <w:tcPr>
                  <w:tcW w:w="746" w:type="dxa"/>
                  <w:vAlign w:val="center"/>
                </w:tcPr>
                <w:p w14:paraId="1ABEDBBC">
                  <w:pPr>
                    <w:jc w:val="center"/>
                    <w:rPr>
                      <w:strike w:val="0"/>
                      <w:dstrike w:val="0"/>
                      <w:color w:val="auto"/>
                      <w:sz w:val="18"/>
                      <w:szCs w:val="18"/>
                      <w:highlight w:val="none"/>
                    </w:rPr>
                  </w:pPr>
                  <w:r>
                    <w:rPr>
                      <w:strike w:val="0"/>
                      <w:dstrike w:val="0"/>
                      <w:color w:val="auto"/>
                      <w:sz w:val="18"/>
                      <w:szCs w:val="18"/>
                      <w:highlight w:val="none"/>
                    </w:rPr>
                    <w:t>Y</w:t>
                  </w:r>
                </w:p>
              </w:tc>
              <w:tc>
                <w:tcPr>
                  <w:tcW w:w="665" w:type="dxa"/>
                  <w:vAlign w:val="center"/>
                </w:tcPr>
                <w:p w14:paraId="49AFCCFD">
                  <w:pPr>
                    <w:jc w:val="center"/>
                    <w:rPr>
                      <w:strike w:val="0"/>
                      <w:dstrike w:val="0"/>
                      <w:color w:val="auto"/>
                      <w:sz w:val="18"/>
                      <w:szCs w:val="18"/>
                      <w:highlight w:val="none"/>
                    </w:rPr>
                  </w:pPr>
                  <w:r>
                    <w:rPr>
                      <w:strike w:val="0"/>
                      <w:dstrike w:val="0"/>
                      <w:color w:val="auto"/>
                      <w:sz w:val="18"/>
                      <w:szCs w:val="18"/>
                      <w:highlight w:val="none"/>
                    </w:rPr>
                    <w:t>Z</w:t>
                  </w:r>
                </w:p>
              </w:tc>
              <w:tc>
                <w:tcPr>
                  <w:tcW w:w="982" w:type="dxa"/>
                  <w:vMerge w:val="continue"/>
                  <w:vAlign w:val="center"/>
                </w:tcPr>
                <w:p w14:paraId="56536F39">
                  <w:pPr>
                    <w:jc w:val="center"/>
                    <w:rPr>
                      <w:strike w:val="0"/>
                      <w:dstrike w:val="0"/>
                      <w:color w:val="auto"/>
                      <w:sz w:val="18"/>
                      <w:szCs w:val="18"/>
                      <w:highlight w:val="none"/>
                    </w:rPr>
                  </w:pPr>
                </w:p>
              </w:tc>
              <w:tc>
                <w:tcPr>
                  <w:tcW w:w="930" w:type="dxa"/>
                  <w:vMerge w:val="continue"/>
                  <w:vAlign w:val="center"/>
                </w:tcPr>
                <w:p w14:paraId="5105957B">
                  <w:pPr>
                    <w:jc w:val="center"/>
                    <w:rPr>
                      <w:strike w:val="0"/>
                      <w:dstrike w:val="0"/>
                      <w:color w:val="auto"/>
                      <w:sz w:val="18"/>
                      <w:szCs w:val="18"/>
                      <w:highlight w:val="none"/>
                    </w:rPr>
                  </w:pPr>
                </w:p>
              </w:tc>
            </w:tr>
            <w:tr w14:paraId="77FE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44" w:type="dxa"/>
                  <w:vAlign w:val="center"/>
                </w:tcPr>
                <w:p w14:paraId="677B57EF">
                  <w:pPr>
                    <w:jc w:val="center"/>
                    <w:rPr>
                      <w:strike w:val="0"/>
                      <w:dstrike w:val="0"/>
                      <w:color w:val="auto"/>
                      <w:sz w:val="18"/>
                      <w:szCs w:val="18"/>
                      <w:highlight w:val="none"/>
                    </w:rPr>
                  </w:pPr>
                  <w:r>
                    <w:rPr>
                      <w:rFonts w:eastAsia="Arial"/>
                      <w:strike w:val="0"/>
                      <w:dstrike w:val="0"/>
                      <w:color w:val="auto"/>
                      <w:sz w:val="18"/>
                      <w:szCs w:val="18"/>
                      <w:highlight w:val="none"/>
                    </w:rPr>
                    <w:t>1</w:t>
                  </w:r>
                </w:p>
              </w:tc>
              <w:tc>
                <w:tcPr>
                  <w:tcW w:w="793" w:type="dxa"/>
                  <w:shd w:val="clear" w:color="auto" w:fill="FFFFFF"/>
                  <w:vAlign w:val="center"/>
                </w:tcPr>
                <w:p w14:paraId="5DA6B605">
                  <w:pPr>
                    <w:jc w:val="center"/>
                    <w:rPr>
                      <w:strike w:val="0"/>
                      <w:dstrike w:val="0"/>
                      <w:color w:val="auto"/>
                      <w:sz w:val="18"/>
                      <w:szCs w:val="18"/>
                      <w:highlight w:val="none"/>
                    </w:rPr>
                  </w:pPr>
                  <w:r>
                    <w:rPr>
                      <w:strike w:val="0"/>
                      <w:dstrike w:val="0"/>
                      <w:color w:val="auto"/>
                      <w:sz w:val="18"/>
                      <w:szCs w:val="18"/>
                      <w:highlight w:val="none"/>
                    </w:rPr>
                    <w:t>站房</w:t>
                  </w:r>
                </w:p>
              </w:tc>
              <w:tc>
                <w:tcPr>
                  <w:tcW w:w="1138" w:type="dxa"/>
                  <w:shd w:val="clear" w:color="auto" w:fill="FFFFFF"/>
                  <w:vAlign w:val="center"/>
                </w:tcPr>
                <w:p w14:paraId="3D53EA19">
                  <w:pPr>
                    <w:jc w:val="center"/>
                    <w:rPr>
                      <w:strike w:val="0"/>
                      <w:dstrike w:val="0"/>
                      <w:color w:val="auto"/>
                      <w:sz w:val="18"/>
                      <w:szCs w:val="18"/>
                      <w:highlight w:val="none"/>
                    </w:rPr>
                  </w:pPr>
                  <w:r>
                    <w:rPr>
                      <w:strike w:val="0"/>
                      <w:dstrike w:val="0"/>
                      <w:color w:val="auto"/>
                      <w:sz w:val="18"/>
                      <w:szCs w:val="18"/>
                      <w:highlight w:val="none"/>
                    </w:rPr>
                    <w:t>静音空压机</w:t>
                  </w:r>
                </w:p>
              </w:tc>
              <w:tc>
                <w:tcPr>
                  <w:tcW w:w="650" w:type="dxa"/>
                  <w:shd w:val="clear" w:color="auto" w:fill="FFFFFF"/>
                  <w:vAlign w:val="center"/>
                </w:tcPr>
                <w:p w14:paraId="26A394F0">
                  <w:pPr>
                    <w:jc w:val="center"/>
                    <w:rPr>
                      <w:strike w:val="0"/>
                      <w:dstrike w:val="0"/>
                      <w:color w:val="auto"/>
                      <w:sz w:val="18"/>
                      <w:szCs w:val="18"/>
                      <w:highlight w:val="none"/>
                    </w:rPr>
                  </w:pPr>
                  <w:r>
                    <w:rPr>
                      <w:strike w:val="0"/>
                      <w:dstrike w:val="0"/>
                      <w:color w:val="auto"/>
                      <w:sz w:val="18"/>
                      <w:szCs w:val="18"/>
                      <w:highlight w:val="none"/>
                    </w:rPr>
                    <w:t>1台</w:t>
                  </w:r>
                </w:p>
              </w:tc>
              <w:tc>
                <w:tcPr>
                  <w:tcW w:w="962" w:type="dxa"/>
                  <w:shd w:val="clear" w:color="auto" w:fill="FFFFFF"/>
                  <w:vAlign w:val="center"/>
                </w:tcPr>
                <w:p w14:paraId="085E52DE">
                  <w:pPr>
                    <w:jc w:val="center"/>
                    <w:rPr>
                      <w:strike w:val="0"/>
                      <w:dstrike w:val="0"/>
                      <w:color w:val="auto"/>
                      <w:sz w:val="18"/>
                      <w:szCs w:val="18"/>
                      <w:highlight w:val="none"/>
                    </w:rPr>
                  </w:pPr>
                  <w:r>
                    <w:rPr>
                      <w:strike w:val="0"/>
                      <w:dstrike w:val="0"/>
                      <w:color w:val="auto"/>
                      <w:sz w:val="18"/>
                      <w:szCs w:val="18"/>
                      <w:highlight w:val="none"/>
                    </w:rPr>
                    <w:t>85</w:t>
                  </w:r>
                </w:p>
              </w:tc>
              <w:tc>
                <w:tcPr>
                  <w:tcW w:w="1039" w:type="dxa"/>
                  <w:vAlign w:val="center"/>
                </w:tcPr>
                <w:p w14:paraId="4D5E08A0">
                  <w:pPr>
                    <w:pStyle w:val="10"/>
                    <w:spacing w:before="0" w:after="0" w:line="240" w:lineRule="auto"/>
                    <w:ind w:right="0"/>
                    <w:jc w:val="center"/>
                    <w:rPr>
                      <w:strike w:val="0"/>
                      <w:dstrike w:val="0"/>
                      <w:color w:val="auto"/>
                      <w:kern w:val="2"/>
                      <w:sz w:val="18"/>
                      <w:szCs w:val="18"/>
                      <w:highlight w:val="none"/>
                    </w:rPr>
                  </w:pPr>
                  <w:r>
                    <w:rPr>
                      <w:strike w:val="0"/>
                      <w:dstrike w:val="0"/>
                      <w:color w:val="auto"/>
                      <w:sz w:val="18"/>
                      <w:szCs w:val="18"/>
                      <w:highlight w:val="none"/>
                    </w:rPr>
                    <w:t>建筑隔声</w:t>
                  </w:r>
                </w:p>
              </w:tc>
              <w:tc>
                <w:tcPr>
                  <w:tcW w:w="686" w:type="dxa"/>
                  <w:shd w:val="clear" w:color="auto" w:fill="FFFFFF"/>
                  <w:vAlign w:val="center"/>
                </w:tcPr>
                <w:p w14:paraId="356FA455">
                  <w:pPr>
                    <w:jc w:val="center"/>
                    <w:rPr>
                      <w:rFonts w:hint="default" w:ascii="Times New Roman" w:hAnsi="Times New Roman" w:eastAsia="宋体" w:cs="Times New Roman"/>
                      <w:strike w:val="0"/>
                      <w:dstrike w:val="0"/>
                      <w:color w:val="auto"/>
                      <w:sz w:val="18"/>
                      <w:szCs w:val="18"/>
                      <w:highlight w:val="none"/>
                      <w:lang w:val="en-US" w:eastAsia="zh-CN"/>
                    </w:rPr>
                  </w:pPr>
                  <w:r>
                    <w:rPr>
                      <w:rFonts w:hint="eastAsia" w:ascii="Times New Roman" w:hAnsi="Times New Roman" w:eastAsia="宋体" w:cs="Times New Roman"/>
                      <w:strike w:val="0"/>
                      <w:dstrike w:val="0"/>
                      <w:color w:val="auto"/>
                      <w:sz w:val="18"/>
                      <w:szCs w:val="18"/>
                      <w:highlight w:val="none"/>
                      <w:lang w:val="en-US" w:eastAsia="zh-CN"/>
                    </w:rPr>
                    <w:t>-22</w:t>
                  </w:r>
                </w:p>
              </w:tc>
              <w:tc>
                <w:tcPr>
                  <w:tcW w:w="746" w:type="dxa"/>
                  <w:shd w:val="clear" w:color="auto" w:fill="FFFFFF"/>
                  <w:vAlign w:val="center"/>
                </w:tcPr>
                <w:p w14:paraId="21296E48">
                  <w:pPr>
                    <w:jc w:val="center"/>
                    <w:rPr>
                      <w:rFonts w:hint="eastAsia" w:ascii="Times New Roman" w:hAnsi="Times New Roman" w:eastAsia="宋体" w:cs="Times New Roman"/>
                      <w:strike w:val="0"/>
                      <w:dstrike w:val="0"/>
                      <w:color w:val="auto"/>
                      <w:sz w:val="18"/>
                      <w:szCs w:val="18"/>
                      <w:highlight w:val="none"/>
                      <w:lang w:val="en-US" w:eastAsia="zh-CN"/>
                    </w:rPr>
                  </w:pPr>
                  <w:r>
                    <w:rPr>
                      <w:rFonts w:hint="eastAsia" w:ascii="Times New Roman" w:hAnsi="Times New Roman" w:eastAsia="宋体" w:cs="Times New Roman"/>
                      <w:strike w:val="0"/>
                      <w:dstrike w:val="0"/>
                      <w:color w:val="auto"/>
                      <w:sz w:val="18"/>
                      <w:szCs w:val="18"/>
                      <w:highlight w:val="none"/>
                      <w:lang w:val="en-US" w:eastAsia="zh-CN"/>
                    </w:rPr>
                    <w:t>-23</w:t>
                  </w:r>
                </w:p>
              </w:tc>
              <w:tc>
                <w:tcPr>
                  <w:tcW w:w="665" w:type="dxa"/>
                  <w:shd w:val="clear" w:color="auto" w:fill="FFFFFF"/>
                  <w:vAlign w:val="center"/>
                </w:tcPr>
                <w:p w14:paraId="7F200ECB">
                  <w:pPr>
                    <w:jc w:val="center"/>
                    <w:rPr>
                      <w:rFonts w:ascii="Times New Roman" w:hAnsi="Times New Roman" w:eastAsia="宋体" w:cs="Times New Roman"/>
                      <w:strike w:val="0"/>
                      <w:dstrike w:val="0"/>
                      <w:color w:val="auto"/>
                      <w:sz w:val="18"/>
                      <w:szCs w:val="18"/>
                      <w:highlight w:val="none"/>
                    </w:rPr>
                  </w:pPr>
                  <w:r>
                    <w:rPr>
                      <w:rFonts w:ascii="Times New Roman" w:hAnsi="Times New Roman" w:eastAsia="宋体" w:cs="Times New Roman"/>
                      <w:strike w:val="0"/>
                      <w:dstrike w:val="0"/>
                      <w:color w:val="auto"/>
                      <w:sz w:val="18"/>
                      <w:szCs w:val="18"/>
                      <w:highlight w:val="none"/>
                    </w:rPr>
                    <w:t>1.2</w:t>
                  </w:r>
                </w:p>
              </w:tc>
              <w:tc>
                <w:tcPr>
                  <w:tcW w:w="982" w:type="dxa"/>
                  <w:vAlign w:val="center"/>
                </w:tcPr>
                <w:p w14:paraId="79D482E5">
                  <w:pPr>
                    <w:jc w:val="center"/>
                    <w:rPr>
                      <w:strike w:val="0"/>
                      <w:dstrike w:val="0"/>
                      <w:color w:val="auto"/>
                      <w:sz w:val="18"/>
                      <w:szCs w:val="18"/>
                      <w:highlight w:val="none"/>
                    </w:rPr>
                  </w:pPr>
                  <w:r>
                    <w:rPr>
                      <w:bCs/>
                      <w:strike w:val="0"/>
                      <w:dstrike w:val="0"/>
                      <w:color w:val="auto"/>
                      <w:sz w:val="18"/>
                      <w:szCs w:val="18"/>
                      <w:highlight w:val="none"/>
                    </w:rPr>
                    <w:t>昼夜间</w:t>
                  </w:r>
                </w:p>
              </w:tc>
              <w:tc>
                <w:tcPr>
                  <w:tcW w:w="930" w:type="dxa"/>
                  <w:vAlign w:val="center"/>
                </w:tcPr>
                <w:p w14:paraId="58316EF1">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封闭房间</w:t>
                  </w:r>
                </w:p>
              </w:tc>
            </w:tr>
            <w:tr w14:paraId="287A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vAlign w:val="center"/>
                </w:tcPr>
                <w:p w14:paraId="70185165">
                  <w:pPr>
                    <w:jc w:val="center"/>
                    <w:rPr>
                      <w:strike w:val="0"/>
                      <w:dstrike w:val="0"/>
                      <w:color w:val="auto"/>
                      <w:sz w:val="18"/>
                      <w:szCs w:val="18"/>
                      <w:highlight w:val="none"/>
                    </w:rPr>
                  </w:pPr>
                  <w:r>
                    <w:rPr>
                      <w:strike w:val="0"/>
                      <w:dstrike w:val="0"/>
                      <w:color w:val="auto"/>
                      <w:sz w:val="18"/>
                      <w:szCs w:val="18"/>
                      <w:highlight w:val="none"/>
                    </w:rPr>
                    <w:t>2</w:t>
                  </w:r>
                </w:p>
              </w:tc>
              <w:tc>
                <w:tcPr>
                  <w:tcW w:w="793" w:type="dxa"/>
                  <w:shd w:val="clear" w:color="auto" w:fill="FFFFFF"/>
                  <w:vAlign w:val="center"/>
                </w:tcPr>
                <w:p w14:paraId="056C83EA">
                  <w:pPr>
                    <w:jc w:val="center"/>
                    <w:rPr>
                      <w:strike w:val="0"/>
                      <w:dstrike w:val="0"/>
                      <w:color w:val="auto"/>
                      <w:sz w:val="18"/>
                      <w:szCs w:val="18"/>
                      <w:highlight w:val="none"/>
                    </w:rPr>
                  </w:pPr>
                  <w:r>
                    <w:rPr>
                      <w:strike w:val="0"/>
                      <w:dstrike w:val="0"/>
                      <w:color w:val="auto"/>
                      <w:sz w:val="18"/>
                      <w:szCs w:val="18"/>
                      <w:highlight w:val="none"/>
                    </w:rPr>
                    <w:t>站房</w:t>
                  </w:r>
                </w:p>
              </w:tc>
              <w:tc>
                <w:tcPr>
                  <w:tcW w:w="1138" w:type="dxa"/>
                  <w:shd w:val="clear" w:color="auto" w:fill="FFFFFF"/>
                  <w:vAlign w:val="center"/>
                </w:tcPr>
                <w:p w14:paraId="1436D61A">
                  <w:pPr>
                    <w:jc w:val="center"/>
                    <w:rPr>
                      <w:strike w:val="0"/>
                      <w:dstrike w:val="0"/>
                      <w:color w:val="auto"/>
                      <w:sz w:val="18"/>
                      <w:szCs w:val="18"/>
                      <w:highlight w:val="none"/>
                    </w:rPr>
                  </w:pPr>
                  <w:r>
                    <w:rPr>
                      <w:strike w:val="0"/>
                      <w:dstrike w:val="0"/>
                      <w:color w:val="auto"/>
                      <w:sz w:val="18"/>
                      <w:szCs w:val="18"/>
                      <w:highlight w:val="none"/>
                    </w:rPr>
                    <w:t>风冷冷干机</w:t>
                  </w:r>
                </w:p>
              </w:tc>
              <w:tc>
                <w:tcPr>
                  <w:tcW w:w="650" w:type="dxa"/>
                  <w:shd w:val="clear" w:color="auto" w:fill="FFFFFF"/>
                  <w:vAlign w:val="center"/>
                </w:tcPr>
                <w:p w14:paraId="61CAB5F6">
                  <w:pPr>
                    <w:jc w:val="center"/>
                    <w:rPr>
                      <w:strike w:val="0"/>
                      <w:dstrike w:val="0"/>
                      <w:color w:val="auto"/>
                      <w:sz w:val="18"/>
                      <w:szCs w:val="18"/>
                      <w:highlight w:val="none"/>
                    </w:rPr>
                  </w:pPr>
                  <w:r>
                    <w:rPr>
                      <w:strike w:val="0"/>
                      <w:dstrike w:val="0"/>
                      <w:color w:val="auto"/>
                      <w:sz w:val="18"/>
                      <w:szCs w:val="18"/>
                      <w:highlight w:val="none"/>
                    </w:rPr>
                    <w:t>1台</w:t>
                  </w:r>
                </w:p>
              </w:tc>
              <w:tc>
                <w:tcPr>
                  <w:tcW w:w="962" w:type="dxa"/>
                  <w:shd w:val="clear" w:color="auto" w:fill="FFFFFF"/>
                  <w:vAlign w:val="center"/>
                </w:tcPr>
                <w:p w14:paraId="51B07CB1">
                  <w:pPr>
                    <w:jc w:val="center"/>
                    <w:rPr>
                      <w:strike w:val="0"/>
                      <w:dstrike w:val="0"/>
                      <w:color w:val="auto"/>
                      <w:sz w:val="18"/>
                      <w:szCs w:val="18"/>
                      <w:highlight w:val="none"/>
                    </w:rPr>
                  </w:pPr>
                  <w:r>
                    <w:rPr>
                      <w:strike w:val="0"/>
                      <w:dstrike w:val="0"/>
                      <w:color w:val="auto"/>
                      <w:sz w:val="18"/>
                      <w:szCs w:val="18"/>
                      <w:highlight w:val="none"/>
                    </w:rPr>
                    <w:t>85</w:t>
                  </w:r>
                </w:p>
              </w:tc>
              <w:tc>
                <w:tcPr>
                  <w:tcW w:w="1039" w:type="dxa"/>
                  <w:vAlign w:val="center"/>
                </w:tcPr>
                <w:p w14:paraId="056B6366">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建筑隔声</w:t>
                  </w:r>
                </w:p>
              </w:tc>
              <w:tc>
                <w:tcPr>
                  <w:tcW w:w="686" w:type="dxa"/>
                  <w:shd w:val="clear" w:color="auto" w:fill="FFFFFF"/>
                  <w:vAlign w:val="center"/>
                </w:tcPr>
                <w:p w14:paraId="7DA7E830">
                  <w:pPr>
                    <w:jc w:val="center"/>
                    <w:rPr>
                      <w:rFonts w:hint="eastAsia" w:ascii="Times New Roman" w:hAnsi="Times New Roman" w:eastAsia="宋体" w:cs="Times New Roman"/>
                      <w:strike w:val="0"/>
                      <w:dstrike w:val="0"/>
                      <w:color w:val="auto"/>
                      <w:sz w:val="18"/>
                      <w:szCs w:val="18"/>
                      <w:highlight w:val="none"/>
                      <w:lang w:val="en-US" w:eastAsia="zh-CN"/>
                    </w:rPr>
                  </w:pPr>
                  <w:r>
                    <w:rPr>
                      <w:rFonts w:hint="eastAsia" w:ascii="Times New Roman" w:hAnsi="Times New Roman" w:eastAsia="宋体" w:cs="Times New Roman"/>
                      <w:strike w:val="0"/>
                      <w:dstrike w:val="0"/>
                      <w:color w:val="auto"/>
                      <w:sz w:val="18"/>
                      <w:szCs w:val="18"/>
                      <w:highlight w:val="none"/>
                      <w:lang w:val="en-US" w:eastAsia="zh-CN"/>
                    </w:rPr>
                    <w:t>-20</w:t>
                  </w:r>
                </w:p>
              </w:tc>
              <w:tc>
                <w:tcPr>
                  <w:tcW w:w="746" w:type="dxa"/>
                  <w:shd w:val="clear" w:color="auto" w:fill="FFFFFF"/>
                  <w:vAlign w:val="center"/>
                </w:tcPr>
                <w:p w14:paraId="5A5797D9">
                  <w:pPr>
                    <w:jc w:val="center"/>
                    <w:rPr>
                      <w:rFonts w:hint="eastAsia" w:ascii="Times New Roman" w:hAnsi="Times New Roman" w:eastAsia="宋体" w:cs="Times New Roman"/>
                      <w:strike w:val="0"/>
                      <w:dstrike w:val="0"/>
                      <w:color w:val="auto"/>
                      <w:sz w:val="18"/>
                      <w:szCs w:val="18"/>
                      <w:highlight w:val="none"/>
                      <w:lang w:val="en-US" w:eastAsia="zh-CN"/>
                    </w:rPr>
                  </w:pPr>
                  <w:r>
                    <w:rPr>
                      <w:rFonts w:hint="eastAsia" w:ascii="Times New Roman" w:hAnsi="Times New Roman" w:eastAsia="宋体" w:cs="Times New Roman"/>
                      <w:strike w:val="0"/>
                      <w:dstrike w:val="0"/>
                      <w:color w:val="auto"/>
                      <w:sz w:val="18"/>
                      <w:szCs w:val="18"/>
                      <w:highlight w:val="none"/>
                      <w:lang w:val="en-US" w:eastAsia="zh-CN"/>
                    </w:rPr>
                    <w:t>-25</w:t>
                  </w:r>
                </w:p>
              </w:tc>
              <w:tc>
                <w:tcPr>
                  <w:tcW w:w="665" w:type="dxa"/>
                  <w:shd w:val="clear" w:color="auto" w:fill="FFFFFF"/>
                  <w:vAlign w:val="center"/>
                </w:tcPr>
                <w:p w14:paraId="055ACB56">
                  <w:pPr>
                    <w:jc w:val="center"/>
                    <w:rPr>
                      <w:rFonts w:ascii="Times New Roman" w:hAnsi="Times New Roman" w:eastAsia="宋体" w:cs="Times New Roman"/>
                      <w:strike w:val="0"/>
                      <w:dstrike w:val="0"/>
                      <w:color w:val="auto"/>
                      <w:sz w:val="18"/>
                      <w:szCs w:val="18"/>
                      <w:highlight w:val="none"/>
                    </w:rPr>
                  </w:pPr>
                  <w:r>
                    <w:rPr>
                      <w:rFonts w:ascii="Times New Roman" w:hAnsi="Times New Roman" w:eastAsia="宋体" w:cs="Times New Roman"/>
                      <w:strike w:val="0"/>
                      <w:dstrike w:val="0"/>
                      <w:color w:val="auto"/>
                      <w:sz w:val="18"/>
                      <w:szCs w:val="18"/>
                      <w:highlight w:val="none"/>
                    </w:rPr>
                    <w:t>1.2</w:t>
                  </w:r>
                </w:p>
              </w:tc>
              <w:tc>
                <w:tcPr>
                  <w:tcW w:w="982" w:type="dxa"/>
                  <w:vAlign w:val="center"/>
                </w:tcPr>
                <w:p w14:paraId="6493A954">
                  <w:pPr>
                    <w:jc w:val="center"/>
                    <w:rPr>
                      <w:bCs/>
                      <w:strike w:val="0"/>
                      <w:dstrike w:val="0"/>
                      <w:color w:val="auto"/>
                      <w:sz w:val="18"/>
                      <w:szCs w:val="18"/>
                      <w:highlight w:val="none"/>
                    </w:rPr>
                  </w:pPr>
                  <w:r>
                    <w:rPr>
                      <w:bCs/>
                      <w:strike w:val="0"/>
                      <w:dstrike w:val="0"/>
                      <w:color w:val="auto"/>
                      <w:sz w:val="18"/>
                      <w:szCs w:val="18"/>
                      <w:highlight w:val="none"/>
                    </w:rPr>
                    <w:t>昼夜间</w:t>
                  </w:r>
                </w:p>
              </w:tc>
              <w:tc>
                <w:tcPr>
                  <w:tcW w:w="930" w:type="dxa"/>
                  <w:vAlign w:val="center"/>
                </w:tcPr>
                <w:p w14:paraId="22805DE3">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封闭房间</w:t>
                  </w:r>
                </w:p>
              </w:tc>
            </w:tr>
            <w:tr w14:paraId="7509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shd w:val="clear" w:color="auto" w:fill="auto"/>
                  <w:vAlign w:val="center"/>
                </w:tcPr>
                <w:p w14:paraId="18E972CC">
                  <w:pPr>
                    <w:jc w:val="center"/>
                    <w:rPr>
                      <w:rFonts w:ascii="Times New Roman" w:hAnsi="Times New Roman" w:eastAsia="宋体" w:cs="Times New Roman"/>
                      <w:strike w:val="0"/>
                      <w:dstrike w:val="0"/>
                      <w:color w:val="auto"/>
                      <w:kern w:val="2"/>
                      <w:sz w:val="18"/>
                      <w:szCs w:val="18"/>
                      <w:highlight w:val="none"/>
                      <w:lang w:val="en-US" w:eastAsia="zh-CN" w:bidi="ar-SA"/>
                    </w:rPr>
                  </w:pPr>
                  <w:r>
                    <w:rPr>
                      <w:strike w:val="0"/>
                      <w:dstrike w:val="0"/>
                      <w:color w:val="auto"/>
                      <w:sz w:val="18"/>
                      <w:szCs w:val="18"/>
                      <w:highlight w:val="none"/>
                    </w:rPr>
                    <w:t>3</w:t>
                  </w:r>
                </w:p>
              </w:tc>
              <w:tc>
                <w:tcPr>
                  <w:tcW w:w="793" w:type="dxa"/>
                  <w:shd w:val="clear" w:color="auto" w:fill="FFFFFF"/>
                  <w:vAlign w:val="center"/>
                </w:tcPr>
                <w:p w14:paraId="3889D174">
                  <w:pPr>
                    <w:jc w:val="center"/>
                    <w:rPr>
                      <w:strike w:val="0"/>
                      <w:dstrike w:val="0"/>
                      <w:color w:val="auto"/>
                      <w:sz w:val="18"/>
                      <w:szCs w:val="18"/>
                      <w:highlight w:val="none"/>
                    </w:rPr>
                  </w:pPr>
                  <w:r>
                    <w:rPr>
                      <w:strike w:val="0"/>
                      <w:dstrike w:val="0"/>
                      <w:color w:val="auto"/>
                      <w:sz w:val="18"/>
                      <w:szCs w:val="18"/>
                      <w:highlight w:val="none"/>
                    </w:rPr>
                    <w:t>储油罐区</w:t>
                  </w:r>
                </w:p>
              </w:tc>
              <w:tc>
                <w:tcPr>
                  <w:tcW w:w="1138" w:type="dxa"/>
                  <w:shd w:val="clear" w:color="auto" w:fill="FFFFFF"/>
                  <w:vAlign w:val="center"/>
                </w:tcPr>
                <w:p w14:paraId="4B5DDEC0">
                  <w:pPr>
                    <w:jc w:val="center"/>
                    <w:rPr>
                      <w:strike w:val="0"/>
                      <w:dstrike w:val="0"/>
                      <w:color w:val="auto"/>
                      <w:sz w:val="18"/>
                      <w:szCs w:val="18"/>
                      <w:highlight w:val="none"/>
                    </w:rPr>
                  </w:pPr>
                  <w:r>
                    <w:rPr>
                      <w:strike w:val="0"/>
                      <w:dstrike w:val="0"/>
                      <w:color w:val="auto"/>
                      <w:sz w:val="18"/>
                      <w:szCs w:val="18"/>
                      <w:highlight w:val="none"/>
                    </w:rPr>
                    <w:t>潜油泵</w:t>
                  </w:r>
                </w:p>
              </w:tc>
              <w:tc>
                <w:tcPr>
                  <w:tcW w:w="650" w:type="dxa"/>
                  <w:shd w:val="clear" w:color="auto" w:fill="FFFFFF"/>
                  <w:vAlign w:val="center"/>
                </w:tcPr>
                <w:p w14:paraId="2FE952D9">
                  <w:pPr>
                    <w:jc w:val="center"/>
                    <w:rPr>
                      <w:strike w:val="0"/>
                      <w:dstrike w:val="0"/>
                      <w:color w:val="auto"/>
                      <w:sz w:val="18"/>
                      <w:szCs w:val="18"/>
                      <w:highlight w:val="none"/>
                    </w:rPr>
                  </w:pPr>
                  <w:r>
                    <w:rPr>
                      <w:strike w:val="0"/>
                      <w:dstrike w:val="0"/>
                      <w:color w:val="auto"/>
                      <w:sz w:val="18"/>
                      <w:szCs w:val="18"/>
                      <w:highlight w:val="none"/>
                    </w:rPr>
                    <w:t>1台</w:t>
                  </w:r>
                </w:p>
              </w:tc>
              <w:tc>
                <w:tcPr>
                  <w:tcW w:w="962" w:type="dxa"/>
                  <w:shd w:val="clear" w:color="auto" w:fill="FFFFFF"/>
                  <w:vAlign w:val="center"/>
                </w:tcPr>
                <w:p w14:paraId="74808791">
                  <w:pPr>
                    <w:jc w:val="center"/>
                    <w:rPr>
                      <w:strike w:val="0"/>
                      <w:dstrike w:val="0"/>
                      <w:color w:val="auto"/>
                      <w:sz w:val="18"/>
                      <w:szCs w:val="18"/>
                      <w:highlight w:val="none"/>
                    </w:rPr>
                  </w:pPr>
                  <w:r>
                    <w:rPr>
                      <w:strike w:val="0"/>
                      <w:dstrike w:val="0"/>
                      <w:color w:val="auto"/>
                      <w:sz w:val="18"/>
                      <w:szCs w:val="18"/>
                      <w:highlight w:val="none"/>
                    </w:rPr>
                    <w:t>70</w:t>
                  </w:r>
                </w:p>
              </w:tc>
              <w:tc>
                <w:tcPr>
                  <w:tcW w:w="1039" w:type="dxa"/>
                  <w:vAlign w:val="center"/>
                </w:tcPr>
                <w:p w14:paraId="16F4F4E4">
                  <w:pPr>
                    <w:widowControl/>
                    <w:jc w:val="center"/>
                    <w:rPr>
                      <w:rFonts w:hint="default" w:eastAsia="宋体"/>
                      <w:strike w:val="0"/>
                      <w:dstrike w:val="0"/>
                      <w:color w:val="auto"/>
                      <w:sz w:val="18"/>
                      <w:szCs w:val="18"/>
                      <w:highlight w:val="none"/>
                      <w:lang w:val="en-US" w:eastAsia="zh-CN"/>
                    </w:rPr>
                  </w:pPr>
                  <w:r>
                    <w:rPr>
                      <w:strike w:val="0"/>
                      <w:dstrike w:val="0"/>
                      <w:color w:val="auto"/>
                      <w:kern w:val="0"/>
                      <w:sz w:val="18"/>
                      <w:szCs w:val="18"/>
                      <w:highlight w:val="none"/>
                      <w:lang w:bidi="ar"/>
                    </w:rPr>
                    <w:t>选低噪声设备</w:t>
                  </w:r>
                  <w:r>
                    <w:rPr>
                      <w:rFonts w:hint="eastAsia"/>
                      <w:strike w:val="0"/>
                      <w:dstrike w:val="0"/>
                      <w:color w:val="auto"/>
                      <w:kern w:val="0"/>
                      <w:sz w:val="18"/>
                      <w:szCs w:val="18"/>
                      <w:highlight w:val="none"/>
                      <w:lang w:eastAsia="zh-CN" w:bidi="ar"/>
                    </w:rPr>
                    <w:t>、</w:t>
                  </w:r>
                  <w:r>
                    <w:rPr>
                      <w:rFonts w:hint="eastAsia"/>
                      <w:strike w:val="0"/>
                      <w:dstrike w:val="0"/>
                      <w:color w:val="auto"/>
                      <w:kern w:val="0"/>
                      <w:sz w:val="18"/>
                      <w:szCs w:val="18"/>
                      <w:highlight w:val="none"/>
                      <w:lang w:val="en-US" w:eastAsia="zh-CN" w:bidi="ar"/>
                    </w:rPr>
                    <w:t>基础减振</w:t>
                  </w:r>
                </w:p>
              </w:tc>
              <w:tc>
                <w:tcPr>
                  <w:tcW w:w="686" w:type="dxa"/>
                  <w:shd w:val="clear" w:color="auto" w:fill="FFFFFF"/>
                  <w:vAlign w:val="center"/>
                </w:tcPr>
                <w:p w14:paraId="201E13E9">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13</w:t>
                  </w:r>
                </w:p>
              </w:tc>
              <w:tc>
                <w:tcPr>
                  <w:tcW w:w="746" w:type="dxa"/>
                  <w:shd w:val="clear" w:color="auto" w:fill="FFFFFF"/>
                  <w:vAlign w:val="center"/>
                </w:tcPr>
                <w:p w14:paraId="6A40D0B9">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27</w:t>
                  </w:r>
                </w:p>
              </w:tc>
              <w:tc>
                <w:tcPr>
                  <w:tcW w:w="665" w:type="dxa"/>
                  <w:shd w:val="clear" w:color="auto" w:fill="FFFFFF"/>
                  <w:vAlign w:val="center"/>
                </w:tcPr>
                <w:p w14:paraId="46F18ADD">
                  <w:pPr>
                    <w:jc w:val="center"/>
                    <w:rPr>
                      <w:rFonts w:hint="default" w:ascii="Times New Roman" w:hAnsi="Times New Roman" w:eastAsia="宋体" w:cs="Times New Roman"/>
                      <w:strike w:val="0"/>
                      <w:dstrike w:val="0"/>
                      <w:color w:val="auto"/>
                      <w:sz w:val="18"/>
                      <w:szCs w:val="18"/>
                      <w:highlight w:val="none"/>
                      <w:lang w:val="en-US" w:eastAsia="zh-CN"/>
                    </w:rPr>
                  </w:pPr>
                  <w:r>
                    <w:rPr>
                      <w:rFonts w:hint="eastAsia" w:ascii="Times New Roman" w:hAnsi="Times New Roman" w:eastAsia="宋体" w:cs="Times New Roman"/>
                      <w:strike w:val="0"/>
                      <w:dstrike w:val="0"/>
                      <w:color w:val="auto"/>
                      <w:sz w:val="18"/>
                      <w:szCs w:val="18"/>
                      <w:highlight w:val="none"/>
                      <w:lang w:val="en-US" w:eastAsia="zh-CN"/>
                    </w:rPr>
                    <w:t>-</w:t>
                  </w:r>
                  <w:r>
                    <w:rPr>
                      <w:rFonts w:ascii="Times New Roman" w:hAnsi="Times New Roman" w:eastAsia="宋体" w:cs="Times New Roman"/>
                      <w:strike w:val="0"/>
                      <w:dstrike w:val="0"/>
                      <w:color w:val="auto"/>
                      <w:sz w:val="18"/>
                      <w:szCs w:val="18"/>
                      <w:highlight w:val="none"/>
                    </w:rPr>
                    <w:t>0</w:t>
                  </w:r>
                  <w:r>
                    <w:rPr>
                      <w:rFonts w:hint="eastAsia" w:ascii="Times New Roman" w:hAnsi="Times New Roman" w:eastAsia="宋体" w:cs="Times New Roman"/>
                      <w:strike w:val="0"/>
                      <w:dstrike w:val="0"/>
                      <w:color w:val="auto"/>
                      <w:sz w:val="18"/>
                      <w:szCs w:val="18"/>
                      <w:highlight w:val="none"/>
                      <w:lang w:val="en-US" w:eastAsia="zh-CN"/>
                    </w:rPr>
                    <w:t>.5</w:t>
                  </w:r>
                </w:p>
              </w:tc>
              <w:tc>
                <w:tcPr>
                  <w:tcW w:w="982" w:type="dxa"/>
                  <w:vAlign w:val="center"/>
                </w:tcPr>
                <w:p w14:paraId="5007008B">
                  <w:pPr>
                    <w:jc w:val="center"/>
                    <w:rPr>
                      <w:bCs/>
                      <w:strike w:val="0"/>
                      <w:dstrike w:val="0"/>
                      <w:color w:val="auto"/>
                      <w:sz w:val="18"/>
                      <w:szCs w:val="18"/>
                      <w:highlight w:val="none"/>
                    </w:rPr>
                  </w:pPr>
                  <w:r>
                    <w:rPr>
                      <w:bCs/>
                      <w:strike w:val="0"/>
                      <w:dstrike w:val="0"/>
                      <w:color w:val="auto"/>
                      <w:sz w:val="18"/>
                      <w:szCs w:val="18"/>
                      <w:highlight w:val="none"/>
                    </w:rPr>
                    <w:t>昼夜间</w:t>
                  </w:r>
                </w:p>
              </w:tc>
              <w:tc>
                <w:tcPr>
                  <w:tcW w:w="930" w:type="dxa"/>
                  <w:vAlign w:val="center"/>
                </w:tcPr>
                <w:p w14:paraId="33F8B114">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w:t>
                  </w:r>
                </w:p>
              </w:tc>
            </w:tr>
            <w:tr w14:paraId="3248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shd w:val="clear" w:color="auto" w:fill="auto"/>
                  <w:vAlign w:val="center"/>
                </w:tcPr>
                <w:p w14:paraId="51F6750D">
                  <w:pPr>
                    <w:jc w:val="center"/>
                    <w:rPr>
                      <w:rFonts w:ascii="Times New Roman" w:hAnsi="Times New Roman" w:eastAsia="宋体" w:cs="Times New Roman"/>
                      <w:strike w:val="0"/>
                      <w:dstrike w:val="0"/>
                      <w:color w:val="auto"/>
                      <w:kern w:val="2"/>
                      <w:sz w:val="18"/>
                      <w:szCs w:val="18"/>
                      <w:highlight w:val="none"/>
                      <w:lang w:val="en-US" w:eastAsia="zh-CN" w:bidi="ar-SA"/>
                    </w:rPr>
                  </w:pPr>
                  <w:r>
                    <w:rPr>
                      <w:strike w:val="0"/>
                      <w:dstrike w:val="0"/>
                      <w:color w:val="auto"/>
                      <w:sz w:val="18"/>
                      <w:szCs w:val="18"/>
                      <w:highlight w:val="none"/>
                    </w:rPr>
                    <w:t>4</w:t>
                  </w:r>
                </w:p>
              </w:tc>
              <w:tc>
                <w:tcPr>
                  <w:tcW w:w="793" w:type="dxa"/>
                  <w:shd w:val="clear" w:color="auto" w:fill="FFFFFF"/>
                  <w:vAlign w:val="center"/>
                </w:tcPr>
                <w:p w14:paraId="45D7B38F">
                  <w:pPr>
                    <w:jc w:val="center"/>
                    <w:rPr>
                      <w:strike w:val="0"/>
                      <w:dstrike w:val="0"/>
                      <w:color w:val="auto"/>
                      <w:sz w:val="18"/>
                      <w:szCs w:val="18"/>
                      <w:highlight w:val="none"/>
                    </w:rPr>
                  </w:pPr>
                  <w:r>
                    <w:rPr>
                      <w:strike w:val="0"/>
                      <w:dstrike w:val="0"/>
                      <w:color w:val="auto"/>
                      <w:sz w:val="18"/>
                      <w:szCs w:val="18"/>
                      <w:highlight w:val="none"/>
                    </w:rPr>
                    <w:t>储油罐区</w:t>
                  </w:r>
                </w:p>
              </w:tc>
              <w:tc>
                <w:tcPr>
                  <w:tcW w:w="1138" w:type="dxa"/>
                  <w:shd w:val="clear" w:color="auto" w:fill="FFFFFF"/>
                  <w:vAlign w:val="center"/>
                </w:tcPr>
                <w:p w14:paraId="0859528B">
                  <w:pPr>
                    <w:jc w:val="center"/>
                    <w:rPr>
                      <w:strike w:val="0"/>
                      <w:dstrike w:val="0"/>
                      <w:color w:val="auto"/>
                      <w:sz w:val="18"/>
                      <w:szCs w:val="18"/>
                      <w:highlight w:val="none"/>
                    </w:rPr>
                  </w:pPr>
                  <w:r>
                    <w:rPr>
                      <w:strike w:val="0"/>
                      <w:dstrike w:val="0"/>
                      <w:color w:val="auto"/>
                      <w:sz w:val="18"/>
                      <w:szCs w:val="18"/>
                      <w:highlight w:val="none"/>
                    </w:rPr>
                    <w:t>潜油泵</w:t>
                  </w:r>
                </w:p>
              </w:tc>
              <w:tc>
                <w:tcPr>
                  <w:tcW w:w="650" w:type="dxa"/>
                  <w:shd w:val="clear" w:color="auto" w:fill="FFFFFF"/>
                  <w:vAlign w:val="center"/>
                </w:tcPr>
                <w:p w14:paraId="4B793238">
                  <w:pPr>
                    <w:jc w:val="center"/>
                    <w:rPr>
                      <w:strike w:val="0"/>
                      <w:dstrike w:val="0"/>
                      <w:color w:val="auto"/>
                      <w:sz w:val="18"/>
                      <w:szCs w:val="18"/>
                      <w:highlight w:val="none"/>
                    </w:rPr>
                  </w:pPr>
                  <w:r>
                    <w:rPr>
                      <w:strike w:val="0"/>
                      <w:dstrike w:val="0"/>
                      <w:color w:val="auto"/>
                      <w:sz w:val="18"/>
                      <w:szCs w:val="18"/>
                      <w:highlight w:val="none"/>
                    </w:rPr>
                    <w:t>1台</w:t>
                  </w:r>
                </w:p>
              </w:tc>
              <w:tc>
                <w:tcPr>
                  <w:tcW w:w="962" w:type="dxa"/>
                  <w:shd w:val="clear" w:color="auto" w:fill="FFFFFF"/>
                  <w:vAlign w:val="center"/>
                </w:tcPr>
                <w:p w14:paraId="13036F2A">
                  <w:pPr>
                    <w:jc w:val="center"/>
                    <w:rPr>
                      <w:strike w:val="0"/>
                      <w:dstrike w:val="0"/>
                      <w:color w:val="auto"/>
                      <w:sz w:val="18"/>
                      <w:szCs w:val="18"/>
                      <w:highlight w:val="none"/>
                    </w:rPr>
                  </w:pPr>
                  <w:r>
                    <w:rPr>
                      <w:strike w:val="0"/>
                      <w:dstrike w:val="0"/>
                      <w:color w:val="auto"/>
                      <w:sz w:val="18"/>
                      <w:szCs w:val="18"/>
                      <w:highlight w:val="none"/>
                    </w:rPr>
                    <w:t>70</w:t>
                  </w:r>
                </w:p>
              </w:tc>
              <w:tc>
                <w:tcPr>
                  <w:tcW w:w="1039" w:type="dxa"/>
                  <w:vAlign w:val="center"/>
                </w:tcPr>
                <w:p w14:paraId="76844D31">
                  <w:pPr>
                    <w:widowControl/>
                    <w:jc w:val="center"/>
                    <w:rPr>
                      <w:strike w:val="0"/>
                      <w:dstrike w:val="0"/>
                      <w:color w:val="auto"/>
                      <w:sz w:val="18"/>
                      <w:szCs w:val="18"/>
                      <w:highlight w:val="none"/>
                    </w:rPr>
                  </w:pPr>
                  <w:r>
                    <w:rPr>
                      <w:strike w:val="0"/>
                      <w:dstrike w:val="0"/>
                      <w:color w:val="auto"/>
                      <w:kern w:val="0"/>
                      <w:sz w:val="18"/>
                      <w:szCs w:val="18"/>
                      <w:highlight w:val="none"/>
                      <w:lang w:bidi="ar"/>
                    </w:rPr>
                    <w:t>选低噪声设备</w:t>
                  </w:r>
                  <w:r>
                    <w:rPr>
                      <w:rFonts w:hint="eastAsia"/>
                      <w:strike w:val="0"/>
                      <w:dstrike w:val="0"/>
                      <w:color w:val="auto"/>
                      <w:kern w:val="0"/>
                      <w:sz w:val="18"/>
                      <w:szCs w:val="18"/>
                      <w:highlight w:val="none"/>
                      <w:lang w:eastAsia="zh-CN" w:bidi="ar"/>
                    </w:rPr>
                    <w:t>、</w:t>
                  </w:r>
                  <w:r>
                    <w:rPr>
                      <w:rFonts w:hint="eastAsia"/>
                      <w:strike w:val="0"/>
                      <w:dstrike w:val="0"/>
                      <w:color w:val="auto"/>
                      <w:kern w:val="0"/>
                      <w:sz w:val="18"/>
                      <w:szCs w:val="18"/>
                      <w:highlight w:val="none"/>
                      <w:lang w:val="en-US" w:eastAsia="zh-CN" w:bidi="ar"/>
                    </w:rPr>
                    <w:t>基础减振</w:t>
                  </w:r>
                </w:p>
              </w:tc>
              <w:tc>
                <w:tcPr>
                  <w:tcW w:w="686" w:type="dxa"/>
                  <w:shd w:val="clear" w:color="auto" w:fill="FFFFFF"/>
                  <w:vAlign w:val="center"/>
                </w:tcPr>
                <w:p w14:paraId="23C1CA76">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11</w:t>
                  </w:r>
                </w:p>
              </w:tc>
              <w:tc>
                <w:tcPr>
                  <w:tcW w:w="746" w:type="dxa"/>
                  <w:shd w:val="clear" w:color="auto" w:fill="FFFFFF"/>
                  <w:vAlign w:val="center"/>
                </w:tcPr>
                <w:p w14:paraId="4234D728">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33</w:t>
                  </w:r>
                </w:p>
              </w:tc>
              <w:tc>
                <w:tcPr>
                  <w:tcW w:w="665" w:type="dxa"/>
                  <w:shd w:val="clear" w:color="auto" w:fill="FFFFFF"/>
                  <w:vAlign w:val="center"/>
                </w:tcPr>
                <w:p w14:paraId="0FF1B773">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w:t>
                  </w:r>
                  <w:r>
                    <w:rPr>
                      <w:rFonts w:ascii="Times New Roman" w:hAnsi="Times New Roman" w:eastAsia="宋体" w:cs="Times New Roman"/>
                      <w:strike w:val="0"/>
                      <w:dstrike w:val="0"/>
                      <w:color w:val="auto"/>
                      <w:sz w:val="18"/>
                      <w:szCs w:val="18"/>
                      <w:highlight w:val="none"/>
                    </w:rPr>
                    <w:t>0</w:t>
                  </w:r>
                  <w:r>
                    <w:rPr>
                      <w:rFonts w:hint="eastAsia" w:ascii="Times New Roman" w:hAnsi="Times New Roman" w:eastAsia="宋体" w:cs="Times New Roman"/>
                      <w:strike w:val="0"/>
                      <w:dstrike w:val="0"/>
                      <w:color w:val="auto"/>
                      <w:sz w:val="18"/>
                      <w:szCs w:val="18"/>
                      <w:highlight w:val="none"/>
                      <w:lang w:val="en-US" w:eastAsia="zh-CN"/>
                    </w:rPr>
                    <w:t>.5</w:t>
                  </w:r>
                </w:p>
              </w:tc>
              <w:tc>
                <w:tcPr>
                  <w:tcW w:w="982" w:type="dxa"/>
                  <w:vAlign w:val="center"/>
                </w:tcPr>
                <w:p w14:paraId="55450A42">
                  <w:pPr>
                    <w:jc w:val="center"/>
                    <w:rPr>
                      <w:bCs/>
                      <w:strike w:val="0"/>
                      <w:dstrike w:val="0"/>
                      <w:color w:val="auto"/>
                      <w:sz w:val="18"/>
                      <w:szCs w:val="18"/>
                      <w:highlight w:val="none"/>
                    </w:rPr>
                  </w:pPr>
                  <w:r>
                    <w:rPr>
                      <w:bCs/>
                      <w:strike w:val="0"/>
                      <w:dstrike w:val="0"/>
                      <w:color w:val="auto"/>
                      <w:sz w:val="18"/>
                      <w:szCs w:val="18"/>
                      <w:highlight w:val="none"/>
                    </w:rPr>
                    <w:t>昼夜间</w:t>
                  </w:r>
                </w:p>
              </w:tc>
              <w:tc>
                <w:tcPr>
                  <w:tcW w:w="930" w:type="dxa"/>
                  <w:vAlign w:val="center"/>
                </w:tcPr>
                <w:p w14:paraId="4B3A74C0">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w:t>
                  </w:r>
                </w:p>
              </w:tc>
            </w:tr>
            <w:tr w14:paraId="064C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shd w:val="clear" w:color="auto" w:fill="auto"/>
                  <w:vAlign w:val="center"/>
                </w:tcPr>
                <w:p w14:paraId="2A5E5601">
                  <w:pPr>
                    <w:jc w:val="center"/>
                    <w:rPr>
                      <w:rFonts w:ascii="Times New Roman" w:hAnsi="Times New Roman" w:eastAsia="宋体" w:cs="Times New Roman"/>
                      <w:strike w:val="0"/>
                      <w:dstrike w:val="0"/>
                      <w:color w:val="auto"/>
                      <w:kern w:val="2"/>
                      <w:sz w:val="18"/>
                      <w:szCs w:val="18"/>
                      <w:highlight w:val="none"/>
                      <w:lang w:val="en-US" w:eastAsia="zh-CN" w:bidi="ar-SA"/>
                    </w:rPr>
                  </w:pPr>
                  <w:r>
                    <w:rPr>
                      <w:strike w:val="0"/>
                      <w:dstrike w:val="0"/>
                      <w:color w:val="auto"/>
                      <w:sz w:val="18"/>
                      <w:szCs w:val="18"/>
                      <w:highlight w:val="none"/>
                    </w:rPr>
                    <w:t>5</w:t>
                  </w:r>
                </w:p>
              </w:tc>
              <w:tc>
                <w:tcPr>
                  <w:tcW w:w="793" w:type="dxa"/>
                  <w:shd w:val="clear" w:color="auto" w:fill="FFFFFF"/>
                  <w:vAlign w:val="center"/>
                </w:tcPr>
                <w:p w14:paraId="50750124">
                  <w:pPr>
                    <w:jc w:val="center"/>
                    <w:rPr>
                      <w:strike w:val="0"/>
                      <w:dstrike w:val="0"/>
                      <w:color w:val="auto"/>
                      <w:sz w:val="18"/>
                      <w:szCs w:val="18"/>
                      <w:highlight w:val="none"/>
                    </w:rPr>
                  </w:pPr>
                  <w:r>
                    <w:rPr>
                      <w:strike w:val="0"/>
                      <w:dstrike w:val="0"/>
                      <w:color w:val="auto"/>
                      <w:sz w:val="18"/>
                      <w:szCs w:val="18"/>
                      <w:highlight w:val="none"/>
                    </w:rPr>
                    <w:t>储油罐区</w:t>
                  </w:r>
                </w:p>
              </w:tc>
              <w:tc>
                <w:tcPr>
                  <w:tcW w:w="1138" w:type="dxa"/>
                  <w:shd w:val="clear" w:color="auto" w:fill="FFFFFF"/>
                  <w:vAlign w:val="center"/>
                </w:tcPr>
                <w:p w14:paraId="7C7CFA61">
                  <w:pPr>
                    <w:jc w:val="center"/>
                    <w:rPr>
                      <w:strike w:val="0"/>
                      <w:dstrike w:val="0"/>
                      <w:color w:val="auto"/>
                      <w:sz w:val="18"/>
                      <w:szCs w:val="18"/>
                      <w:highlight w:val="none"/>
                    </w:rPr>
                  </w:pPr>
                  <w:r>
                    <w:rPr>
                      <w:strike w:val="0"/>
                      <w:dstrike w:val="0"/>
                      <w:color w:val="auto"/>
                      <w:sz w:val="18"/>
                      <w:szCs w:val="18"/>
                      <w:highlight w:val="none"/>
                    </w:rPr>
                    <w:t>潜油泵</w:t>
                  </w:r>
                </w:p>
              </w:tc>
              <w:tc>
                <w:tcPr>
                  <w:tcW w:w="650" w:type="dxa"/>
                  <w:shd w:val="clear" w:color="auto" w:fill="FFFFFF"/>
                  <w:vAlign w:val="center"/>
                </w:tcPr>
                <w:p w14:paraId="2040CFC0">
                  <w:pPr>
                    <w:jc w:val="center"/>
                    <w:rPr>
                      <w:strike w:val="0"/>
                      <w:dstrike w:val="0"/>
                      <w:color w:val="auto"/>
                      <w:sz w:val="18"/>
                      <w:szCs w:val="18"/>
                      <w:highlight w:val="none"/>
                    </w:rPr>
                  </w:pPr>
                  <w:r>
                    <w:rPr>
                      <w:strike w:val="0"/>
                      <w:dstrike w:val="0"/>
                      <w:color w:val="auto"/>
                      <w:sz w:val="18"/>
                      <w:szCs w:val="18"/>
                      <w:highlight w:val="none"/>
                    </w:rPr>
                    <w:t>1台</w:t>
                  </w:r>
                </w:p>
              </w:tc>
              <w:tc>
                <w:tcPr>
                  <w:tcW w:w="962" w:type="dxa"/>
                  <w:shd w:val="clear" w:color="auto" w:fill="FFFFFF"/>
                  <w:vAlign w:val="center"/>
                </w:tcPr>
                <w:p w14:paraId="53679B0C">
                  <w:pPr>
                    <w:jc w:val="center"/>
                    <w:rPr>
                      <w:strike w:val="0"/>
                      <w:dstrike w:val="0"/>
                      <w:color w:val="auto"/>
                      <w:sz w:val="18"/>
                      <w:szCs w:val="18"/>
                      <w:highlight w:val="none"/>
                    </w:rPr>
                  </w:pPr>
                  <w:r>
                    <w:rPr>
                      <w:strike w:val="0"/>
                      <w:dstrike w:val="0"/>
                      <w:color w:val="auto"/>
                      <w:sz w:val="18"/>
                      <w:szCs w:val="18"/>
                      <w:highlight w:val="none"/>
                    </w:rPr>
                    <w:t>70</w:t>
                  </w:r>
                </w:p>
              </w:tc>
              <w:tc>
                <w:tcPr>
                  <w:tcW w:w="1039" w:type="dxa"/>
                  <w:vAlign w:val="center"/>
                </w:tcPr>
                <w:p w14:paraId="7964F92E">
                  <w:pPr>
                    <w:widowControl/>
                    <w:jc w:val="center"/>
                    <w:rPr>
                      <w:strike w:val="0"/>
                      <w:dstrike w:val="0"/>
                      <w:color w:val="auto"/>
                      <w:sz w:val="18"/>
                      <w:szCs w:val="18"/>
                      <w:highlight w:val="none"/>
                    </w:rPr>
                  </w:pPr>
                  <w:r>
                    <w:rPr>
                      <w:strike w:val="0"/>
                      <w:dstrike w:val="0"/>
                      <w:color w:val="auto"/>
                      <w:kern w:val="0"/>
                      <w:sz w:val="18"/>
                      <w:szCs w:val="18"/>
                      <w:highlight w:val="none"/>
                      <w:lang w:bidi="ar"/>
                    </w:rPr>
                    <w:t>选低噪声设备</w:t>
                  </w:r>
                  <w:r>
                    <w:rPr>
                      <w:rFonts w:hint="eastAsia"/>
                      <w:strike w:val="0"/>
                      <w:dstrike w:val="0"/>
                      <w:color w:val="auto"/>
                      <w:kern w:val="0"/>
                      <w:sz w:val="18"/>
                      <w:szCs w:val="18"/>
                      <w:highlight w:val="none"/>
                      <w:lang w:eastAsia="zh-CN" w:bidi="ar"/>
                    </w:rPr>
                    <w:t>、</w:t>
                  </w:r>
                  <w:r>
                    <w:rPr>
                      <w:rFonts w:hint="eastAsia"/>
                      <w:strike w:val="0"/>
                      <w:dstrike w:val="0"/>
                      <w:color w:val="auto"/>
                      <w:kern w:val="0"/>
                      <w:sz w:val="18"/>
                      <w:szCs w:val="18"/>
                      <w:highlight w:val="none"/>
                      <w:lang w:val="en-US" w:eastAsia="zh-CN" w:bidi="ar"/>
                    </w:rPr>
                    <w:t>基础减振</w:t>
                  </w:r>
                </w:p>
              </w:tc>
              <w:tc>
                <w:tcPr>
                  <w:tcW w:w="686" w:type="dxa"/>
                  <w:shd w:val="clear" w:color="auto" w:fill="FFFFFF"/>
                  <w:vAlign w:val="center"/>
                </w:tcPr>
                <w:p w14:paraId="5598CA3A">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14</w:t>
                  </w:r>
                </w:p>
              </w:tc>
              <w:tc>
                <w:tcPr>
                  <w:tcW w:w="746" w:type="dxa"/>
                  <w:shd w:val="clear" w:color="auto" w:fill="FFFFFF"/>
                  <w:vAlign w:val="center"/>
                </w:tcPr>
                <w:p w14:paraId="0BF027BE">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31</w:t>
                  </w:r>
                </w:p>
              </w:tc>
              <w:tc>
                <w:tcPr>
                  <w:tcW w:w="665" w:type="dxa"/>
                  <w:shd w:val="clear" w:color="auto" w:fill="FFFFFF"/>
                  <w:vAlign w:val="center"/>
                </w:tcPr>
                <w:p w14:paraId="59C3BD64">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w:t>
                  </w:r>
                  <w:r>
                    <w:rPr>
                      <w:rFonts w:ascii="Times New Roman" w:hAnsi="Times New Roman" w:eastAsia="宋体" w:cs="Times New Roman"/>
                      <w:strike w:val="0"/>
                      <w:dstrike w:val="0"/>
                      <w:color w:val="auto"/>
                      <w:sz w:val="18"/>
                      <w:szCs w:val="18"/>
                      <w:highlight w:val="none"/>
                    </w:rPr>
                    <w:t>0</w:t>
                  </w:r>
                  <w:r>
                    <w:rPr>
                      <w:rFonts w:hint="eastAsia" w:ascii="Times New Roman" w:hAnsi="Times New Roman" w:eastAsia="宋体" w:cs="Times New Roman"/>
                      <w:strike w:val="0"/>
                      <w:dstrike w:val="0"/>
                      <w:color w:val="auto"/>
                      <w:sz w:val="18"/>
                      <w:szCs w:val="18"/>
                      <w:highlight w:val="none"/>
                      <w:lang w:val="en-US" w:eastAsia="zh-CN"/>
                    </w:rPr>
                    <w:t>.5</w:t>
                  </w:r>
                </w:p>
              </w:tc>
              <w:tc>
                <w:tcPr>
                  <w:tcW w:w="982" w:type="dxa"/>
                  <w:vAlign w:val="center"/>
                </w:tcPr>
                <w:p w14:paraId="7D59F2B3">
                  <w:pPr>
                    <w:jc w:val="center"/>
                    <w:rPr>
                      <w:bCs/>
                      <w:strike w:val="0"/>
                      <w:dstrike w:val="0"/>
                      <w:color w:val="auto"/>
                      <w:sz w:val="18"/>
                      <w:szCs w:val="18"/>
                      <w:highlight w:val="none"/>
                    </w:rPr>
                  </w:pPr>
                  <w:r>
                    <w:rPr>
                      <w:bCs/>
                      <w:strike w:val="0"/>
                      <w:dstrike w:val="0"/>
                      <w:color w:val="auto"/>
                      <w:sz w:val="18"/>
                      <w:szCs w:val="18"/>
                      <w:highlight w:val="none"/>
                    </w:rPr>
                    <w:t>昼夜间</w:t>
                  </w:r>
                </w:p>
              </w:tc>
              <w:tc>
                <w:tcPr>
                  <w:tcW w:w="930" w:type="dxa"/>
                  <w:vAlign w:val="center"/>
                </w:tcPr>
                <w:p w14:paraId="7B4C8BF9">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w:t>
                  </w:r>
                </w:p>
              </w:tc>
            </w:tr>
            <w:tr w14:paraId="3695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shd w:val="clear" w:color="auto" w:fill="auto"/>
                  <w:vAlign w:val="center"/>
                </w:tcPr>
                <w:p w14:paraId="30BB4998">
                  <w:pPr>
                    <w:jc w:val="center"/>
                    <w:rPr>
                      <w:rFonts w:ascii="Times New Roman" w:hAnsi="Times New Roman" w:eastAsia="宋体" w:cs="Times New Roman"/>
                      <w:strike w:val="0"/>
                      <w:dstrike w:val="0"/>
                      <w:color w:val="auto"/>
                      <w:kern w:val="2"/>
                      <w:sz w:val="18"/>
                      <w:szCs w:val="18"/>
                      <w:highlight w:val="none"/>
                      <w:lang w:val="en-US" w:eastAsia="zh-CN" w:bidi="ar-SA"/>
                    </w:rPr>
                  </w:pPr>
                  <w:r>
                    <w:rPr>
                      <w:strike w:val="0"/>
                      <w:dstrike w:val="0"/>
                      <w:color w:val="auto"/>
                      <w:sz w:val="18"/>
                      <w:szCs w:val="18"/>
                      <w:highlight w:val="none"/>
                    </w:rPr>
                    <w:t>6</w:t>
                  </w:r>
                </w:p>
              </w:tc>
              <w:tc>
                <w:tcPr>
                  <w:tcW w:w="793" w:type="dxa"/>
                  <w:shd w:val="clear" w:color="auto" w:fill="FFFFFF"/>
                  <w:vAlign w:val="center"/>
                </w:tcPr>
                <w:p w14:paraId="00EC903B">
                  <w:pPr>
                    <w:jc w:val="center"/>
                    <w:rPr>
                      <w:strike w:val="0"/>
                      <w:dstrike w:val="0"/>
                      <w:color w:val="auto"/>
                      <w:sz w:val="18"/>
                      <w:szCs w:val="18"/>
                      <w:highlight w:val="none"/>
                    </w:rPr>
                  </w:pPr>
                  <w:r>
                    <w:rPr>
                      <w:strike w:val="0"/>
                      <w:dstrike w:val="0"/>
                      <w:color w:val="auto"/>
                      <w:sz w:val="18"/>
                      <w:szCs w:val="18"/>
                      <w:highlight w:val="none"/>
                    </w:rPr>
                    <w:t>储油罐区</w:t>
                  </w:r>
                </w:p>
              </w:tc>
              <w:tc>
                <w:tcPr>
                  <w:tcW w:w="1138" w:type="dxa"/>
                  <w:shd w:val="clear" w:color="auto" w:fill="FFFFFF"/>
                  <w:vAlign w:val="center"/>
                </w:tcPr>
                <w:p w14:paraId="3417D72F">
                  <w:pPr>
                    <w:jc w:val="center"/>
                    <w:rPr>
                      <w:strike w:val="0"/>
                      <w:dstrike w:val="0"/>
                      <w:color w:val="auto"/>
                      <w:sz w:val="18"/>
                      <w:szCs w:val="18"/>
                      <w:highlight w:val="none"/>
                    </w:rPr>
                  </w:pPr>
                  <w:r>
                    <w:rPr>
                      <w:strike w:val="0"/>
                      <w:dstrike w:val="0"/>
                      <w:color w:val="auto"/>
                      <w:sz w:val="18"/>
                      <w:szCs w:val="18"/>
                      <w:highlight w:val="none"/>
                    </w:rPr>
                    <w:t>潜油泵</w:t>
                  </w:r>
                </w:p>
              </w:tc>
              <w:tc>
                <w:tcPr>
                  <w:tcW w:w="650" w:type="dxa"/>
                  <w:shd w:val="clear" w:color="auto" w:fill="FFFFFF"/>
                  <w:vAlign w:val="center"/>
                </w:tcPr>
                <w:p w14:paraId="419E12B9">
                  <w:pPr>
                    <w:jc w:val="center"/>
                    <w:rPr>
                      <w:strike w:val="0"/>
                      <w:dstrike w:val="0"/>
                      <w:color w:val="auto"/>
                      <w:sz w:val="18"/>
                      <w:szCs w:val="18"/>
                      <w:highlight w:val="none"/>
                    </w:rPr>
                  </w:pPr>
                  <w:r>
                    <w:rPr>
                      <w:strike w:val="0"/>
                      <w:dstrike w:val="0"/>
                      <w:color w:val="auto"/>
                      <w:sz w:val="18"/>
                      <w:szCs w:val="18"/>
                      <w:highlight w:val="none"/>
                    </w:rPr>
                    <w:t>1台</w:t>
                  </w:r>
                </w:p>
              </w:tc>
              <w:tc>
                <w:tcPr>
                  <w:tcW w:w="962" w:type="dxa"/>
                  <w:shd w:val="clear" w:color="auto" w:fill="FFFFFF"/>
                  <w:vAlign w:val="center"/>
                </w:tcPr>
                <w:p w14:paraId="08ACDE8E">
                  <w:pPr>
                    <w:jc w:val="center"/>
                    <w:rPr>
                      <w:strike w:val="0"/>
                      <w:dstrike w:val="0"/>
                      <w:color w:val="auto"/>
                      <w:sz w:val="18"/>
                      <w:szCs w:val="18"/>
                      <w:highlight w:val="none"/>
                    </w:rPr>
                  </w:pPr>
                  <w:r>
                    <w:rPr>
                      <w:strike w:val="0"/>
                      <w:dstrike w:val="0"/>
                      <w:color w:val="auto"/>
                      <w:sz w:val="18"/>
                      <w:szCs w:val="18"/>
                      <w:highlight w:val="none"/>
                    </w:rPr>
                    <w:t>70</w:t>
                  </w:r>
                </w:p>
              </w:tc>
              <w:tc>
                <w:tcPr>
                  <w:tcW w:w="1039" w:type="dxa"/>
                  <w:vAlign w:val="center"/>
                </w:tcPr>
                <w:p w14:paraId="4E72C21F">
                  <w:pPr>
                    <w:widowControl/>
                    <w:jc w:val="center"/>
                    <w:rPr>
                      <w:strike w:val="0"/>
                      <w:dstrike w:val="0"/>
                      <w:color w:val="auto"/>
                      <w:sz w:val="18"/>
                      <w:szCs w:val="18"/>
                      <w:highlight w:val="none"/>
                    </w:rPr>
                  </w:pPr>
                  <w:r>
                    <w:rPr>
                      <w:strike w:val="0"/>
                      <w:dstrike w:val="0"/>
                      <w:color w:val="auto"/>
                      <w:kern w:val="0"/>
                      <w:sz w:val="18"/>
                      <w:szCs w:val="18"/>
                      <w:highlight w:val="none"/>
                      <w:lang w:bidi="ar"/>
                    </w:rPr>
                    <w:t>选低噪声设备</w:t>
                  </w:r>
                  <w:r>
                    <w:rPr>
                      <w:rFonts w:hint="eastAsia"/>
                      <w:strike w:val="0"/>
                      <w:dstrike w:val="0"/>
                      <w:color w:val="auto"/>
                      <w:kern w:val="0"/>
                      <w:sz w:val="18"/>
                      <w:szCs w:val="18"/>
                      <w:highlight w:val="none"/>
                      <w:lang w:eastAsia="zh-CN" w:bidi="ar"/>
                    </w:rPr>
                    <w:t>、</w:t>
                  </w:r>
                  <w:r>
                    <w:rPr>
                      <w:rFonts w:hint="eastAsia"/>
                      <w:strike w:val="0"/>
                      <w:dstrike w:val="0"/>
                      <w:color w:val="auto"/>
                      <w:kern w:val="0"/>
                      <w:sz w:val="18"/>
                      <w:szCs w:val="18"/>
                      <w:highlight w:val="none"/>
                      <w:lang w:val="en-US" w:eastAsia="zh-CN" w:bidi="ar"/>
                    </w:rPr>
                    <w:t>基础减振</w:t>
                  </w:r>
                </w:p>
              </w:tc>
              <w:tc>
                <w:tcPr>
                  <w:tcW w:w="686" w:type="dxa"/>
                  <w:shd w:val="clear" w:color="auto" w:fill="FFFFFF"/>
                  <w:vAlign w:val="center"/>
                </w:tcPr>
                <w:p w14:paraId="1B716FA6">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9</w:t>
                  </w:r>
                </w:p>
              </w:tc>
              <w:tc>
                <w:tcPr>
                  <w:tcW w:w="746" w:type="dxa"/>
                  <w:shd w:val="clear" w:color="auto" w:fill="FFFFFF"/>
                  <w:vAlign w:val="center"/>
                </w:tcPr>
                <w:p w14:paraId="79A54FD3">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29</w:t>
                  </w:r>
                </w:p>
              </w:tc>
              <w:tc>
                <w:tcPr>
                  <w:tcW w:w="665" w:type="dxa"/>
                  <w:shd w:val="clear" w:color="auto" w:fill="FFFFFF"/>
                  <w:vAlign w:val="center"/>
                </w:tcPr>
                <w:p w14:paraId="259F34A8">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w:t>
                  </w:r>
                  <w:r>
                    <w:rPr>
                      <w:rFonts w:ascii="Times New Roman" w:hAnsi="Times New Roman" w:eastAsia="宋体" w:cs="Times New Roman"/>
                      <w:strike w:val="0"/>
                      <w:dstrike w:val="0"/>
                      <w:color w:val="auto"/>
                      <w:sz w:val="18"/>
                      <w:szCs w:val="18"/>
                      <w:highlight w:val="none"/>
                    </w:rPr>
                    <w:t>0</w:t>
                  </w:r>
                  <w:r>
                    <w:rPr>
                      <w:rFonts w:hint="eastAsia" w:ascii="Times New Roman" w:hAnsi="Times New Roman" w:eastAsia="宋体" w:cs="Times New Roman"/>
                      <w:strike w:val="0"/>
                      <w:dstrike w:val="0"/>
                      <w:color w:val="auto"/>
                      <w:sz w:val="18"/>
                      <w:szCs w:val="18"/>
                      <w:highlight w:val="none"/>
                      <w:lang w:val="en-US" w:eastAsia="zh-CN"/>
                    </w:rPr>
                    <w:t>.5</w:t>
                  </w:r>
                </w:p>
              </w:tc>
              <w:tc>
                <w:tcPr>
                  <w:tcW w:w="982" w:type="dxa"/>
                  <w:vAlign w:val="center"/>
                </w:tcPr>
                <w:p w14:paraId="1C95E6C1">
                  <w:pPr>
                    <w:jc w:val="center"/>
                    <w:rPr>
                      <w:bCs/>
                      <w:strike w:val="0"/>
                      <w:dstrike w:val="0"/>
                      <w:color w:val="auto"/>
                      <w:sz w:val="18"/>
                      <w:szCs w:val="18"/>
                      <w:highlight w:val="none"/>
                    </w:rPr>
                  </w:pPr>
                  <w:r>
                    <w:rPr>
                      <w:bCs/>
                      <w:strike w:val="0"/>
                      <w:dstrike w:val="0"/>
                      <w:color w:val="auto"/>
                      <w:sz w:val="18"/>
                      <w:szCs w:val="18"/>
                      <w:highlight w:val="none"/>
                    </w:rPr>
                    <w:t>昼夜间</w:t>
                  </w:r>
                </w:p>
              </w:tc>
              <w:tc>
                <w:tcPr>
                  <w:tcW w:w="930" w:type="dxa"/>
                  <w:vAlign w:val="center"/>
                </w:tcPr>
                <w:p w14:paraId="08692EF0">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w:t>
                  </w:r>
                </w:p>
              </w:tc>
            </w:tr>
            <w:tr w14:paraId="23CE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shd w:val="clear" w:color="auto" w:fill="auto"/>
                  <w:vAlign w:val="center"/>
                </w:tcPr>
                <w:p w14:paraId="7BD645B2">
                  <w:pPr>
                    <w:jc w:val="center"/>
                    <w:rPr>
                      <w:rFonts w:ascii="Times New Roman" w:hAnsi="Times New Roman" w:eastAsia="宋体" w:cs="Times New Roman"/>
                      <w:strike w:val="0"/>
                      <w:dstrike w:val="0"/>
                      <w:color w:val="auto"/>
                      <w:kern w:val="2"/>
                      <w:sz w:val="18"/>
                      <w:szCs w:val="18"/>
                      <w:highlight w:val="none"/>
                      <w:lang w:val="en-US" w:eastAsia="zh-CN" w:bidi="ar-SA"/>
                    </w:rPr>
                  </w:pPr>
                  <w:r>
                    <w:rPr>
                      <w:strike w:val="0"/>
                      <w:dstrike w:val="0"/>
                      <w:color w:val="auto"/>
                      <w:sz w:val="18"/>
                      <w:szCs w:val="18"/>
                      <w:highlight w:val="none"/>
                    </w:rPr>
                    <w:t>7</w:t>
                  </w:r>
                </w:p>
              </w:tc>
              <w:tc>
                <w:tcPr>
                  <w:tcW w:w="793" w:type="dxa"/>
                  <w:shd w:val="clear" w:color="auto" w:fill="FFFFFF"/>
                  <w:vAlign w:val="center"/>
                </w:tcPr>
                <w:p w14:paraId="40617544">
                  <w:pPr>
                    <w:jc w:val="center"/>
                    <w:rPr>
                      <w:strike w:val="0"/>
                      <w:dstrike w:val="0"/>
                      <w:color w:val="auto"/>
                      <w:sz w:val="18"/>
                      <w:szCs w:val="18"/>
                      <w:highlight w:val="none"/>
                    </w:rPr>
                  </w:pPr>
                  <w:r>
                    <w:rPr>
                      <w:strike w:val="0"/>
                      <w:dstrike w:val="0"/>
                      <w:color w:val="auto"/>
                      <w:sz w:val="18"/>
                      <w:szCs w:val="18"/>
                      <w:highlight w:val="none"/>
                    </w:rPr>
                    <w:t>储气罐区</w:t>
                  </w:r>
                </w:p>
              </w:tc>
              <w:tc>
                <w:tcPr>
                  <w:tcW w:w="1138" w:type="dxa"/>
                  <w:shd w:val="clear" w:color="auto" w:fill="FFFFFF"/>
                  <w:vAlign w:val="center"/>
                </w:tcPr>
                <w:p w14:paraId="5931A1CE">
                  <w:pPr>
                    <w:jc w:val="center"/>
                    <w:rPr>
                      <w:strike w:val="0"/>
                      <w:dstrike w:val="0"/>
                      <w:color w:val="auto"/>
                      <w:sz w:val="18"/>
                      <w:szCs w:val="18"/>
                      <w:highlight w:val="none"/>
                    </w:rPr>
                  </w:pPr>
                  <w:r>
                    <w:rPr>
                      <w:strike w:val="0"/>
                      <w:dstrike w:val="0"/>
                      <w:color w:val="auto"/>
                      <w:sz w:val="18"/>
                      <w:szCs w:val="18"/>
                      <w:highlight w:val="none"/>
                    </w:rPr>
                    <w:t>潜液泵</w:t>
                  </w:r>
                </w:p>
              </w:tc>
              <w:tc>
                <w:tcPr>
                  <w:tcW w:w="650" w:type="dxa"/>
                  <w:shd w:val="clear" w:color="auto" w:fill="FFFFFF"/>
                  <w:vAlign w:val="center"/>
                </w:tcPr>
                <w:p w14:paraId="603BDF43">
                  <w:pPr>
                    <w:jc w:val="center"/>
                    <w:rPr>
                      <w:strike w:val="0"/>
                      <w:dstrike w:val="0"/>
                      <w:color w:val="auto"/>
                      <w:sz w:val="18"/>
                      <w:szCs w:val="18"/>
                      <w:highlight w:val="none"/>
                    </w:rPr>
                  </w:pPr>
                  <w:r>
                    <w:rPr>
                      <w:strike w:val="0"/>
                      <w:dstrike w:val="0"/>
                      <w:color w:val="auto"/>
                      <w:sz w:val="18"/>
                      <w:szCs w:val="18"/>
                      <w:highlight w:val="none"/>
                    </w:rPr>
                    <w:t>1台</w:t>
                  </w:r>
                </w:p>
              </w:tc>
              <w:tc>
                <w:tcPr>
                  <w:tcW w:w="962" w:type="dxa"/>
                  <w:shd w:val="clear" w:color="auto" w:fill="FFFFFF"/>
                  <w:vAlign w:val="center"/>
                </w:tcPr>
                <w:p w14:paraId="6706BEC3">
                  <w:pPr>
                    <w:jc w:val="center"/>
                    <w:rPr>
                      <w:strike w:val="0"/>
                      <w:dstrike w:val="0"/>
                      <w:color w:val="auto"/>
                      <w:sz w:val="18"/>
                      <w:szCs w:val="18"/>
                      <w:highlight w:val="none"/>
                    </w:rPr>
                  </w:pPr>
                  <w:r>
                    <w:rPr>
                      <w:strike w:val="0"/>
                      <w:dstrike w:val="0"/>
                      <w:color w:val="auto"/>
                      <w:sz w:val="18"/>
                      <w:szCs w:val="18"/>
                      <w:highlight w:val="none"/>
                    </w:rPr>
                    <w:t>60</w:t>
                  </w:r>
                </w:p>
              </w:tc>
              <w:tc>
                <w:tcPr>
                  <w:tcW w:w="1039" w:type="dxa"/>
                  <w:vAlign w:val="center"/>
                </w:tcPr>
                <w:p w14:paraId="0AF17AEC">
                  <w:pPr>
                    <w:widowControl/>
                    <w:jc w:val="center"/>
                    <w:rPr>
                      <w:rFonts w:hint="default"/>
                      <w:strike w:val="0"/>
                      <w:dstrike w:val="0"/>
                      <w:color w:val="auto"/>
                      <w:sz w:val="18"/>
                      <w:szCs w:val="18"/>
                      <w:highlight w:val="none"/>
                      <w:lang w:val="en-US"/>
                    </w:rPr>
                  </w:pPr>
                  <w:r>
                    <w:rPr>
                      <w:strike w:val="0"/>
                      <w:dstrike w:val="0"/>
                      <w:color w:val="auto"/>
                      <w:kern w:val="0"/>
                      <w:sz w:val="18"/>
                      <w:szCs w:val="18"/>
                      <w:highlight w:val="none"/>
                      <w:lang w:bidi="ar"/>
                    </w:rPr>
                    <w:t>选低噪声设备</w:t>
                  </w:r>
                  <w:r>
                    <w:rPr>
                      <w:rFonts w:hint="eastAsia"/>
                      <w:strike w:val="0"/>
                      <w:dstrike w:val="0"/>
                      <w:color w:val="auto"/>
                      <w:kern w:val="0"/>
                      <w:sz w:val="18"/>
                      <w:szCs w:val="18"/>
                      <w:highlight w:val="none"/>
                      <w:lang w:eastAsia="zh-CN" w:bidi="ar"/>
                    </w:rPr>
                    <w:t>、</w:t>
                  </w:r>
                  <w:r>
                    <w:rPr>
                      <w:rFonts w:hint="eastAsia"/>
                      <w:strike w:val="0"/>
                      <w:dstrike w:val="0"/>
                      <w:color w:val="auto"/>
                      <w:kern w:val="0"/>
                      <w:sz w:val="18"/>
                      <w:szCs w:val="18"/>
                      <w:highlight w:val="none"/>
                      <w:lang w:val="en-US" w:eastAsia="zh-CN" w:bidi="ar"/>
                    </w:rPr>
                    <w:t>基础减振、撬体隔声</w:t>
                  </w:r>
                </w:p>
              </w:tc>
              <w:tc>
                <w:tcPr>
                  <w:tcW w:w="686" w:type="dxa"/>
                  <w:shd w:val="clear" w:color="auto" w:fill="FFFFFF"/>
                  <w:vAlign w:val="center"/>
                </w:tcPr>
                <w:p w14:paraId="6F981FC3">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-7</w:t>
                  </w:r>
                </w:p>
              </w:tc>
              <w:tc>
                <w:tcPr>
                  <w:tcW w:w="746" w:type="dxa"/>
                  <w:shd w:val="clear" w:color="auto" w:fill="FFFFFF"/>
                  <w:vAlign w:val="center"/>
                </w:tcPr>
                <w:p w14:paraId="252F8835">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6</w:t>
                  </w:r>
                </w:p>
              </w:tc>
              <w:tc>
                <w:tcPr>
                  <w:tcW w:w="665" w:type="dxa"/>
                  <w:shd w:val="clear" w:color="auto" w:fill="FFFFFF"/>
                  <w:vAlign w:val="center"/>
                </w:tcPr>
                <w:p w14:paraId="70F05643">
                  <w:pPr>
                    <w:jc w:val="center"/>
                    <w:rPr>
                      <w:rFonts w:ascii="Times New Roman" w:hAnsi="Times New Roman" w:eastAsia="宋体" w:cs="Times New Roman"/>
                      <w:strike w:val="0"/>
                      <w:dstrike w:val="0"/>
                      <w:color w:val="auto"/>
                      <w:sz w:val="18"/>
                      <w:szCs w:val="18"/>
                      <w:highlight w:val="none"/>
                    </w:rPr>
                  </w:pPr>
                  <w:r>
                    <w:rPr>
                      <w:rFonts w:ascii="Times New Roman" w:hAnsi="Times New Roman" w:eastAsia="宋体" w:cs="Times New Roman"/>
                      <w:strike w:val="0"/>
                      <w:dstrike w:val="0"/>
                      <w:color w:val="auto"/>
                      <w:sz w:val="18"/>
                      <w:szCs w:val="18"/>
                      <w:highlight w:val="none"/>
                    </w:rPr>
                    <w:t>1.2</w:t>
                  </w:r>
                </w:p>
              </w:tc>
              <w:tc>
                <w:tcPr>
                  <w:tcW w:w="982" w:type="dxa"/>
                  <w:vAlign w:val="center"/>
                </w:tcPr>
                <w:p w14:paraId="40083F0B">
                  <w:pPr>
                    <w:jc w:val="center"/>
                    <w:rPr>
                      <w:bCs/>
                      <w:strike w:val="0"/>
                      <w:dstrike w:val="0"/>
                      <w:color w:val="auto"/>
                      <w:sz w:val="18"/>
                      <w:szCs w:val="18"/>
                      <w:highlight w:val="none"/>
                    </w:rPr>
                  </w:pPr>
                  <w:r>
                    <w:rPr>
                      <w:bCs/>
                      <w:strike w:val="0"/>
                      <w:dstrike w:val="0"/>
                      <w:color w:val="auto"/>
                      <w:sz w:val="18"/>
                      <w:szCs w:val="18"/>
                      <w:highlight w:val="none"/>
                    </w:rPr>
                    <w:t>昼夜间</w:t>
                  </w:r>
                </w:p>
              </w:tc>
              <w:tc>
                <w:tcPr>
                  <w:tcW w:w="930" w:type="dxa"/>
                  <w:vAlign w:val="center"/>
                </w:tcPr>
                <w:p w14:paraId="7CB679F3">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w:t>
                  </w:r>
                </w:p>
              </w:tc>
            </w:tr>
            <w:tr w14:paraId="6360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shd w:val="clear" w:color="auto" w:fill="auto"/>
                  <w:vAlign w:val="center"/>
                </w:tcPr>
                <w:p w14:paraId="1A10F60B">
                  <w:pPr>
                    <w:jc w:val="center"/>
                    <w:rPr>
                      <w:rFonts w:ascii="Times New Roman" w:hAnsi="Times New Roman" w:eastAsia="宋体" w:cs="Times New Roman"/>
                      <w:strike w:val="0"/>
                      <w:dstrike w:val="0"/>
                      <w:color w:val="auto"/>
                      <w:kern w:val="2"/>
                      <w:sz w:val="18"/>
                      <w:szCs w:val="18"/>
                      <w:highlight w:val="none"/>
                      <w:lang w:val="en-US" w:eastAsia="zh-CN" w:bidi="ar-SA"/>
                    </w:rPr>
                  </w:pPr>
                  <w:r>
                    <w:rPr>
                      <w:strike w:val="0"/>
                      <w:dstrike w:val="0"/>
                      <w:color w:val="auto"/>
                      <w:sz w:val="18"/>
                      <w:szCs w:val="18"/>
                      <w:highlight w:val="none"/>
                    </w:rPr>
                    <w:t>8</w:t>
                  </w:r>
                </w:p>
              </w:tc>
              <w:tc>
                <w:tcPr>
                  <w:tcW w:w="793" w:type="dxa"/>
                  <w:shd w:val="clear" w:color="auto" w:fill="auto"/>
                  <w:vAlign w:val="center"/>
                </w:tcPr>
                <w:p w14:paraId="3916D3AD">
                  <w:pPr>
                    <w:jc w:val="center"/>
                    <w:rPr>
                      <w:strike w:val="0"/>
                      <w:dstrike w:val="0"/>
                      <w:color w:val="auto"/>
                      <w:sz w:val="18"/>
                      <w:szCs w:val="18"/>
                      <w:highlight w:val="none"/>
                    </w:rPr>
                  </w:pPr>
                  <w:r>
                    <w:rPr>
                      <w:strike w:val="0"/>
                      <w:dstrike w:val="0"/>
                      <w:color w:val="auto"/>
                      <w:sz w:val="18"/>
                      <w:szCs w:val="18"/>
                      <w:highlight w:val="none"/>
                    </w:rPr>
                    <w:t>储气罐区</w:t>
                  </w:r>
                </w:p>
              </w:tc>
              <w:tc>
                <w:tcPr>
                  <w:tcW w:w="1138" w:type="dxa"/>
                  <w:shd w:val="clear" w:color="auto" w:fill="FFFFFF"/>
                  <w:vAlign w:val="center"/>
                </w:tcPr>
                <w:p w14:paraId="4B905F25">
                  <w:pPr>
                    <w:jc w:val="center"/>
                    <w:rPr>
                      <w:strike w:val="0"/>
                      <w:dstrike w:val="0"/>
                      <w:color w:val="auto"/>
                      <w:sz w:val="18"/>
                      <w:szCs w:val="18"/>
                      <w:highlight w:val="none"/>
                    </w:rPr>
                  </w:pPr>
                  <w:r>
                    <w:rPr>
                      <w:strike w:val="0"/>
                      <w:dstrike w:val="0"/>
                      <w:color w:val="auto"/>
                      <w:sz w:val="18"/>
                      <w:szCs w:val="18"/>
                      <w:highlight w:val="none"/>
                    </w:rPr>
                    <w:t>潜液泵</w:t>
                  </w:r>
                </w:p>
              </w:tc>
              <w:tc>
                <w:tcPr>
                  <w:tcW w:w="650" w:type="dxa"/>
                  <w:shd w:val="clear" w:color="auto" w:fill="FFFFFF"/>
                  <w:vAlign w:val="center"/>
                </w:tcPr>
                <w:p w14:paraId="3179F319">
                  <w:pPr>
                    <w:jc w:val="center"/>
                    <w:rPr>
                      <w:strike w:val="0"/>
                      <w:dstrike w:val="0"/>
                      <w:color w:val="auto"/>
                      <w:sz w:val="18"/>
                      <w:szCs w:val="18"/>
                      <w:highlight w:val="none"/>
                    </w:rPr>
                  </w:pPr>
                  <w:r>
                    <w:rPr>
                      <w:strike w:val="0"/>
                      <w:dstrike w:val="0"/>
                      <w:color w:val="auto"/>
                      <w:sz w:val="18"/>
                      <w:szCs w:val="18"/>
                      <w:highlight w:val="none"/>
                    </w:rPr>
                    <w:t>1台</w:t>
                  </w:r>
                </w:p>
              </w:tc>
              <w:tc>
                <w:tcPr>
                  <w:tcW w:w="962" w:type="dxa"/>
                  <w:shd w:val="clear" w:color="auto" w:fill="FFFFFF"/>
                  <w:vAlign w:val="center"/>
                </w:tcPr>
                <w:p w14:paraId="6EAAC777">
                  <w:pPr>
                    <w:jc w:val="center"/>
                    <w:rPr>
                      <w:strike w:val="0"/>
                      <w:dstrike w:val="0"/>
                      <w:color w:val="auto"/>
                      <w:sz w:val="18"/>
                      <w:szCs w:val="18"/>
                      <w:highlight w:val="none"/>
                    </w:rPr>
                  </w:pPr>
                  <w:r>
                    <w:rPr>
                      <w:strike w:val="0"/>
                      <w:dstrike w:val="0"/>
                      <w:color w:val="auto"/>
                      <w:sz w:val="18"/>
                      <w:szCs w:val="18"/>
                      <w:highlight w:val="none"/>
                    </w:rPr>
                    <w:t>60</w:t>
                  </w:r>
                </w:p>
              </w:tc>
              <w:tc>
                <w:tcPr>
                  <w:tcW w:w="1039" w:type="dxa"/>
                  <w:shd w:val="clear" w:color="auto" w:fill="auto"/>
                  <w:vAlign w:val="center"/>
                </w:tcPr>
                <w:p w14:paraId="24952AD1">
                  <w:pPr>
                    <w:widowControl/>
                    <w:jc w:val="center"/>
                    <w:rPr>
                      <w:rFonts w:hint="default" w:ascii="Times New Roman" w:hAnsi="Times New Roman" w:eastAsia="宋体" w:cs="Times New Roman"/>
                      <w:strike w:val="0"/>
                      <w:dstrike w:val="0"/>
                      <w:color w:val="auto"/>
                      <w:kern w:val="2"/>
                      <w:sz w:val="18"/>
                      <w:szCs w:val="18"/>
                      <w:highlight w:val="none"/>
                      <w:lang w:val="en-US" w:eastAsia="zh-CN" w:bidi="ar-SA"/>
                    </w:rPr>
                  </w:pPr>
                  <w:r>
                    <w:rPr>
                      <w:strike w:val="0"/>
                      <w:dstrike w:val="0"/>
                      <w:color w:val="auto"/>
                      <w:kern w:val="0"/>
                      <w:sz w:val="18"/>
                      <w:szCs w:val="18"/>
                      <w:highlight w:val="none"/>
                      <w:lang w:bidi="ar"/>
                    </w:rPr>
                    <w:t>选低噪声设备</w:t>
                  </w:r>
                  <w:r>
                    <w:rPr>
                      <w:rFonts w:hint="eastAsia"/>
                      <w:strike w:val="0"/>
                      <w:dstrike w:val="0"/>
                      <w:color w:val="auto"/>
                      <w:kern w:val="0"/>
                      <w:sz w:val="18"/>
                      <w:szCs w:val="18"/>
                      <w:highlight w:val="none"/>
                      <w:lang w:eastAsia="zh-CN" w:bidi="ar"/>
                    </w:rPr>
                    <w:t>、</w:t>
                  </w:r>
                  <w:r>
                    <w:rPr>
                      <w:rFonts w:hint="eastAsia"/>
                      <w:strike w:val="0"/>
                      <w:dstrike w:val="0"/>
                      <w:color w:val="auto"/>
                      <w:kern w:val="0"/>
                      <w:sz w:val="18"/>
                      <w:szCs w:val="18"/>
                      <w:highlight w:val="none"/>
                      <w:lang w:val="en-US" w:eastAsia="zh-CN" w:bidi="ar"/>
                    </w:rPr>
                    <w:t>基础减振、撬体隔声</w:t>
                  </w:r>
                </w:p>
              </w:tc>
              <w:tc>
                <w:tcPr>
                  <w:tcW w:w="686" w:type="dxa"/>
                  <w:shd w:val="clear" w:color="auto" w:fill="FFFFFF"/>
                  <w:vAlign w:val="center"/>
                </w:tcPr>
                <w:p w14:paraId="29FFCE46">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-12</w:t>
                  </w:r>
                </w:p>
              </w:tc>
              <w:tc>
                <w:tcPr>
                  <w:tcW w:w="746" w:type="dxa"/>
                  <w:shd w:val="clear" w:color="auto" w:fill="FFFFFF"/>
                  <w:vAlign w:val="center"/>
                </w:tcPr>
                <w:p w14:paraId="28EA4573">
                  <w:pPr>
                    <w:jc w:val="center"/>
                    <w:rPr>
                      <w:rFonts w:ascii="Times New Roman" w:hAnsi="Times New Roman" w:eastAsia="宋体" w:cs="Times New Roman"/>
                      <w:strike w:val="0"/>
                      <w:dstrike w:val="0"/>
                      <w:color w:val="auto"/>
                      <w:sz w:val="18"/>
                      <w:szCs w:val="18"/>
                      <w:highlight w:val="none"/>
                    </w:rPr>
                  </w:pPr>
                  <w:r>
                    <w:rPr>
                      <w:rFonts w:hint="eastAsia" w:ascii="Times New Roman" w:hAnsi="Times New Roman" w:eastAsia="宋体" w:cs="Times New Roman"/>
                      <w:strike w:val="0"/>
                      <w:dstrike w:val="0"/>
                      <w:color w:val="auto"/>
                      <w:sz w:val="18"/>
                      <w:szCs w:val="18"/>
                      <w:highlight w:val="none"/>
                      <w:lang w:val="en-US" w:eastAsia="zh-CN"/>
                    </w:rPr>
                    <w:t>-2</w:t>
                  </w:r>
                </w:p>
              </w:tc>
              <w:tc>
                <w:tcPr>
                  <w:tcW w:w="665" w:type="dxa"/>
                  <w:shd w:val="clear" w:color="auto" w:fill="FFFFFF"/>
                  <w:vAlign w:val="center"/>
                </w:tcPr>
                <w:p w14:paraId="2338469F">
                  <w:pPr>
                    <w:jc w:val="center"/>
                    <w:rPr>
                      <w:rFonts w:hint="default" w:ascii="Times New Roman" w:hAnsi="Times New Roman" w:eastAsia="宋体" w:cs="Times New Roman"/>
                      <w:strike w:val="0"/>
                      <w:dstrike w:val="0"/>
                      <w:color w:val="auto"/>
                      <w:sz w:val="18"/>
                      <w:szCs w:val="18"/>
                      <w:highlight w:val="none"/>
                      <w:lang w:val="en-US" w:eastAsia="zh-CN"/>
                    </w:rPr>
                  </w:pPr>
                  <w:r>
                    <w:rPr>
                      <w:rFonts w:hint="eastAsia" w:ascii="Times New Roman" w:hAnsi="Times New Roman" w:eastAsia="宋体" w:cs="Times New Roman"/>
                      <w:strike w:val="0"/>
                      <w:dstrike w:val="0"/>
                      <w:color w:val="auto"/>
                      <w:sz w:val="18"/>
                      <w:szCs w:val="18"/>
                      <w:highlight w:val="none"/>
                      <w:lang w:val="en-US" w:eastAsia="zh-CN"/>
                    </w:rPr>
                    <w:t>1.2</w:t>
                  </w:r>
                </w:p>
              </w:tc>
              <w:tc>
                <w:tcPr>
                  <w:tcW w:w="982" w:type="dxa"/>
                  <w:vAlign w:val="center"/>
                </w:tcPr>
                <w:p w14:paraId="06970852">
                  <w:pPr>
                    <w:jc w:val="center"/>
                    <w:rPr>
                      <w:bCs/>
                      <w:strike w:val="0"/>
                      <w:dstrike w:val="0"/>
                      <w:color w:val="auto"/>
                      <w:sz w:val="18"/>
                      <w:szCs w:val="18"/>
                      <w:highlight w:val="none"/>
                    </w:rPr>
                  </w:pPr>
                  <w:r>
                    <w:rPr>
                      <w:bCs/>
                      <w:strike w:val="0"/>
                      <w:dstrike w:val="0"/>
                      <w:color w:val="auto"/>
                      <w:sz w:val="18"/>
                      <w:szCs w:val="18"/>
                      <w:highlight w:val="none"/>
                    </w:rPr>
                    <w:t>昼夜间</w:t>
                  </w:r>
                </w:p>
              </w:tc>
              <w:tc>
                <w:tcPr>
                  <w:tcW w:w="930" w:type="dxa"/>
                  <w:vAlign w:val="center"/>
                </w:tcPr>
                <w:p w14:paraId="673A525A">
                  <w:pPr>
                    <w:pStyle w:val="10"/>
                    <w:spacing w:before="0" w:after="0" w:line="240" w:lineRule="auto"/>
                    <w:ind w:right="0"/>
                    <w:jc w:val="center"/>
                    <w:rPr>
                      <w:strike w:val="0"/>
                      <w:dstrike w:val="0"/>
                      <w:color w:val="auto"/>
                      <w:sz w:val="18"/>
                      <w:szCs w:val="18"/>
                      <w:highlight w:val="none"/>
                    </w:rPr>
                  </w:pPr>
                  <w:r>
                    <w:rPr>
                      <w:strike w:val="0"/>
                      <w:dstrike w:val="0"/>
                      <w:color w:val="auto"/>
                      <w:sz w:val="18"/>
                      <w:szCs w:val="18"/>
                      <w:highlight w:val="none"/>
                    </w:rPr>
                    <w:t>/</w:t>
                  </w:r>
                </w:p>
              </w:tc>
            </w:tr>
          </w:tbl>
          <w:p w14:paraId="0115237E">
            <w:pPr>
              <w:rPr>
                <w:bCs/>
                <w:strike w:val="0"/>
                <w:dstrike w:val="0"/>
                <w:color w:val="auto"/>
                <w:szCs w:val="21"/>
                <w:highlight w:val="none"/>
              </w:rPr>
            </w:pPr>
            <w:r>
              <w:rPr>
                <w:bCs/>
                <w:strike w:val="0"/>
                <w:dstrike w:val="0"/>
                <w:color w:val="auto"/>
                <w:szCs w:val="21"/>
                <w:highlight w:val="none"/>
              </w:rPr>
              <w:t>注：表中坐标以厂界中心（106.481071,29.936271）为坐标原点，正东向为X轴正方向，正北向为Y轴正方向。</w:t>
            </w:r>
          </w:p>
          <w:p w14:paraId="5C6045FA">
            <w:pPr>
              <w:widowControl/>
              <w:spacing w:before="159" w:beforeLines="50" w:line="360" w:lineRule="auto"/>
              <w:jc w:val="left"/>
              <w:rPr>
                <w:b/>
                <w:bCs/>
                <w:strike w:val="0"/>
                <w:dstrike w:val="0"/>
                <w:color w:val="auto"/>
                <w:kern w:val="0"/>
                <w:sz w:val="24"/>
                <w:highlight w:val="none"/>
              </w:rPr>
            </w:pPr>
            <w:r>
              <w:rPr>
                <w:b/>
                <w:bCs/>
                <w:strike w:val="0"/>
                <w:dstrike w:val="0"/>
                <w:color w:val="auto"/>
                <w:kern w:val="0"/>
                <w:sz w:val="24"/>
                <w:highlight w:val="none"/>
              </w:rPr>
              <w:t>4.2.3.2 声环境保护目标调查</w:t>
            </w:r>
          </w:p>
          <w:p w14:paraId="2A83FA9F">
            <w:pPr>
              <w:pStyle w:val="66"/>
              <w:spacing w:line="360" w:lineRule="auto"/>
              <w:ind w:firstLine="480" w:firstLineChars="200"/>
              <w:jc w:val="both"/>
              <w:rPr>
                <w:rFonts w:ascii="Times New Roman" w:cs="Times New Roman"/>
                <w:strike w:val="0"/>
                <w:dstrike w:val="0"/>
                <w:color w:val="auto"/>
                <w:highlight w:val="none"/>
              </w:rPr>
            </w:pPr>
            <w:r>
              <w:rPr>
                <w:rFonts w:ascii="Times New Roman" w:cs="Times New Roman"/>
                <w:strike w:val="0"/>
                <w:dstrike w:val="0"/>
                <w:color w:val="auto"/>
                <w:highlight w:val="none"/>
              </w:rPr>
              <w:t>项目周边50m范围内无声环境保护目标。</w:t>
            </w:r>
          </w:p>
          <w:p w14:paraId="51721B80">
            <w:pPr>
              <w:adjustRightInd w:val="0"/>
              <w:snapToGrid w:val="0"/>
              <w:spacing w:line="360" w:lineRule="auto"/>
              <w:rPr>
                <w:strike w:val="0"/>
                <w:dstrike w:val="0"/>
                <w:color w:val="auto"/>
                <w:sz w:val="24"/>
                <w:highlight w:val="none"/>
              </w:rPr>
            </w:pPr>
            <w:r>
              <w:rPr>
                <w:b/>
                <w:bCs/>
                <w:strike w:val="0"/>
                <w:dstrike w:val="0"/>
                <w:color w:val="auto"/>
                <w:kern w:val="0"/>
                <w:sz w:val="24"/>
                <w:highlight w:val="none"/>
              </w:rPr>
              <w:t xml:space="preserve">4.2.3.3 </w:t>
            </w:r>
            <w:r>
              <w:rPr>
                <w:b/>
                <w:strike w:val="0"/>
                <w:dstrike w:val="0"/>
                <w:color w:val="auto"/>
                <w:sz w:val="24"/>
                <w:highlight w:val="none"/>
              </w:rPr>
              <w:t>声环境影响分析</w:t>
            </w:r>
          </w:p>
          <w:p w14:paraId="4D246F47">
            <w:pPr>
              <w:widowControl/>
              <w:spacing w:line="360" w:lineRule="auto"/>
              <w:ind w:firstLine="480" w:firstLineChars="200"/>
              <w:rPr>
                <w:strike w:val="0"/>
                <w:dstrike w:val="0"/>
                <w:color w:val="auto"/>
                <w:sz w:val="24"/>
                <w:highlight w:val="none"/>
              </w:rPr>
            </w:pPr>
            <w:r>
              <w:rPr>
                <w:strike w:val="0"/>
                <w:dstrike w:val="0"/>
                <w:color w:val="auto"/>
                <w:sz w:val="24"/>
                <w:highlight w:val="none"/>
              </w:rPr>
              <w:t>（1）预测模式选择</w:t>
            </w:r>
          </w:p>
          <w:p w14:paraId="6F0F0072">
            <w:pPr>
              <w:widowControl/>
              <w:spacing w:line="360" w:lineRule="auto"/>
              <w:ind w:firstLine="480" w:firstLineChars="200"/>
              <w:rPr>
                <w:strike w:val="0"/>
                <w:dstrike w:val="0"/>
                <w:color w:val="auto"/>
                <w:sz w:val="24"/>
                <w:highlight w:val="none"/>
              </w:rPr>
            </w:pPr>
            <w:r>
              <w:rPr>
                <w:strike w:val="0"/>
                <w:dstrike w:val="0"/>
                <w:color w:val="auto"/>
                <w:sz w:val="24"/>
                <w:highlight w:val="none"/>
              </w:rPr>
              <w:t>本项目噪声源主要是分布在</w:t>
            </w:r>
            <w:r>
              <w:rPr>
                <w:rFonts w:hint="eastAsia"/>
                <w:strike w:val="0"/>
                <w:dstrike w:val="0"/>
                <w:color w:val="auto"/>
                <w:sz w:val="24"/>
                <w:highlight w:val="none"/>
              </w:rPr>
              <w:t>站区</w:t>
            </w:r>
            <w:r>
              <w:rPr>
                <w:strike w:val="0"/>
                <w:dstrike w:val="0"/>
                <w:color w:val="auto"/>
                <w:sz w:val="24"/>
                <w:highlight w:val="none"/>
              </w:rPr>
              <w:t>的加油机、</w:t>
            </w:r>
            <w:r>
              <w:rPr>
                <w:rFonts w:hint="eastAsia"/>
                <w:strike w:val="0"/>
                <w:dstrike w:val="0"/>
                <w:color w:val="auto"/>
                <w:sz w:val="24"/>
                <w:highlight w:val="none"/>
              </w:rPr>
              <w:t>加气机、</w:t>
            </w:r>
            <w:r>
              <w:rPr>
                <w:strike w:val="0"/>
                <w:dstrike w:val="0"/>
                <w:color w:val="auto"/>
                <w:sz w:val="24"/>
                <w:highlight w:val="none"/>
              </w:rPr>
              <w:t>潜油泵</w:t>
            </w:r>
            <w:r>
              <w:rPr>
                <w:rFonts w:hint="eastAsia"/>
                <w:strike w:val="0"/>
                <w:dstrike w:val="0"/>
                <w:color w:val="auto"/>
                <w:sz w:val="24"/>
                <w:highlight w:val="none"/>
                <w:lang w:eastAsia="zh-CN"/>
              </w:rPr>
              <w:t>、</w:t>
            </w:r>
            <w:r>
              <w:rPr>
                <w:rFonts w:hint="eastAsia"/>
                <w:strike w:val="0"/>
                <w:dstrike w:val="0"/>
                <w:color w:val="auto"/>
                <w:sz w:val="24"/>
                <w:highlight w:val="none"/>
                <w:lang w:val="en-US" w:eastAsia="zh-CN"/>
              </w:rPr>
              <w:t>潜液泵</w:t>
            </w:r>
            <w:r>
              <w:rPr>
                <w:strike w:val="0"/>
                <w:dstrike w:val="0"/>
                <w:color w:val="auto"/>
                <w:sz w:val="24"/>
                <w:highlight w:val="none"/>
              </w:rPr>
              <w:t>等设备噪声，预测计算中，采用《环境影响评价技术导则 声环境》（HJ 2.4—2021）预测模型进行预测，预测计算中主要公式有：</w:t>
            </w:r>
          </w:p>
          <w:p w14:paraId="2F14D21C">
            <w:pPr>
              <w:widowControl/>
              <w:spacing w:line="360" w:lineRule="auto"/>
              <w:ind w:firstLine="480"/>
              <w:rPr>
                <w:strike w:val="0"/>
                <w:dstrike w:val="0"/>
                <w:color w:val="auto"/>
                <w:sz w:val="24"/>
                <w:highlight w:val="none"/>
              </w:rPr>
            </w:pPr>
            <w:r>
              <w:rPr>
                <w:strike w:val="0"/>
                <w:dstrike w:val="0"/>
                <w:color w:val="auto"/>
                <w:sz w:val="24"/>
                <w:highlight w:val="none"/>
              </w:rPr>
              <w:t>①室内声源靠近围护结构处产生的A声级：</w:t>
            </w:r>
          </w:p>
          <w:p w14:paraId="52C38514">
            <w:pPr>
              <w:pStyle w:val="10"/>
              <w:jc w:val="center"/>
              <w:rPr>
                <w:strike w:val="0"/>
                <w:dstrike w:val="0"/>
                <w:color w:val="auto"/>
                <w:sz w:val="28"/>
                <w:szCs w:val="28"/>
                <w:highlight w:val="none"/>
              </w:rPr>
            </w:pPr>
            <w:r>
              <w:rPr>
                <w:strike w:val="0"/>
                <w:dstrike w:val="0"/>
                <w:color w:val="auto"/>
                <w:sz w:val="28"/>
                <w:szCs w:val="28"/>
                <w:highlight w:val="none"/>
              </w:rPr>
              <w:t>L</w:t>
            </w:r>
            <w:r>
              <w:rPr>
                <w:strike w:val="0"/>
                <w:dstrike w:val="0"/>
                <w:color w:val="auto"/>
                <w:sz w:val="28"/>
                <w:szCs w:val="28"/>
                <w:highlight w:val="none"/>
                <w:vertAlign w:val="subscript"/>
              </w:rPr>
              <w:t>p2</w:t>
            </w:r>
            <w:r>
              <w:rPr>
                <w:strike w:val="0"/>
                <w:dstrike w:val="0"/>
                <w:color w:val="auto"/>
                <w:sz w:val="28"/>
                <w:szCs w:val="28"/>
                <w:highlight w:val="none"/>
              </w:rPr>
              <w:t>=L</w:t>
            </w:r>
            <w:r>
              <w:rPr>
                <w:strike w:val="0"/>
                <w:dstrike w:val="0"/>
                <w:color w:val="auto"/>
                <w:sz w:val="28"/>
                <w:szCs w:val="28"/>
                <w:highlight w:val="none"/>
                <w:vertAlign w:val="subscript"/>
              </w:rPr>
              <w:t>pl</w:t>
            </w:r>
            <w:r>
              <w:rPr>
                <w:strike w:val="0"/>
                <w:dstrike w:val="0"/>
                <w:color w:val="auto"/>
                <w:sz w:val="28"/>
                <w:szCs w:val="28"/>
                <w:highlight w:val="none"/>
              </w:rPr>
              <w:t>-(TL+6)</w:t>
            </w:r>
          </w:p>
          <w:p w14:paraId="0A07DB4C">
            <w:pPr>
              <w:spacing w:line="360" w:lineRule="auto"/>
              <w:ind w:firstLine="480" w:firstLineChars="200"/>
              <w:rPr>
                <w:strike w:val="0"/>
                <w:dstrike w:val="0"/>
                <w:color w:val="auto"/>
                <w:sz w:val="24"/>
                <w:highlight w:val="none"/>
              </w:rPr>
            </w:pPr>
            <w:r>
              <w:rPr>
                <w:strike w:val="0"/>
                <w:dstrike w:val="0"/>
                <w:color w:val="auto"/>
                <w:sz w:val="24"/>
                <w:highlight w:val="none"/>
              </w:rPr>
              <w:t>式中:Lpl—靠近开口处（或窗户）室内某倍频带的声压级或A声级，dB;</w:t>
            </w:r>
          </w:p>
          <w:p w14:paraId="3F626000">
            <w:pPr>
              <w:spacing w:line="360" w:lineRule="auto"/>
              <w:ind w:firstLine="480" w:firstLineChars="200"/>
              <w:rPr>
                <w:strike w:val="0"/>
                <w:dstrike w:val="0"/>
                <w:color w:val="auto"/>
                <w:sz w:val="24"/>
                <w:highlight w:val="none"/>
              </w:rPr>
            </w:pPr>
            <w:r>
              <w:rPr>
                <w:strike w:val="0"/>
                <w:dstrike w:val="0"/>
                <w:color w:val="auto"/>
                <w:sz w:val="24"/>
                <w:highlight w:val="none"/>
              </w:rPr>
              <w:t>Lp2——靠近开口处（或窗户）室外某倍频带的声压级或A声级，dB;</w:t>
            </w:r>
          </w:p>
          <w:p w14:paraId="40D91A35">
            <w:pPr>
              <w:spacing w:line="360" w:lineRule="auto"/>
              <w:ind w:firstLine="480" w:firstLineChars="200"/>
              <w:rPr>
                <w:strike w:val="0"/>
                <w:dstrike w:val="0"/>
                <w:color w:val="auto"/>
                <w:sz w:val="24"/>
                <w:highlight w:val="none"/>
              </w:rPr>
            </w:pPr>
            <w:r>
              <w:rPr>
                <w:strike w:val="0"/>
                <w:dstrike w:val="0"/>
                <w:color w:val="auto"/>
                <w:sz w:val="24"/>
                <w:highlight w:val="none"/>
              </w:rPr>
              <w:t>TL——隔墙(或窗户)-倍频带或A声级的隔声量，dB。</w:t>
            </w:r>
          </w:p>
          <w:p w14:paraId="074CB8DE">
            <w:pPr>
              <w:widowControl/>
              <w:spacing w:line="360" w:lineRule="auto"/>
              <w:ind w:firstLine="442" w:firstLineChars="200"/>
              <w:jc w:val="left"/>
              <w:rPr>
                <w:strike w:val="0"/>
                <w:dstrike w:val="0"/>
                <w:color w:val="auto"/>
                <w:kern w:val="0"/>
                <w:sz w:val="24"/>
                <w:highlight w:val="none"/>
                <w:lang w:bidi="ar"/>
              </w:rPr>
            </w:pPr>
            <w:r>
              <w:rPr>
                <w:b/>
                <w:bCs/>
                <w:strike w:val="0"/>
                <w:dstrike w:val="0"/>
                <w:color w:val="auto"/>
                <w:spacing w:val="-10"/>
                <w:sz w:val="24"/>
                <w:highlight w:val="none"/>
              </w:rPr>
              <w:t>②</w:t>
            </w:r>
            <w:r>
              <w:rPr>
                <w:strike w:val="0"/>
                <w:dstrike w:val="0"/>
                <w:color w:val="auto"/>
                <w:kern w:val="0"/>
                <w:sz w:val="24"/>
                <w:highlight w:val="none"/>
                <w:lang w:bidi="ar"/>
              </w:rPr>
              <w:t>户外声传播衰减基本公式</w:t>
            </w:r>
          </w:p>
          <w:p w14:paraId="44BA719F">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a.在只考虑几何发散衰减时，可按下式计算：</w:t>
            </w:r>
          </w:p>
          <w:p w14:paraId="08DD4275">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drawing>
                <wp:inline distT="0" distB="0" distL="114300" distR="114300">
                  <wp:extent cx="1235710" cy="278130"/>
                  <wp:effectExtent l="0" t="0" r="2540" b="7620"/>
                  <wp:docPr id="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pic:cNvPicPr>
                            <a:picLocks noChangeAspect="1"/>
                          </pic:cNvPicPr>
                        </pic:nvPicPr>
                        <pic:blipFill>
                          <a:blip r:embed="rId34"/>
                          <a:srcRect l="2644" r="5247" b="11151"/>
                          <a:stretch>
                            <a:fillRect/>
                          </a:stretch>
                        </pic:blipFill>
                        <pic:spPr>
                          <a:xfrm>
                            <a:off x="0" y="0"/>
                            <a:ext cx="1235710" cy="278130"/>
                          </a:xfrm>
                          <a:prstGeom prst="rect">
                            <a:avLst/>
                          </a:prstGeom>
                          <a:noFill/>
                          <a:ln>
                            <a:noFill/>
                          </a:ln>
                        </pic:spPr>
                      </pic:pic>
                    </a:graphicData>
                  </a:graphic>
                </wp:inline>
              </w:drawing>
            </w:r>
          </w:p>
          <w:p w14:paraId="6D6D1F1D">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式中：L</w:t>
            </w:r>
            <w:r>
              <w:rPr>
                <w:strike w:val="0"/>
                <w:dstrike w:val="0"/>
                <w:color w:val="auto"/>
                <w:kern w:val="0"/>
                <w:sz w:val="24"/>
                <w:highlight w:val="none"/>
                <w:vertAlign w:val="subscript"/>
                <w:lang w:bidi="ar"/>
              </w:rPr>
              <w:t>A(r)</w:t>
            </w:r>
            <w:r>
              <w:rPr>
                <w:strike w:val="0"/>
                <w:dstrike w:val="0"/>
                <w:color w:val="auto"/>
                <w:kern w:val="0"/>
                <w:sz w:val="24"/>
                <w:highlight w:val="none"/>
                <w:lang w:bidi="ar"/>
              </w:rPr>
              <w:t>——距声源r处的A声级，dB(A)；</w:t>
            </w:r>
          </w:p>
          <w:p w14:paraId="4D08A196">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L</w:t>
            </w:r>
            <w:r>
              <w:rPr>
                <w:strike w:val="0"/>
                <w:dstrike w:val="0"/>
                <w:color w:val="auto"/>
                <w:kern w:val="0"/>
                <w:sz w:val="24"/>
                <w:highlight w:val="none"/>
                <w:vertAlign w:val="subscript"/>
                <w:lang w:bidi="ar"/>
              </w:rPr>
              <w:t>A(r0)</w:t>
            </w:r>
            <w:r>
              <w:rPr>
                <w:strike w:val="0"/>
                <w:dstrike w:val="0"/>
                <w:color w:val="auto"/>
                <w:kern w:val="0"/>
                <w:sz w:val="24"/>
                <w:highlight w:val="none"/>
                <w:lang w:bidi="ar"/>
              </w:rPr>
              <w:t>——参考位置r0处的A声级，dB(A)；</w:t>
            </w:r>
          </w:p>
          <w:p w14:paraId="74F46544">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A</w:t>
            </w:r>
            <w:r>
              <w:rPr>
                <w:strike w:val="0"/>
                <w:dstrike w:val="0"/>
                <w:color w:val="auto"/>
                <w:kern w:val="0"/>
                <w:sz w:val="24"/>
                <w:highlight w:val="none"/>
                <w:vertAlign w:val="subscript"/>
                <w:lang w:bidi="ar"/>
              </w:rPr>
              <w:t>div</w:t>
            </w:r>
            <w:r>
              <w:rPr>
                <w:strike w:val="0"/>
                <w:dstrike w:val="0"/>
                <w:color w:val="auto"/>
                <w:kern w:val="0"/>
                <w:sz w:val="24"/>
                <w:highlight w:val="none"/>
                <w:lang w:bidi="ar"/>
              </w:rPr>
              <w:t>——几何发散引起的衰减，dB(A)。</w:t>
            </w:r>
          </w:p>
          <w:p w14:paraId="55ADF294">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b.点声源的几何发散衰减</w:t>
            </w:r>
          </w:p>
          <w:p w14:paraId="6D8AC1C7">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无指向性点声源几何发散衰减的基本公式是：</w:t>
            </w:r>
          </w:p>
          <w:p w14:paraId="480AB57B">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drawing>
                <wp:inline distT="0" distB="0" distL="114300" distR="114300">
                  <wp:extent cx="1685290" cy="248920"/>
                  <wp:effectExtent l="0" t="0" r="10160" b="17780"/>
                  <wp:docPr id="1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2"/>
                          <pic:cNvPicPr>
                            <a:picLocks noChangeAspect="1"/>
                          </pic:cNvPicPr>
                        </pic:nvPicPr>
                        <pic:blipFill>
                          <a:blip r:embed="rId35"/>
                          <a:srcRect l="3383" t="4326" b="4326"/>
                          <a:stretch>
                            <a:fillRect/>
                          </a:stretch>
                        </pic:blipFill>
                        <pic:spPr>
                          <a:xfrm>
                            <a:off x="0" y="0"/>
                            <a:ext cx="1685290" cy="248920"/>
                          </a:xfrm>
                          <a:prstGeom prst="rect">
                            <a:avLst/>
                          </a:prstGeom>
                          <a:noFill/>
                          <a:ln>
                            <a:noFill/>
                          </a:ln>
                        </pic:spPr>
                      </pic:pic>
                    </a:graphicData>
                  </a:graphic>
                </wp:inline>
              </w:drawing>
            </w:r>
          </w:p>
          <w:p w14:paraId="44E8D991">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式中：L</w:t>
            </w:r>
            <w:r>
              <w:rPr>
                <w:strike w:val="0"/>
                <w:dstrike w:val="0"/>
                <w:color w:val="auto"/>
                <w:kern w:val="0"/>
                <w:sz w:val="24"/>
                <w:highlight w:val="none"/>
                <w:vertAlign w:val="subscript"/>
                <w:lang w:bidi="ar"/>
              </w:rPr>
              <w:t>p(r)</w:t>
            </w:r>
            <w:r>
              <w:rPr>
                <w:strike w:val="0"/>
                <w:dstrike w:val="0"/>
                <w:color w:val="auto"/>
                <w:kern w:val="0"/>
                <w:sz w:val="24"/>
                <w:highlight w:val="none"/>
                <w:lang w:bidi="ar"/>
              </w:rPr>
              <w:t>——预测点处声压级，dB(A)；</w:t>
            </w:r>
          </w:p>
          <w:p w14:paraId="406EDCB4">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L</w:t>
            </w:r>
            <w:r>
              <w:rPr>
                <w:strike w:val="0"/>
                <w:dstrike w:val="0"/>
                <w:color w:val="auto"/>
                <w:kern w:val="0"/>
                <w:sz w:val="24"/>
                <w:highlight w:val="none"/>
                <w:vertAlign w:val="subscript"/>
                <w:lang w:bidi="ar"/>
              </w:rPr>
              <w:t>p(r0)</w:t>
            </w:r>
            <w:r>
              <w:rPr>
                <w:strike w:val="0"/>
                <w:dstrike w:val="0"/>
                <w:color w:val="auto"/>
                <w:kern w:val="0"/>
                <w:sz w:val="24"/>
                <w:highlight w:val="none"/>
                <w:lang w:bidi="ar"/>
              </w:rPr>
              <w:t>——参考位置r0处的声压级，dB(A)；</w:t>
            </w:r>
          </w:p>
          <w:p w14:paraId="779B74B7">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r——预测点距声源的距离；</w:t>
            </w:r>
          </w:p>
          <w:p w14:paraId="5D4A6292">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r</w:t>
            </w:r>
            <w:r>
              <w:rPr>
                <w:strike w:val="0"/>
                <w:dstrike w:val="0"/>
                <w:color w:val="auto"/>
                <w:kern w:val="0"/>
                <w:sz w:val="24"/>
                <w:highlight w:val="none"/>
                <w:vertAlign w:val="subscript"/>
                <w:lang w:bidi="ar"/>
              </w:rPr>
              <w:t>0</w:t>
            </w:r>
            <w:r>
              <w:rPr>
                <w:strike w:val="0"/>
                <w:dstrike w:val="0"/>
                <w:color w:val="auto"/>
                <w:kern w:val="0"/>
                <w:sz w:val="24"/>
                <w:highlight w:val="none"/>
                <w:lang w:bidi="ar"/>
              </w:rPr>
              <w:t>——参考位置距声源的距离。</w:t>
            </w:r>
          </w:p>
          <w:p w14:paraId="27047EF3">
            <w:pPr>
              <w:widowControl/>
              <w:spacing w:line="360" w:lineRule="auto"/>
              <w:ind w:firstLine="480" w:firstLineChars="200"/>
              <w:jc w:val="left"/>
              <w:rPr>
                <w:strike w:val="0"/>
                <w:dstrike w:val="0"/>
                <w:color w:val="auto"/>
                <w:sz w:val="24"/>
                <w:highlight w:val="none"/>
              </w:rPr>
            </w:pPr>
            <w:r>
              <w:rPr>
                <w:strike w:val="0"/>
                <w:dstrike w:val="0"/>
                <w:color w:val="auto"/>
                <w:kern w:val="0"/>
                <w:sz w:val="24"/>
                <w:highlight w:val="none"/>
                <w:lang w:bidi="ar"/>
              </w:rPr>
              <w:t>点声源的几何发散衰减基本公式是：</w:t>
            </w:r>
          </w:p>
          <w:p w14:paraId="3E666931">
            <w:pPr>
              <w:pStyle w:val="21"/>
              <w:ind w:firstLine="480"/>
              <w:rPr>
                <w:strike w:val="0"/>
                <w:dstrike w:val="0"/>
                <w:color w:val="auto"/>
                <w:sz w:val="24"/>
                <w:highlight w:val="none"/>
              </w:rPr>
            </w:pPr>
            <w:r>
              <w:rPr>
                <w:strike w:val="0"/>
                <w:dstrike w:val="0"/>
                <w:color w:val="auto"/>
                <w:sz w:val="24"/>
                <w:highlight w:val="none"/>
              </w:rPr>
              <w:drawing>
                <wp:inline distT="0" distB="0" distL="114300" distR="114300">
                  <wp:extent cx="1322070" cy="360680"/>
                  <wp:effectExtent l="0" t="0" r="11430" b="1270"/>
                  <wp:docPr id="1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
                          <pic:cNvPicPr>
                            <a:picLocks noChangeAspect="1"/>
                          </pic:cNvPicPr>
                        </pic:nvPicPr>
                        <pic:blipFill>
                          <a:blip r:embed="rId36"/>
                          <a:stretch>
                            <a:fillRect/>
                          </a:stretch>
                        </pic:blipFill>
                        <pic:spPr>
                          <a:xfrm>
                            <a:off x="0" y="0"/>
                            <a:ext cx="1322070" cy="360680"/>
                          </a:xfrm>
                          <a:prstGeom prst="rect">
                            <a:avLst/>
                          </a:prstGeom>
                          <a:noFill/>
                          <a:ln>
                            <a:noFill/>
                          </a:ln>
                        </pic:spPr>
                      </pic:pic>
                    </a:graphicData>
                  </a:graphic>
                </wp:inline>
              </w:drawing>
            </w:r>
          </w:p>
          <w:p w14:paraId="5CEC8374">
            <w:pPr>
              <w:widowControl/>
              <w:spacing w:line="360" w:lineRule="auto"/>
              <w:ind w:firstLine="480" w:firstLineChars="200"/>
              <w:jc w:val="left"/>
              <w:rPr>
                <w:strike w:val="0"/>
                <w:dstrike w:val="0"/>
                <w:color w:val="auto"/>
                <w:kern w:val="0"/>
                <w:sz w:val="24"/>
                <w:highlight w:val="none"/>
                <w:lang w:bidi="ar"/>
              </w:rPr>
            </w:pPr>
            <w:r>
              <w:rPr>
                <w:strike w:val="0"/>
                <w:dstrike w:val="0"/>
                <w:color w:val="auto"/>
                <w:sz w:val="24"/>
                <w:highlight w:val="none"/>
              </w:rPr>
              <w:t>式中：</w:t>
            </w:r>
            <w:r>
              <w:rPr>
                <w:strike w:val="0"/>
                <w:dstrike w:val="0"/>
                <w:color w:val="auto"/>
                <w:kern w:val="0"/>
                <w:sz w:val="24"/>
                <w:highlight w:val="none"/>
                <w:lang w:bidi="ar"/>
              </w:rPr>
              <w:t>A</w:t>
            </w:r>
            <w:r>
              <w:rPr>
                <w:strike w:val="0"/>
                <w:dstrike w:val="0"/>
                <w:color w:val="auto"/>
                <w:kern w:val="0"/>
                <w:sz w:val="24"/>
                <w:highlight w:val="none"/>
                <w:vertAlign w:val="subscript"/>
                <w:lang w:bidi="ar"/>
              </w:rPr>
              <w:t>div</w:t>
            </w:r>
            <w:r>
              <w:rPr>
                <w:strike w:val="0"/>
                <w:dstrike w:val="0"/>
                <w:color w:val="auto"/>
                <w:kern w:val="0"/>
                <w:sz w:val="24"/>
                <w:highlight w:val="none"/>
                <w:lang w:bidi="ar"/>
              </w:rPr>
              <w:t>——几何发散引起的衰减，dB(A)。</w:t>
            </w:r>
          </w:p>
          <w:p w14:paraId="4A3B91F4">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r——预测点距声源的距离；</w:t>
            </w:r>
          </w:p>
          <w:p w14:paraId="53830F13">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r</w:t>
            </w:r>
            <w:r>
              <w:rPr>
                <w:strike w:val="0"/>
                <w:dstrike w:val="0"/>
                <w:color w:val="auto"/>
                <w:kern w:val="0"/>
                <w:sz w:val="24"/>
                <w:highlight w:val="none"/>
                <w:vertAlign w:val="subscript"/>
                <w:lang w:bidi="ar"/>
              </w:rPr>
              <w:t>0</w:t>
            </w:r>
            <w:r>
              <w:rPr>
                <w:strike w:val="0"/>
                <w:dstrike w:val="0"/>
                <w:color w:val="auto"/>
                <w:kern w:val="0"/>
                <w:sz w:val="24"/>
                <w:highlight w:val="none"/>
                <w:lang w:bidi="ar"/>
              </w:rPr>
              <w:t>——参考位置距声源的距离。</w:t>
            </w:r>
          </w:p>
          <w:p w14:paraId="36C9D161">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B.噪声贡献值的计算</w:t>
            </w:r>
          </w:p>
          <w:p w14:paraId="36BB7A32">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噪声贡献值(L</w:t>
            </w:r>
            <w:r>
              <w:rPr>
                <w:strike w:val="0"/>
                <w:dstrike w:val="0"/>
                <w:color w:val="auto"/>
                <w:kern w:val="0"/>
                <w:sz w:val="24"/>
                <w:highlight w:val="none"/>
                <w:vertAlign w:val="subscript"/>
                <w:lang w:bidi="ar"/>
              </w:rPr>
              <w:t>eqg</w:t>
            </w:r>
            <w:r>
              <w:rPr>
                <w:strike w:val="0"/>
                <w:dstrike w:val="0"/>
                <w:color w:val="auto"/>
                <w:kern w:val="0"/>
                <w:sz w:val="24"/>
                <w:highlight w:val="none"/>
                <w:lang w:bidi="ar"/>
              </w:rPr>
              <w:t>)由项目自身声源在预测点产生的声级，计算公式为：</w:t>
            </w:r>
          </w:p>
          <w:p w14:paraId="25869D84">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drawing>
                <wp:inline distT="0" distB="0" distL="114300" distR="114300">
                  <wp:extent cx="1551940" cy="457200"/>
                  <wp:effectExtent l="0" t="0" r="10160" b="0"/>
                  <wp:docPr id="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4"/>
                          <pic:cNvPicPr>
                            <a:picLocks noChangeAspect="1"/>
                          </pic:cNvPicPr>
                        </pic:nvPicPr>
                        <pic:blipFill>
                          <a:blip r:embed="rId37"/>
                          <a:stretch>
                            <a:fillRect/>
                          </a:stretch>
                        </pic:blipFill>
                        <pic:spPr>
                          <a:xfrm>
                            <a:off x="0" y="0"/>
                            <a:ext cx="1551940" cy="457200"/>
                          </a:xfrm>
                          <a:prstGeom prst="rect">
                            <a:avLst/>
                          </a:prstGeom>
                          <a:noFill/>
                          <a:ln>
                            <a:noFill/>
                          </a:ln>
                        </pic:spPr>
                      </pic:pic>
                    </a:graphicData>
                  </a:graphic>
                </wp:inline>
              </w:drawing>
            </w:r>
          </w:p>
          <w:p w14:paraId="33B8F072">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式中：Leqg——噪声贡献值，dB(A)；</w:t>
            </w:r>
          </w:p>
          <w:p w14:paraId="694B96B9">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T——预测计算的时间段，s；</w:t>
            </w:r>
          </w:p>
          <w:p w14:paraId="488A5683">
            <w:pPr>
              <w:widowControl/>
              <w:spacing w:line="360" w:lineRule="auto"/>
              <w:ind w:firstLine="480" w:firstLineChars="200"/>
              <w:jc w:val="left"/>
              <w:rPr>
                <w:strike w:val="0"/>
                <w:dstrike w:val="0"/>
                <w:color w:val="auto"/>
                <w:kern w:val="0"/>
                <w:sz w:val="24"/>
                <w:highlight w:val="none"/>
                <w:lang w:bidi="ar"/>
              </w:rPr>
            </w:pPr>
            <w:r>
              <w:rPr>
                <w:strike w:val="0"/>
                <w:dstrike w:val="0"/>
                <w:color w:val="auto"/>
                <w:kern w:val="0"/>
                <w:sz w:val="24"/>
                <w:highlight w:val="none"/>
                <w:lang w:bidi="ar"/>
              </w:rPr>
              <w:t>ti—i声源在T时段内的运行时间，s；</w:t>
            </w:r>
          </w:p>
          <w:p w14:paraId="31BDFCD6">
            <w:pPr>
              <w:widowControl/>
              <w:spacing w:line="360" w:lineRule="auto"/>
              <w:ind w:firstLine="480" w:firstLineChars="200"/>
              <w:jc w:val="left"/>
              <w:rPr>
                <w:strike w:val="0"/>
                <w:dstrike w:val="0"/>
                <w:color w:val="auto"/>
                <w:sz w:val="24"/>
                <w:highlight w:val="none"/>
              </w:rPr>
            </w:pPr>
            <w:r>
              <w:rPr>
                <w:strike w:val="0"/>
                <w:dstrike w:val="0"/>
                <w:color w:val="auto"/>
                <w:kern w:val="0"/>
                <w:sz w:val="24"/>
                <w:highlight w:val="none"/>
                <w:lang w:bidi="ar"/>
              </w:rPr>
              <w:t>LAi——i声源在预测点产生的等效连续A声级，dB(A)。</w:t>
            </w:r>
          </w:p>
          <w:p w14:paraId="79EFF06D">
            <w:pPr>
              <w:pStyle w:val="66"/>
              <w:spacing w:line="360" w:lineRule="auto"/>
              <w:ind w:firstLine="480" w:firstLineChars="200"/>
              <w:jc w:val="both"/>
              <w:rPr>
                <w:rFonts w:ascii="Times New Roman" w:cs="Times New Roman"/>
                <w:strike w:val="0"/>
                <w:dstrike w:val="0"/>
                <w:color w:val="auto"/>
                <w:highlight w:val="none"/>
              </w:rPr>
            </w:pPr>
            <w:r>
              <w:rPr>
                <w:rFonts w:ascii="Times New Roman" w:cs="Times New Roman"/>
                <w:strike w:val="0"/>
                <w:dstrike w:val="0"/>
                <w:color w:val="auto"/>
                <w:highlight w:val="none"/>
              </w:rPr>
              <w:t>项目噪声源与各声屏障关系见表4.2-1</w:t>
            </w:r>
            <w:r>
              <w:rPr>
                <w:rFonts w:hint="eastAsia" w:ascii="Times New Roman" w:cs="Times New Roman"/>
                <w:strike w:val="0"/>
                <w:dstrike w:val="0"/>
                <w:color w:val="auto"/>
                <w:highlight w:val="none"/>
                <w:lang w:val="en-US" w:eastAsia="zh-CN"/>
              </w:rPr>
              <w:t>6</w:t>
            </w:r>
            <w:r>
              <w:rPr>
                <w:rFonts w:ascii="Times New Roman" w:cs="Times New Roman"/>
                <w:strike w:val="0"/>
                <w:dstrike w:val="0"/>
                <w:color w:val="auto"/>
                <w:highlight w:val="none"/>
              </w:rPr>
              <w:t>。</w:t>
            </w:r>
          </w:p>
          <w:p w14:paraId="72A769B6">
            <w:pPr>
              <w:pStyle w:val="67"/>
              <w:widowControl w:val="0"/>
              <w:spacing w:before="0" w:beforeAutospacing="0" w:after="0" w:afterAutospacing="0" w:line="360" w:lineRule="auto"/>
              <w:ind w:firstLine="480" w:firstLineChars="200"/>
              <w:jc w:val="left"/>
              <w:rPr>
                <w:strike w:val="0"/>
                <w:dstrike w:val="0"/>
                <w:color w:val="auto"/>
                <w:highlight w:val="none"/>
              </w:rPr>
            </w:pPr>
          </w:p>
          <w:p w14:paraId="14E53E2D">
            <w:pPr>
              <w:pStyle w:val="67"/>
              <w:widowControl w:val="0"/>
              <w:spacing w:before="0" w:beforeAutospacing="0" w:after="0" w:afterAutospacing="0" w:line="360" w:lineRule="auto"/>
              <w:ind w:firstLine="480" w:firstLineChars="200"/>
              <w:jc w:val="left"/>
              <w:rPr>
                <w:strike w:val="0"/>
                <w:dstrike w:val="0"/>
                <w:color w:val="auto"/>
                <w:highlight w:val="none"/>
              </w:rPr>
            </w:pPr>
          </w:p>
          <w:p w14:paraId="4E931C01">
            <w:pPr>
              <w:pStyle w:val="67"/>
              <w:widowControl w:val="0"/>
              <w:spacing w:before="0" w:beforeAutospacing="0" w:after="0" w:afterAutospacing="0" w:line="360" w:lineRule="auto"/>
              <w:ind w:firstLine="480" w:firstLineChars="200"/>
              <w:jc w:val="left"/>
              <w:rPr>
                <w:strike w:val="0"/>
                <w:dstrike w:val="0"/>
                <w:color w:val="auto"/>
                <w:highlight w:val="none"/>
              </w:rPr>
            </w:pPr>
          </w:p>
          <w:p w14:paraId="559FFBF0">
            <w:pPr>
              <w:pStyle w:val="67"/>
              <w:widowControl w:val="0"/>
              <w:spacing w:before="0" w:beforeAutospacing="0" w:after="0" w:afterAutospacing="0" w:line="360" w:lineRule="auto"/>
              <w:ind w:firstLine="480" w:firstLineChars="200"/>
              <w:jc w:val="left"/>
              <w:rPr>
                <w:strike w:val="0"/>
                <w:dstrike w:val="0"/>
                <w:color w:val="auto"/>
                <w:highlight w:val="none"/>
              </w:rPr>
            </w:pPr>
          </w:p>
          <w:p w14:paraId="76AF5EFF">
            <w:pPr>
              <w:pStyle w:val="67"/>
              <w:widowControl w:val="0"/>
              <w:spacing w:before="0" w:beforeAutospacing="0" w:after="0" w:afterAutospacing="0" w:line="360" w:lineRule="auto"/>
              <w:ind w:firstLine="480" w:firstLineChars="200"/>
              <w:jc w:val="left"/>
              <w:rPr>
                <w:strike w:val="0"/>
                <w:dstrike w:val="0"/>
                <w:color w:val="auto"/>
                <w:highlight w:val="none"/>
              </w:rPr>
            </w:pPr>
          </w:p>
          <w:p w14:paraId="1E654A5F">
            <w:pPr>
              <w:pStyle w:val="67"/>
              <w:widowControl w:val="0"/>
              <w:spacing w:before="0" w:beforeAutospacing="0" w:after="0" w:afterAutospacing="0" w:line="360" w:lineRule="auto"/>
              <w:ind w:firstLine="480" w:firstLineChars="200"/>
              <w:jc w:val="left"/>
              <w:rPr>
                <w:strike w:val="0"/>
                <w:dstrike w:val="0"/>
                <w:color w:val="auto"/>
                <w:highlight w:val="none"/>
              </w:rPr>
            </w:pPr>
          </w:p>
          <w:p w14:paraId="26D6F0CE">
            <w:pPr>
              <w:pStyle w:val="67"/>
              <w:widowControl w:val="0"/>
              <w:spacing w:before="0" w:beforeAutospacing="0" w:after="0" w:afterAutospacing="0" w:line="360" w:lineRule="auto"/>
              <w:ind w:firstLine="480" w:firstLineChars="200"/>
              <w:jc w:val="left"/>
              <w:rPr>
                <w:strike w:val="0"/>
                <w:dstrike w:val="0"/>
                <w:color w:val="auto"/>
                <w:highlight w:val="none"/>
              </w:rPr>
            </w:pPr>
          </w:p>
          <w:p w14:paraId="1DA800EC">
            <w:pPr>
              <w:pStyle w:val="67"/>
              <w:widowControl w:val="0"/>
              <w:spacing w:before="0" w:beforeAutospacing="0" w:after="0" w:afterAutospacing="0" w:line="360" w:lineRule="auto"/>
              <w:ind w:firstLine="480" w:firstLineChars="200"/>
              <w:jc w:val="left"/>
              <w:rPr>
                <w:strike w:val="0"/>
                <w:dstrike w:val="0"/>
                <w:color w:val="auto"/>
                <w:highlight w:val="none"/>
              </w:rPr>
            </w:pPr>
          </w:p>
          <w:p w14:paraId="586AECE1">
            <w:pPr>
              <w:pStyle w:val="67"/>
              <w:widowControl w:val="0"/>
              <w:spacing w:before="0" w:beforeAutospacing="0" w:after="0" w:afterAutospacing="0" w:line="360" w:lineRule="auto"/>
              <w:ind w:firstLine="480" w:firstLineChars="200"/>
              <w:jc w:val="left"/>
              <w:rPr>
                <w:strike w:val="0"/>
                <w:dstrike w:val="0"/>
                <w:color w:val="auto"/>
                <w:highlight w:val="none"/>
              </w:rPr>
            </w:pPr>
          </w:p>
          <w:p w14:paraId="547AE7DE">
            <w:pPr>
              <w:pStyle w:val="67"/>
              <w:widowControl w:val="0"/>
              <w:spacing w:before="0" w:beforeAutospacing="0" w:after="0" w:afterAutospacing="0" w:line="360" w:lineRule="auto"/>
              <w:ind w:firstLine="480" w:firstLineChars="200"/>
              <w:jc w:val="left"/>
              <w:rPr>
                <w:strike w:val="0"/>
                <w:dstrike w:val="0"/>
                <w:color w:val="auto"/>
                <w:highlight w:val="none"/>
              </w:rPr>
            </w:pPr>
          </w:p>
          <w:p w14:paraId="6E249D48">
            <w:pPr>
              <w:pStyle w:val="67"/>
              <w:widowControl w:val="0"/>
              <w:spacing w:before="0" w:beforeAutospacing="0" w:after="0" w:afterAutospacing="0" w:line="360" w:lineRule="auto"/>
              <w:ind w:firstLine="480" w:firstLineChars="200"/>
              <w:jc w:val="left"/>
              <w:rPr>
                <w:strike w:val="0"/>
                <w:dstrike w:val="0"/>
                <w:color w:val="auto"/>
                <w:highlight w:val="none"/>
              </w:rPr>
            </w:pPr>
          </w:p>
          <w:p w14:paraId="03D64593">
            <w:pPr>
              <w:pStyle w:val="67"/>
              <w:widowControl w:val="0"/>
              <w:spacing w:before="0" w:beforeAutospacing="0" w:after="0" w:afterAutospacing="0" w:line="360" w:lineRule="auto"/>
              <w:ind w:firstLine="480" w:firstLineChars="200"/>
              <w:jc w:val="left"/>
              <w:rPr>
                <w:strike w:val="0"/>
                <w:dstrike w:val="0"/>
                <w:color w:val="auto"/>
                <w:highlight w:val="none"/>
              </w:rPr>
            </w:pPr>
          </w:p>
          <w:p w14:paraId="253EA9C9">
            <w:pPr>
              <w:pStyle w:val="67"/>
              <w:widowControl w:val="0"/>
              <w:spacing w:before="0" w:beforeAutospacing="0" w:after="0" w:afterAutospacing="0" w:line="360" w:lineRule="auto"/>
              <w:ind w:firstLine="480" w:firstLineChars="200"/>
              <w:jc w:val="left"/>
              <w:rPr>
                <w:strike w:val="0"/>
                <w:dstrike w:val="0"/>
                <w:color w:val="auto"/>
                <w:highlight w:val="none"/>
              </w:rPr>
            </w:pPr>
          </w:p>
          <w:p w14:paraId="15251A0F">
            <w:pPr>
              <w:pStyle w:val="67"/>
              <w:widowControl w:val="0"/>
              <w:spacing w:before="0" w:beforeAutospacing="0" w:after="0" w:afterAutospacing="0" w:line="360" w:lineRule="auto"/>
              <w:ind w:firstLine="480" w:firstLineChars="200"/>
              <w:jc w:val="left"/>
              <w:rPr>
                <w:strike w:val="0"/>
                <w:dstrike w:val="0"/>
                <w:color w:val="auto"/>
                <w:highlight w:val="none"/>
              </w:rPr>
            </w:pPr>
          </w:p>
          <w:p w14:paraId="1F9B1FEB">
            <w:pPr>
              <w:pStyle w:val="67"/>
              <w:widowControl w:val="0"/>
              <w:spacing w:before="0" w:beforeAutospacing="0" w:after="0" w:afterAutospacing="0" w:line="360" w:lineRule="auto"/>
              <w:ind w:firstLine="480" w:firstLineChars="200"/>
              <w:jc w:val="left"/>
              <w:rPr>
                <w:strike w:val="0"/>
                <w:dstrike w:val="0"/>
                <w:color w:val="auto"/>
                <w:highlight w:val="none"/>
              </w:rPr>
            </w:pPr>
          </w:p>
          <w:p w14:paraId="02E3AE6C">
            <w:pPr>
              <w:pStyle w:val="67"/>
              <w:widowControl w:val="0"/>
              <w:spacing w:before="0" w:beforeAutospacing="0" w:after="0" w:afterAutospacing="0" w:line="360" w:lineRule="auto"/>
              <w:ind w:firstLine="480" w:firstLineChars="200"/>
              <w:jc w:val="left"/>
              <w:rPr>
                <w:strike w:val="0"/>
                <w:dstrike w:val="0"/>
                <w:color w:val="auto"/>
                <w:highlight w:val="none"/>
              </w:rPr>
            </w:pPr>
          </w:p>
          <w:p w14:paraId="552994B7">
            <w:pPr>
              <w:pStyle w:val="67"/>
              <w:widowControl w:val="0"/>
              <w:spacing w:before="0" w:beforeAutospacing="0" w:after="0" w:afterAutospacing="0" w:line="360" w:lineRule="auto"/>
              <w:ind w:firstLine="480" w:firstLineChars="200"/>
              <w:jc w:val="left"/>
              <w:rPr>
                <w:strike w:val="0"/>
                <w:dstrike w:val="0"/>
                <w:color w:val="auto"/>
                <w:highlight w:val="none"/>
              </w:rPr>
            </w:pPr>
          </w:p>
          <w:p w14:paraId="4C209420">
            <w:pPr>
              <w:pStyle w:val="67"/>
              <w:widowControl w:val="0"/>
              <w:spacing w:before="0" w:beforeAutospacing="0" w:after="0" w:afterAutospacing="0" w:line="360" w:lineRule="auto"/>
              <w:ind w:firstLine="480" w:firstLineChars="200"/>
              <w:jc w:val="left"/>
              <w:rPr>
                <w:strike w:val="0"/>
                <w:dstrike w:val="0"/>
                <w:color w:val="auto"/>
                <w:highlight w:val="none"/>
              </w:rPr>
            </w:pPr>
          </w:p>
          <w:p w14:paraId="504A33C3">
            <w:pPr>
              <w:pStyle w:val="67"/>
              <w:widowControl w:val="0"/>
              <w:spacing w:before="0" w:beforeAutospacing="0" w:after="0" w:afterAutospacing="0" w:line="360" w:lineRule="auto"/>
              <w:ind w:firstLine="480" w:firstLineChars="200"/>
              <w:jc w:val="left"/>
              <w:rPr>
                <w:strike w:val="0"/>
                <w:dstrike w:val="0"/>
                <w:color w:val="auto"/>
                <w:highlight w:val="none"/>
              </w:rPr>
            </w:pPr>
          </w:p>
          <w:p w14:paraId="61AA8D0F">
            <w:pPr>
              <w:pStyle w:val="67"/>
              <w:widowControl w:val="0"/>
              <w:spacing w:before="0" w:beforeAutospacing="0" w:after="0" w:afterAutospacing="0" w:line="360" w:lineRule="auto"/>
              <w:ind w:firstLine="480" w:firstLineChars="200"/>
              <w:jc w:val="left"/>
              <w:rPr>
                <w:strike w:val="0"/>
                <w:dstrike w:val="0"/>
                <w:color w:val="auto"/>
                <w:highlight w:val="none"/>
              </w:rPr>
            </w:pPr>
          </w:p>
          <w:p w14:paraId="1E17E196">
            <w:pPr>
              <w:pStyle w:val="67"/>
              <w:widowControl w:val="0"/>
              <w:spacing w:before="0" w:beforeAutospacing="0" w:after="0" w:afterAutospacing="0" w:line="360" w:lineRule="auto"/>
              <w:ind w:firstLine="480" w:firstLineChars="200"/>
              <w:jc w:val="left"/>
              <w:rPr>
                <w:strike w:val="0"/>
                <w:dstrike w:val="0"/>
                <w:color w:val="auto"/>
                <w:highlight w:val="none"/>
              </w:rPr>
            </w:pPr>
          </w:p>
        </w:tc>
      </w:tr>
    </w:tbl>
    <w:p w14:paraId="7197CEB6">
      <w:pPr>
        <w:rPr>
          <w:strike w:val="0"/>
          <w:dstrike w:val="0"/>
          <w:color w:val="auto"/>
          <w:highlight w:val="none"/>
        </w:rPr>
        <w:sectPr>
          <w:pgSz w:w="11906" w:h="16838"/>
          <w:pgMar w:top="1440" w:right="1803" w:bottom="1440" w:left="1803" w:header="851" w:footer="992" w:gutter="0"/>
          <w:pgNumType w:fmt="numberInDash"/>
          <w:cols w:space="0" w:num="1"/>
          <w:docGrid w:type="lines" w:linePitch="319" w:charSpace="0"/>
        </w:sectPr>
      </w:pPr>
    </w:p>
    <w:p w14:paraId="2827E988">
      <w:pPr>
        <w:pStyle w:val="66"/>
        <w:jc w:val="center"/>
        <w:rPr>
          <w:rFonts w:ascii="Times New Roman" w:cs="Times New Roman"/>
          <w:b/>
          <w:bCs/>
          <w:strike w:val="0"/>
          <w:dstrike w:val="0"/>
          <w:color w:val="auto"/>
          <w:highlight w:val="none"/>
        </w:rPr>
      </w:pPr>
      <w:r>
        <w:rPr>
          <w:rFonts w:ascii="Times New Roman" w:cs="Times New Roman"/>
          <w:b/>
          <w:bCs/>
          <w:strike w:val="0"/>
          <w:dstrike w:val="0"/>
          <w:color w:val="auto"/>
          <w:highlight w:val="none"/>
        </w:rPr>
        <w:t>表4.2-1</w:t>
      </w:r>
      <w:r>
        <w:rPr>
          <w:rFonts w:hint="eastAsia" w:ascii="Times New Roman" w:cs="Times New Roman"/>
          <w:b/>
          <w:bCs/>
          <w:strike w:val="0"/>
          <w:dstrike w:val="0"/>
          <w:color w:val="auto"/>
          <w:highlight w:val="none"/>
          <w:lang w:val="en-US" w:eastAsia="zh-CN"/>
        </w:rPr>
        <w:t>6</w:t>
      </w:r>
      <w:r>
        <w:rPr>
          <w:rFonts w:ascii="Times New Roman" w:cs="Times New Roman"/>
          <w:b/>
          <w:bCs/>
          <w:strike w:val="0"/>
          <w:dstrike w:val="0"/>
          <w:color w:val="auto"/>
          <w:highlight w:val="none"/>
        </w:rPr>
        <w:t xml:space="preserve">  工业企业噪声源强调查清单（室内声源）</w:t>
      </w:r>
    </w:p>
    <w:tbl>
      <w:tblPr>
        <w:tblStyle w:val="22"/>
        <w:tblpPr w:leftFromText="180" w:rightFromText="180" w:vertAnchor="text" w:horzAnchor="page" w:tblpXSpec="center" w:tblpY="68"/>
        <w:tblOverlap w:val="never"/>
        <w:tblW w:w="15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677"/>
        <w:gridCol w:w="583"/>
        <w:gridCol w:w="453"/>
        <w:gridCol w:w="740"/>
        <w:gridCol w:w="833"/>
        <w:gridCol w:w="625"/>
        <w:gridCol w:w="563"/>
        <w:gridCol w:w="698"/>
        <w:gridCol w:w="577"/>
        <w:gridCol w:w="577"/>
        <w:gridCol w:w="577"/>
        <w:gridCol w:w="578"/>
        <w:gridCol w:w="569"/>
        <w:gridCol w:w="569"/>
        <w:gridCol w:w="569"/>
        <w:gridCol w:w="573"/>
        <w:gridCol w:w="878"/>
        <w:gridCol w:w="897"/>
        <w:gridCol w:w="650"/>
        <w:gridCol w:w="900"/>
        <w:gridCol w:w="737"/>
        <w:gridCol w:w="538"/>
        <w:gridCol w:w="737"/>
      </w:tblGrid>
      <w:tr w14:paraId="22C8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Merge w:val="restart"/>
            <w:vAlign w:val="center"/>
          </w:tcPr>
          <w:p w14:paraId="60DA741D">
            <w:pPr>
              <w:jc w:val="center"/>
              <w:rPr>
                <w:strike w:val="0"/>
                <w:dstrike w:val="0"/>
                <w:color w:val="auto"/>
                <w:sz w:val="21"/>
                <w:szCs w:val="21"/>
                <w:highlight w:val="none"/>
              </w:rPr>
            </w:pPr>
            <w:bookmarkStart w:id="113" w:name="PT_6"/>
            <w:r>
              <w:rPr>
                <w:b/>
                <w:strike w:val="0"/>
                <w:dstrike w:val="0"/>
                <w:color w:val="auto"/>
                <w:sz w:val="21"/>
                <w:szCs w:val="21"/>
                <w:highlight w:val="none"/>
              </w:rPr>
              <w:t>序号</w:t>
            </w:r>
          </w:p>
        </w:tc>
        <w:tc>
          <w:tcPr>
            <w:tcW w:w="677" w:type="dxa"/>
            <w:vMerge w:val="restart"/>
            <w:vAlign w:val="center"/>
          </w:tcPr>
          <w:p w14:paraId="1DC25F8C">
            <w:pPr>
              <w:jc w:val="center"/>
              <w:rPr>
                <w:strike w:val="0"/>
                <w:dstrike w:val="0"/>
                <w:color w:val="auto"/>
                <w:sz w:val="21"/>
                <w:szCs w:val="21"/>
                <w:highlight w:val="none"/>
              </w:rPr>
            </w:pPr>
            <w:r>
              <w:rPr>
                <w:b/>
                <w:strike w:val="0"/>
                <w:dstrike w:val="0"/>
                <w:color w:val="auto"/>
                <w:sz w:val="21"/>
                <w:szCs w:val="21"/>
                <w:highlight w:val="none"/>
              </w:rPr>
              <w:t>建筑物名称</w:t>
            </w:r>
          </w:p>
        </w:tc>
        <w:tc>
          <w:tcPr>
            <w:tcW w:w="583" w:type="dxa"/>
            <w:vMerge w:val="restart"/>
            <w:vAlign w:val="center"/>
          </w:tcPr>
          <w:p w14:paraId="55373A7A">
            <w:pPr>
              <w:jc w:val="center"/>
              <w:rPr>
                <w:strike w:val="0"/>
                <w:dstrike w:val="0"/>
                <w:color w:val="auto"/>
                <w:sz w:val="21"/>
                <w:szCs w:val="21"/>
                <w:highlight w:val="none"/>
              </w:rPr>
            </w:pPr>
            <w:r>
              <w:rPr>
                <w:b/>
                <w:strike w:val="0"/>
                <w:dstrike w:val="0"/>
                <w:color w:val="auto"/>
                <w:sz w:val="21"/>
                <w:szCs w:val="21"/>
                <w:highlight w:val="none"/>
              </w:rPr>
              <w:t>声源名称</w:t>
            </w:r>
          </w:p>
        </w:tc>
        <w:tc>
          <w:tcPr>
            <w:tcW w:w="453" w:type="dxa"/>
            <w:vMerge w:val="restart"/>
            <w:vAlign w:val="center"/>
          </w:tcPr>
          <w:p w14:paraId="3F191973">
            <w:pPr>
              <w:jc w:val="center"/>
              <w:rPr>
                <w:strike w:val="0"/>
                <w:dstrike w:val="0"/>
                <w:color w:val="auto"/>
                <w:sz w:val="21"/>
                <w:szCs w:val="21"/>
                <w:highlight w:val="none"/>
              </w:rPr>
            </w:pPr>
            <w:r>
              <w:rPr>
                <w:b/>
                <w:strike w:val="0"/>
                <w:dstrike w:val="0"/>
                <w:color w:val="auto"/>
                <w:sz w:val="21"/>
                <w:szCs w:val="21"/>
                <w:highlight w:val="none"/>
              </w:rPr>
              <w:t>型号</w:t>
            </w:r>
          </w:p>
        </w:tc>
        <w:tc>
          <w:tcPr>
            <w:tcW w:w="740" w:type="dxa"/>
            <w:vAlign w:val="center"/>
          </w:tcPr>
          <w:p w14:paraId="482055B9">
            <w:pPr>
              <w:jc w:val="center"/>
              <w:rPr>
                <w:strike w:val="0"/>
                <w:dstrike w:val="0"/>
                <w:color w:val="auto"/>
                <w:sz w:val="21"/>
                <w:szCs w:val="21"/>
                <w:highlight w:val="none"/>
              </w:rPr>
            </w:pPr>
            <w:r>
              <w:rPr>
                <w:b/>
                <w:strike w:val="0"/>
                <w:dstrike w:val="0"/>
                <w:color w:val="auto"/>
                <w:sz w:val="21"/>
                <w:szCs w:val="21"/>
                <w:highlight w:val="none"/>
              </w:rPr>
              <w:t>声源源强</w:t>
            </w:r>
          </w:p>
        </w:tc>
        <w:tc>
          <w:tcPr>
            <w:tcW w:w="833" w:type="dxa"/>
            <w:vMerge w:val="restart"/>
            <w:vAlign w:val="center"/>
          </w:tcPr>
          <w:p w14:paraId="508C8D19">
            <w:pPr>
              <w:jc w:val="center"/>
              <w:rPr>
                <w:strike w:val="0"/>
                <w:dstrike w:val="0"/>
                <w:color w:val="auto"/>
                <w:sz w:val="21"/>
                <w:szCs w:val="21"/>
                <w:highlight w:val="none"/>
              </w:rPr>
            </w:pPr>
            <w:r>
              <w:rPr>
                <w:b/>
                <w:strike w:val="0"/>
                <w:dstrike w:val="0"/>
                <w:color w:val="auto"/>
                <w:sz w:val="21"/>
                <w:szCs w:val="21"/>
                <w:highlight w:val="none"/>
              </w:rPr>
              <w:t>声源控制措施</w:t>
            </w:r>
          </w:p>
        </w:tc>
        <w:tc>
          <w:tcPr>
            <w:tcW w:w="1886" w:type="dxa"/>
            <w:gridSpan w:val="3"/>
            <w:vAlign w:val="center"/>
          </w:tcPr>
          <w:p w14:paraId="54D70A07">
            <w:pPr>
              <w:jc w:val="center"/>
              <w:rPr>
                <w:strike w:val="0"/>
                <w:dstrike w:val="0"/>
                <w:color w:val="auto"/>
                <w:sz w:val="21"/>
                <w:szCs w:val="21"/>
                <w:highlight w:val="none"/>
              </w:rPr>
            </w:pPr>
            <w:r>
              <w:rPr>
                <w:b/>
                <w:strike w:val="0"/>
                <w:dstrike w:val="0"/>
                <w:color w:val="auto"/>
                <w:sz w:val="21"/>
                <w:szCs w:val="21"/>
                <w:highlight w:val="none"/>
              </w:rPr>
              <w:t>空间相对位置/m</w:t>
            </w:r>
          </w:p>
        </w:tc>
        <w:tc>
          <w:tcPr>
            <w:tcW w:w="2309" w:type="dxa"/>
            <w:gridSpan w:val="4"/>
            <w:vAlign w:val="center"/>
          </w:tcPr>
          <w:p w14:paraId="28A0E461">
            <w:pPr>
              <w:jc w:val="center"/>
              <w:rPr>
                <w:b/>
                <w:strike w:val="0"/>
                <w:dstrike w:val="0"/>
                <w:color w:val="auto"/>
                <w:sz w:val="21"/>
                <w:szCs w:val="21"/>
                <w:highlight w:val="none"/>
              </w:rPr>
            </w:pPr>
            <w:r>
              <w:rPr>
                <w:b/>
                <w:strike w:val="0"/>
                <w:dstrike w:val="0"/>
                <w:color w:val="auto"/>
                <w:sz w:val="21"/>
                <w:szCs w:val="21"/>
                <w:highlight w:val="none"/>
              </w:rPr>
              <w:t>距室内边界距离/m</w:t>
            </w:r>
          </w:p>
        </w:tc>
        <w:tc>
          <w:tcPr>
            <w:tcW w:w="2280" w:type="dxa"/>
            <w:gridSpan w:val="4"/>
            <w:vAlign w:val="center"/>
          </w:tcPr>
          <w:p w14:paraId="79A14804">
            <w:pPr>
              <w:jc w:val="center"/>
              <w:rPr>
                <w:b/>
                <w:strike w:val="0"/>
                <w:dstrike w:val="0"/>
                <w:color w:val="auto"/>
                <w:sz w:val="21"/>
                <w:szCs w:val="21"/>
                <w:highlight w:val="none"/>
              </w:rPr>
            </w:pPr>
            <w:r>
              <w:rPr>
                <w:b/>
                <w:strike w:val="0"/>
                <w:dstrike w:val="0"/>
                <w:color w:val="auto"/>
                <w:sz w:val="21"/>
                <w:szCs w:val="21"/>
                <w:highlight w:val="none"/>
              </w:rPr>
              <w:t>室内边界声级/dB(A)</w:t>
            </w:r>
          </w:p>
        </w:tc>
        <w:tc>
          <w:tcPr>
            <w:tcW w:w="878" w:type="dxa"/>
            <w:vMerge w:val="restart"/>
            <w:vAlign w:val="center"/>
          </w:tcPr>
          <w:p w14:paraId="4DF53198">
            <w:pPr>
              <w:jc w:val="center"/>
              <w:rPr>
                <w:strike w:val="0"/>
                <w:dstrike w:val="0"/>
                <w:color w:val="auto"/>
                <w:sz w:val="21"/>
                <w:szCs w:val="21"/>
                <w:highlight w:val="none"/>
              </w:rPr>
            </w:pPr>
            <w:r>
              <w:rPr>
                <w:b/>
                <w:strike w:val="0"/>
                <w:dstrike w:val="0"/>
                <w:color w:val="auto"/>
                <w:sz w:val="21"/>
                <w:szCs w:val="21"/>
                <w:highlight w:val="none"/>
              </w:rPr>
              <w:t>运行时段</w:t>
            </w:r>
          </w:p>
        </w:tc>
        <w:tc>
          <w:tcPr>
            <w:tcW w:w="897" w:type="dxa"/>
            <w:vMerge w:val="restart"/>
            <w:vAlign w:val="center"/>
          </w:tcPr>
          <w:p w14:paraId="5AF1F0F0">
            <w:pPr>
              <w:jc w:val="center"/>
              <w:rPr>
                <w:b/>
                <w:strike w:val="0"/>
                <w:dstrike w:val="0"/>
                <w:color w:val="auto"/>
                <w:sz w:val="21"/>
                <w:szCs w:val="21"/>
                <w:highlight w:val="none"/>
              </w:rPr>
            </w:pPr>
            <w:r>
              <w:rPr>
                <w:b/>
                <w:strike w:val="0"/>
                <w:dstrike w:val="0"/>
                <w:color w:val="auto"/>
                <w:sz w:val="21"/>
                <w:szCs w:val="21"/>
                <w:highlight w:val="none"/>
              </w:rPr>
              <w:t>建筑物插入损失 / dB(A)</w:t>
            </w:r>
            <w:bookmarkStart w:id="114" w:name="PT_10"/>
            <w:bookmarkEnd w:id="114"/>
          </w:p>
        </w:tc>
        <w:tc>
          <w:tcPr>
            <w:tcW w:w="3562" w:type="dxa"/>
            <w:gridSpan w:val="5"/>
            <w:vAlign w:val="center"/>
          </w:tcPr>
          <w:p w14:paraId="740B3FC6">
            <w:pPr>
              <w:jc w:val="center"/>
              <w:rPr>
                <w:b/>
                <w:strike w:val="0"/>
                <w:dstrike w:val="0"/>
                <w:color w:val="auto"/>
                <w:sz w:val="21"/>
                <w:szCs w:val="21"/>
                <w:highlight w:val="none"/>
              </w:rPr>
            </w:pPr>
            <w:r>
              <w:rPr>
                <w:b/>
                <w:strike w:val="0"/>
                <w:dstrike w:val="0"/>
                <w:color w:val="auto"/>
                <w:sz w:val="21"/>
                <w:szCs w:val="21"/>
                <w:highlight w:val="none"/>
              </w:rPr>
              <w:t>建筑物外噪声声压级/dB(A)</w:t>
            </w:r>
          </w:p>
        </w:tc>
      </w:tr>
      <w:tr w14:paraId="1F7D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39" w:type="dxa"/>
            <w:vMerge w:val="continue"/>
            <w:shd w:val="clear" w:color="auto" w:fill="FFFFFF"/>
            <w:tcMar>
              <w:top w:w="0" w:type="dxa"/>
              <w:left w:w="0" w:type="dxa"/>
              <w:bottom w:w="0" w:type="dxa"/>
              <w:right w:w="0" w:type="dxa"/>
            </w:tcMar>
            <w:vAlign w:val="center"/>
          </w:tcPr>
          <w:p w14:paraId="2B80D9FD">
            <w:pPr>
              <w:jc w:val="center"/>
              <w:rPr>
                <w:strike w:val="0"/>
                <w:dstrike w:val="0"/>
                <w:color w:val="auto"/>
                <w:sz w:val="21"/>
                <w:szCs w:val="21"/>
                <w:highlight w:val="none"/>
              </w:rPr>
            </w:pPr>
          </w:p>
        </w:tc>
        <w:tc>
          <w:tcPr>
            <w:tcW w:w="677" w:type="dxa"/>
            <w:vMerge w:val="continue"/>
            <w:shd w:val="clear" w:color="auto" w:fill="FFFFFF"/>
            <w:tcMar>
              <w:top w:w="0" w:type="dxa"/>
              <w:left w:w="0" w:type="dxa"/>
              <w:bottom w:w="0" w:type="dxa"/>
              <w:right w:w="0" w:type="dxa"/>
            </w:tcMar>
            <w:vAlign w:val="center"/>
          </w:tcPr>
          <w:p w14:paraId="74E54650">
            <w:pPr>
              <w:jc w:val="center"/>
              <w:rPr>
                <w:strike w:val="0"/>
                <w:dstrike w:val="0"/>
                <w:color w:val="auto"/>
                <w:sz w:val="21"/>
                <w:szCs w:val="21"/>
                <w:highlight w:val="none"/>
              </w:rPr>
            </w:pPr>
          </w:p>
        </w:tc>
        <w:tc>
          <w:tcPr>
            <w:tcW w:w="583" w:type="dxa"/>
            <w:vMerge w:val="continue"/>
            <w:shd w:val="clear" w:color="auto" w:fill="FFFFFF"/>
            <w:tcMar>
              <w:top w:w="0" w:type="dxa"/>
              <w:left w:w="0" w:type="dxa"/>
              <w:bottom w:w="0" w:type="dxa"/>
              <w:right w:w="0" w:type="dxa"/>
            </w:tcMar>
            <w:vAlign w:val="center"/>
          </w:tcPr>
          <w:p w14:paraId="090C0BEF">
            <w:pPr>
              <w:jc w:val="center"/>
              <w:rPr>
                <w:strike w:val="0"/>
                <w:dstrike w:val="0"/>
                <w:color w:val="auto"/>
                <w:sz w:val="21"/>
                <w:szCs w:val="21"/>
                <w:highlight w:val="none"/>
              </w:rPr>
            </w:pPr>
          </w:p>
        </w:tc>
        <w:tc>
          <w:tcPr>
            <w:tcW w:w="453" w:type="dxa"/>
            <w:vMerge w:val="continue"/>
            <w:shd w:val="clear" w:color="auto" w:fill="FFFFFF"/>
            <w:tcMar>
              <w:top w:w="0" w:type="dxa"/>
              <w:left w:w="0" w:type="dxa"/>
              <w:bottom w:w="0" w:type="dxa"/>
              <w:right w:w="0" w:type="dxa"/>
            </w:tcMar>
            <w:vAlign w:val="center"/>
          </w:tcPr>
          <w:p w14:paraId="4AA52540">
            <w:pPr>
              <w:jc w:val="center"/>
              <w:rPr>
                <w:strike w:val="0"/>
                <w:dstrike w:val="0"/>
                <w:color w:val="auto"/>
                <w:sz w:val="21"/>
                <w:szCs w:val="21"/>
                <w:highlight w:val="none"/>
              </w:rPr>
            </w:pPr>
          </w:p>
        </w:tc>
        <w:tc>
          <w:tcPr>
            <w:tcW w:w="740" w:type="dxa"/>
            <w:shd w:val="clear" w:color="auto" w:fill="FFFFFF"/>
            <w:tcMar>
              <w:top w:w="0" w:type="dxa"/>
              <w:left w:w="0" w:type="dxa"/>
              <w:bottom w:w="0" w:type="dxa"/>
              <w:right w:w="0" w:type="dxa"/>
            </w:tcMar>
            <w:vAlign w:val="center"/>
          </w:tcPr>
          <w:p w14:paraId="74268543">
            <w:pPr>
              <w:widowControl/>
              <w:adjustRightInd w:val="0"/>
              <w:snapToGrid w:val="0"/>
              <w:jc w:val="center"/>
              <w:rPr>
                <w:b/>
                <w:bCs/>
                <w:strike w:val="0"/>
                <w:dstrike w:val="0"/>
                <w:color w:val="auto"/>
                <w:sz w:val="21"/>
                <w:szCs w:val="21"/>
                <w:highlight w:val="none"/>
              </w:rPr>
            </w:pPr>
            <w:r>
              <w:rPr>
                <w:b/>
                <w:bCs/>
                <w:strike w:val="0"/>
                <w:dstrike w:val="0"/>
                <w:color w:val="auto"/>
                <w:sz w:val="21"/>
                <w:szCs w:val="21"/>
                <w:highlight w:val="none"/>
              </w:rPr>
              <w:t>声压级/dB（A）</w:t>
            </w:r>
          </w:p>
        </w:tc>
        <w:tc>
          <w:tcPr>
            <w:tcW w:w="833" w:type="dxa"/>
            <w:vMerge w:val="continue"/>
            <w:shd w:val="clear" w:color="auto" w:fill="FFFFFF"/>
            <w:tcMar>
              <w:top w:w="0" w:type="dxa"/>
              <w:left w:w="0" w:type="dxa"/>
              <w:bottom w:w="0" w:type="dxa"/>
              <w:right w:w="0" w:type="dxa"/>
            </w:tcMar>
            <w:vAlign w:val="center"/>
          </w:tcPr>
          <w:p w14:paraId="78512179">
            <w:pPr>
              <w:jc w:val="center"/>
              <w:rPr>
                <w:strike w:val="0"/>
                <w:dstrike w:val="0"/>
                <w:color w:val="auto"/>
                <w:sz w:val="21"/>
                <w:szCs w:val="21"/>
                <w:highlight w:val="none"/>
              </w:rPr>
            </w:pPr>
          </w:p>
        </w:tc>
        <w:tc>
          <w:tcPr>
            <w:tcW w:w="625" w:type="dxa"/>
            <w:shd w:val="clear" w:color="auto" w:fill="FFFFFF"/>
            <w:tcMar>
              <w:top w:w="0" w:type="dxa"/>
              <w:left w:w="0" w:type="dxa"/>
              <w:bottom w:w="0" w:type="dxa"/>
              <w:right w:w="0" w:type="dxa"/>
            </w:tcMar>
            <w:vAlign w:val="center"/>
          </w:tcPr>
          <w:p w14:paraId="7297FA94">
            <w:pPr>
              <w:jc w:val="center"/>
              <w:rPr>
                <w:strike w:val="0"/>
                <w:dstrike w:val="0"/>
                <w:color w:val="auto"/>
                <w:sz w:val="21"/>
                <w:szCs w:val="21"/>
                <w:highlight w:val="none"/>
              </w:rPr>
            </w:pPr>
            <w:r>
              <w:rPr>
                <w:strike w:val="0"/>
                <w:dstrike w:val="0"/>
                <w:color w:val="auto"/>
                <w:sz w:val="21"/>
                <w:szCs w:val="21"/>
                <w:highlight w:val="none"/>
              </w:rPr>
              <w:t>X</w:t>
            </w:r>
          </w:p>
        </w:tc>
        <w:tc>
          <w:tcPr>
            <w:tcW w:w="563" w:type="dxa"/>
            <w:shd w:val="clear" w:color="auto" w:fill="FFFFFF"/>
            <w:tcMar>
              <w:top w:w="0" w:type="dxa"/>
              <w:left w:w="0" w:type="dxa"/>
              <w:bottom w:w="0" w:type="dxa"/>
              <w:right w:w="0" w:type="dxa"/>
            </w:tcMar>
            <w:vAlign w:val="center"/>
          </w:tcPr>
          <w:p w14:paraId="7A340EB1">
            <w:pPr>
              <w:jc w:val="center"/>
              <w:rPr>
                <w:strike w:val="0"/>
                <w:dstrike w:val="0"/>
                <w:color w:val="auto"/>
                <w:sz w:val="21"/>
                <w:szCs w:val="21"/>
                <w:highlight w:val="none"/>
              </w:rPr>
            </w:pPr>
            <w:r>
              <w:rPr>
                <w:strike w:val="0"/>
                <w:dstrike w:val="0"/>
                <w:color w:val="auto"/>
                <w:sz w:val="21"/>
                <w:szCs w:val="21"/>
                <w:highlight w:val="none"/>
              </w:rPr>
              <w:t>Y</w:t>
            </w:r>
          </w:p>
        </w:tc>
        <w:tc>
          <w:tcPr>
            <w:tcW w:w="698" w:type="dxa"/>
            <w:shd w:val="clear" w:color="auto" w:fill="FFFFFF"/>
            <w:tcMar>
              <w:top w:w="0" w:type="dxa"/>
              <w:left w:w="0" w:type="dxa"/>
              <w:bottom w:w="0" w:type="dxa"/>
              <w:right w:w="0" w:type="dxa"/>
            </w:tcMar>
            <w:vAlign w:val="center"/>
          </w:tcPr>
          <w:p w14:paraId="1FB71F6C">
            <w:pPr>
              <w:jc w:val="center"/>
              <w:rPr>
                <w:strike w:val="0"/>
                <w:dstrike w:val="0"/>
                <w:color w:val="auto"/>
                <w:sz w:val="21"/>
                <w:szCs w:val="21"/>
                <w:highlight w:val="none"/>
              </w:rPr>
            </w:pPr>
            <w:r>
              <w:rPr>
                <w:strike w:val="0"/>
                <w:dstrike w:val="0"/>
                <w:color w:val="auto"/>
                <w:sz w:val="21"/>
                <w:szCs w:val="21"/>
                <w:highlight w:val="none"/>
              </w:rPr>
              <w:t>Z</w:t>
            </w:r>
          </w:p>
        </w:tc>
        <w:tc>
          <w:tcPr>
            <w:tcW w:w="577" w:type="dxa"/>
            <w:shd w:val="clear" w:color="auto" w:fill="FFFFFF"/>
            <w:tcMar>
              <w:top w:w="0" w:type="dxa"/>
              <w:left w:w="0" w:type="dxa"/>
              <w:bottom w:w="0" w:type="dxa"/>
              <w:right w:w="0" w:type="dxa"/>
            </w:tcMar>
            <w:vAlign w:val="center"/>
          </w:tcPr>
          <w:p w14:paraId="5D024C34">
            <w:pPr>
              <w:jc w:val="center"/>
              <w:rPr>
                <w:strike w:val="0"/>
                <w:dstrike w:val="0"/>
                <w:color w:val="auto"/>
                <w:sz w:val="21"/>
                <w:szCs w:val="21"/>
                <w:highlight w:val="none"/>
              </w:rPr>
            </w:pPr>
            <w:r>
              <w:rPr>
                <w:strike w:val="0"/>
                <w:dstrike w:val="0"/>
                <w:color w:val="auto"/>
                <w:sz w:val="21"/>
                <w:szCs w:val="21"/>
                <w:highlight w:val="none"/>
              </w:rPr>
              <w:t>东</w:t>
            </w:r>
          </w:p>
        </w:tc>
        <w:tc>
          <w:tcPr>
            <w:tcW w:w="577" w:type="dxa"/>
            <w:shd w:val="clear" w:color="auto" w:fill="FFFFFF"/>
            <w:tcMar>
              <w:top w:w="0" w:type="dxa"/>
              <w:left w:w="0" w:type="dxa"/>
              <w:bottom w:w="0" w:type="dxa"/>
              <w:right w:w="0" w:type="dxa"/>
            </w:tcMar>
            <w:vAlign w:val="center"/>
          </w:tcPr>
          <w:p w14:paraId="22688F4F">
            <w:pPr>
              <w:jc w:val="center"/>
              <w:rPr>
                <w:strike w:val="0"/>
                <w:dstrike w:val="0"/>
                <w:color w:val="auto"/>
                <w:sz w:val="21"/>
                <w:szCs w:val="21"/>
                <w:highlight w:val="none"/>
              </w:rPr>
            </w:pPr>
            <w:r>
              <w:rPr>
                <w:strike w:val="0"/>
                <w:dstrike w:val="0"/>
                <w:color w:val="auto"/>
                <w:sz w:val="21"/>
                <w:szCs w:val="21"/>
                <w:highlight w:val="none"/>
              </w:rPr>
              <w:t>南</w:t>
            </w:r>
          </w:p>
        </w:tc>
        <w:tc>
          <w:tcPr>
            <w:tcW w:w="577" w:type="dxa"/>
            <w:shd w:val="clear" w:color="auto" w:fill="FFFFFF"/>
            <w:tcMar>
              <w:top w:w="0" w:type="dxa"/>
              <w:left w:w="0" w:type="dxa"/>
              <w:bottom w:w="0" w:type="dxa"/>
              <w:right w:w="0" w:type="dxa"/>
            </w:tcMar>
            <w:vAlign w:val="center"/>
          </w:tcPr>
          <w:p w14:paraId="1D7E4A74">
            <w:pPr>
              <w:jc w:val="center"/>
              <w:rPr>
                <w:strike w:val="0"/>
                <w:dstrike w:val="0"/>
                <w:color w:val="auto"/>
                <w:sz w:val="21"/>
                <w:szCs w:val="21"/>
                <w:highlight w:val="none"/>
              </w:rPr>
            </w:pPr>
            <w:r>
              <w:rPr>
                <w:strike w:val="0"/>
                <w:dstrike w:val="0"/>
                <w:color w:val="auto"/>
                <w:sz w:val="21"/>
                <w:szCs w:val="21"/>
                <w:highlight w:val="none"/>
              </w:rPr>
              <w:t>西</w:t>
            </w:r>
          </w:p>
        </w:tc>
        <w:tc>
          <w:tcPr>
            <w:tcW w:w="578" w:type="dxa"/>
            <w:shd w:val="clear" w:color="auto" w:fill="FFFFFF"/>
            <w:tcMar>
              <w:top w:w="0" w:type="dxa"/>
              <w:left w:w="0" w:type="dxa"/>
              <w:bottom w:w="0" w:type="dxa"/>
              <w:right w:w="0" w:type="dxa"/>
            </w:tcMar>
            <w:vAlign w:val="center"/>
          </w:tcPr>
          <w:p w14:paraId="31E2173D">
            <w:pPr>
              <w:jc w:val="center"/>
              <w:rPr>
                <w:strike w:val="0"/>
                <w:dstrike w:val="0"/>
                <w:color w:val="auto"/>
                <w:sz w:val="21"/>
                <w:szCs w:val="21"/>
                <w:highlight w:val="none"/>
              </w:rPr>
            </w:pPr>
            <w:r>
              <w:rPr>
                <w:strike w:val="0"/>
                <w:dstrike w:val="0"/>
                <w:color w:val="auto"/>
                <w:sz w:val="21"/>
                <w:szCs w:val="21"/>
                <w:highlight w:val="none"/>
              </w:rPr>
              <w:t>北</w:t>
            </w:r>
          </w:p>
        </w:tc>
        <w:tc>
          <w:tcPr>
            <w:tcW w:w="569" w:type="dxa"/>
            <w:shd w:val="clear" w:color="auto" w:fill="FFFFFF"/>
            <w:tcMar>
              <w:top w:w="0" w:type="dxa"/>
              <w:left w:w="0" w:type="dxa"/>
              <w:bottom w:w="0" w:type="dxa"/>
              <w:right w:w="0" w:type="dxa"/>
            </w:tcMar>
            <w:vAlign w:val="center"/>
          </w:tcPr>
          <w:p w14:paraId="1FF33BB7">
            <w:pPr>
              <w:jc w:val="center"/>
              <w:rPr>
                <w:strike w:val="0"/>
                <w:dstrike w:val="0"/>
                <w:color w:val="auto"/>
                <w:sz w:val="21"/>
                <w:szCs w:val="21"/>
                <w:highlight w:val="none"/>
              </w:rPr>
            </w:pPr>
            <w:r>
              <w:rPr>
                <w:strike w:val="0"/>
                <w:dstrike w:val="0"/>
                <w:color w:val="auto"/>
                <w:sz w:val="21"/>
                <w:szCs w:val="21"/>
                <w:highlight w:val="none"/>
              </w:rPr>
              <w:t>东</w:t>
            </w:r>
          </w:p>
        </w:tc>
        <w:tc>
          <w:tcPr>
            <w:tcW w:w="569" w:type="dxa"/>
            <w:shd w:val="clear" w:color="auto" w:fill="FFFFFF"/>
            <w:tcMar>
              <w:top w:w="0" w:type="dxa"/>
              <w:left w:w="0" w:type="dxa"/>
              <w:bottom w:w="0" w:type="dxa"/>
              <w:right w:w="0" w:type="dxa"/>
            </w:tcMar>
            <w:vAlign w:val="center"/>
          </w:tcPr>
          <w:p w14:paraId="6C74A1F6">
            <w:pPr>
              <w:jc w:val="center"/>
              <w:rPr>
                <w:strike w:val="0"/>
                <w:dstrike w:val="0"/>
                <w:color w:val="auto"/>
                <w:sz w:val="21"/>
                <w:szCs w:val="21"/>
                <w:highlight w:val="none"/>
              </w:rPr>
            </w:pPr>
            <w:r>
              <w:rPr>
                <w:strike w:val="0"/>
                <w:dstrike w:val="0"/>
                <w:color w:val="auto"/>
                <w:sz w:val="21"/>
                <w:szCs w:val="21"/>
                <w:highlight w:val="none"/>
              </w:rPr>
              <w:t>南</w:t>
            </w:r>
          </w:p>
        </w:tc>
        <w:tc>
          <w:tcPr>
            <w:tcW w:w="569" w:type="dxa"/>
            <w:shd w:val="clear" w:color="auto" w:fill="FFFFFF"/>
            <w:tcMar>
              <w:top w:w="0" w:type="dxa"/>
              <w:left w:w="0" w:type="dxa"/>
              <w:bottom w:w="0" w:type="dxa"/>
              <w:right w:w="0" w:type="dxa"/>
            </w:tcMar>
            <w:vAlign w:val="center"/>
          </w:tcPr>
          <w:p w14:paraId="646A00B1">
            <w:pPr>
              <w:jc w:val="center"/>
              <w:rPr>
                <w:strike w:val="0"/>
                <w:dstrike w:val="0"/>
                <w:color w:val="auto"/>
                <w:sz w:val="21"/>
                <w:szCs w:val="21"/>
                <w:highlight w:val="none"/>
              </w:rPr>
            </w:pPr>
            <w:r>
              <w:rPr>
                <w:strike w:val="0"/>
                <w:dstrike w:val="0"/>
                <w:color w:val="auto"/>
                <w:sz w:val="21"/>
                <w:szCs w:val="21"/>
                <w:highlight w:val="none"/>
              </w:rPr>
              <w:t>西</w:t>
            </w:r>
          </w:p>
        </w:tc>
        <w:tc>
          <w:tcPr>
            <w:tcW w:w="573" w:type="dxa"/>
            <w:shd w:val="clear" w:color="auto" w:fill="FFFFFF"/>
            <w:tcMar>
              <w:top w:w="0" w:type="dxa"/>
              <w:left w:w="0" w:type="dxa"/>
              <w:bottom w:w="0" w:type="dxa"/>
              <w:right w:w="0" w:type="dxa"/>
            </w:tcMar>
            <w:vAlign w:val="center"/>
          </w:tcPr>
          <w:p w14:paraId="7502D312">
            <w:pPr>
              <w:jc w:val="center"/>
              <w:rPr>
                <w:strike w:val="0"/>
                <w:dstrike w:val="0"/>
                <w:color w:val="auto"/>
                <w:sz w:val="21"/>
                <w:szCs w:val="21"/>
                <w:highlight w:val="none"/>
              </w:rPr>
            </w:pPr>
            <w:r>
              <w:rPr>
                <w:strike w:val="0"/>
                <w:dstrike w:val="0"/>
                <w:color w:val="auto"/>
                <w:sz w:val="21"/>
                <w:szCs w:val="21"/>
                <w:highlight w:val="none"/>
              </w:rPr>
              <w:t>北</w:t>
            </w:r>
          </w:p>
        </w:tc>
        <w:tc>
          <w:tcPr>
            <w:tcW w:w="878" w:type="dxa"/>
            <w:vMerge w:val="continue"/>
            <w:shd w:val="clear" w:color="auto" w:fill="FFFFFF"/>
            <w:tcMar>
              <w:top w:w="0" w:type="dxa"/>
              <w:left w:w="0" w:type="dxa"/>
              <w:bottom w:w="0" w:type="dxa"/>
              <w:right w:w="0" w:type="dxa"/>
            </w:tcMar>
            <w:vAlign w:val="center"/>
          </w:tcPr>
          <w:p w14:paraId="2E0AF131">
            <w:pPr>
              <w:jc w:val="center"/>
              <w:rPr>
                <w:strike w:val="0"/>
                <w:dstrike w:val="0"/>
                <w:color w:val="auto"/>
                <w:sz w:val="21"/>
                <w:szCs w:val="21"/>
                <w:highlight w:val="none"/>
              </w:rPr>
            </w:pPr>
          </w:p>
        </w:tc>
        <w:tc>
          <w:tcPr>
            <w:tcW w:w="897" w:type="dxa"/>
            <w:vMerge w:val="continue"/>
            <w:shd w:val="clear" w:color="auto" w:fill="FFFFFF"/>
            <w:tcMar>
              <w:top w:w="0" w:type="dxa"/>
              <w:left w:w="0" w:type="dxa"/>
              <w:bottom w:w="0" w:type="dxa"/>
              <w:right w:w="0" w:type="dxa"/>
            </w:tcMar>
            <w:vAlign w:val="center"/>
          </w:tcPr>
          <w:p w14:paraId="395C0C27">
            <w:pPr>
              <w:jc w:val="center"/>
              <w:rPr>
                <w:strike w:val="0"/>
                <w:dstrike w:val="0"/>
                <w:color w:val="auto"/>
                <w:sz w:val="21"/>
                <w:szCs w:val="21"/>
                <w:highlight w:val="none"/>
              </w:rPr>
            </w:pPr>
          </w:p>
        </w:tc>
        <w:tc>
          <w:tcPr>
            <w:tcW w:w="650" w:type="dxa"/>
            <w:shd w:val="clear" w:color="auto" w:fill="FFFFFF"/>
            <w:tcMar>
              <w:top w:w="0" w:type="dxa"/>
              <w:left w:w="0" w:type="dxa"/>
              <w:bottom w:w="0" w:type="dxa"/>
              <w:right w:w="0" w:type="dxa"/>
            </w:tcMar>
            <w:vAlign w:val="center"/>
          </w:tcPr>
          <w:p w14:paraId="27241C47">
            <w:pPr>
              <w:jc w:val="center"/>
              <w:rPr>
                <w:strike w:val="0"/>
                <w:dstrike w:val="0"/>
                <w:color w:val="auto"/>
                <w:sz w:val="21"/>
                <w:szCs w:val="21"/>
                <w:highlight w:val="none"/>
              </w:rPr>
            </w:pPr>
            <w:r>
              <w:rPr>
                <w:strike w:val="0"/>
                <w:dstrike w:val="0"/>
                <w:color w:val="auto"/>
                <w:sz w:val="21"/>
                <w:szCs w:val="21"/>
                <w:highlight w:val="none"/>
              </w:rPr>
              <w:t>东</w:t>
            </w:r>
          </w:p>
        </w:tc>
        <w:tc>
          <w:tcPr>
            <w:tcW w:w="900" w:type="dxa"/>
            <w:shd w:val="clear" w:color="auto" w:fill="FFFFFF"/>
            <w:tcMar>
              <w:top w:w="0" w:type="dxa"/>
              <w:left w:w="0" w:type="dxa"/>
              <w:bottom w:w="0" w:type="dxa"/>
              <w:right w:w="0" w:type="dxa"/>
            </w:tcMar>
            <w:vAlign w:val="center"/>
          </w:tcPr>
          <w:p w14:paraId="1306A5D0">
            <w:pPr>
              <w:jc w:val="center"/>
              <w:rPr>
                <w:strike w:val="0"/>
                <w:dstrike w:val="0"/>
                <w:color w:val="auto"/>
                <w:sz w:val="21"/>
                <w:szCs w:val="21"/>
                <w:highlight w:val="none"/>
              </w:rPr>
            </w:pPr>
            <w:r>
              <w:rPr>
                <w:strike w:val="0"/>
                <w:dstrike w:val="0"/>
                <w:color w:val="auto"/>
                <w:sz w:val="21"/>
                <w:szCs w:val="21"/>
                <w:highlight w:val="none"/>
              </w:rPr>
              <w:t>南</w:t>
            </w:r>
          </w:p>
        </w:tc>
        <w:tc>
          <w:tcPr>
            <w:tcW w:w="737" w:type="dxa"/>
            <w:shd w:val="clear" w:color="auto" w:fill="FFFFFF"/>
            <w:tcMar>
              <w:top w:w="0" w:type="dxa"/>
              <w:left w:w="0" w:type="dxa"/>
              <w:bottom w:w="0" w:type="dxa"/>
              <w:right w:w="0" w:type="dxa"/>
            </w:tcMar>
            <w:vAlign w:val="center"/>
          </w:tcPr>
          <w:p w14:paraId="6F5E2B0C">
            <w:pPr>
              <w:jc w:val="center"/>
              <w:rPr>
                <w:strike w:val="0"/>
                <w:dstrike w:val="0"/>
                <w:color w:val="auto"/>
                <w:sz w:val="21"/>
                <w:szCs w:val="21"/>
                <w:highlight w:val="none"/>
              </w:rPr>
            </w:pPr>
            <w:r>
              <w:rPr>
                <w:strike w:val="0"/>
                <w:dstrike w:val="0"/>
                <w:color w:val="auto"/>
                <w:sz w:val="21"/>
                <w:szCs w:val="21"/>
                <w:highlight w:val="none"/>
              </w:rPr>
              <w:t>西</w:t>
            </w:r>
          </w:p>
        </w:tc>
        <w:tc>
          <w:tcPr>
            <w:tcW w:w="538" w:type="dxa"/>
            <w:shd w:val="clear" w:color="auto" w:fill="FFFFFF"/>
            <w:tcMar>
              <w:top w:w="0" w:type="dxa"/>
              <w:left w:w="0" w:type="dxa"/>
              <w:bottom w:w="0" w:type="dxa"/>
              <w:right w:w="0" w:type="dxa"/>
            </w:tcMar>
            <w:vAlign w:val="center"/>
          </w:tcPr>
          <w:p w14:paraId="61221090">
            <w:pPr>
              <w:jc w:val="center"/>
              <w:rPr>
                <w:strike w:val="0"/>
                <w:dstrike w:val="0"/>
                <w:color w:val="auto"/>
                <w:sz w:val="21"/>
                <w:szCs w:val="21"/>
                <w:highlight w:val="none"/>
              </w:rPr>
            </w:pPr>
            <w:r>
              <w:rPr>
                <w:strike w:val="0"/>
                <w:dstrike w:val="0"/>
                <w:color w:val="auto"/>
                <w:sz w:val="21"/>
                <w:szCs w:val="21"/>
                <w:highlight w:val="none"/>
              </w:rPr>
              <w:t>北</w:t>
            </w:r>
          </w:p>
        </w:tc>
        <w:tc>
          <w:tcPr>
            <w:tcW w:w="737" w:type="dxa"/>
            <w:shd w:val="clear" w:color="auto" w:fill="FFFFFF"/>
            <w:tcMar>
              <w:top w:w="0" w:type="dxa"/>
              <w:left w:w="0" w:type="dxa"/>
              <w:bottom w:w="0" w:type="dxa"/>
              <w:right w:w="0" w:type="dxa"/>
            </w:tcMar>
            <w:vAlign w:val="center"/>
          </w:tcPr>
          <w:p w14:paraId="3E953229">
            <w:pPr>
              <w:jc w:val="center"/>
              <w:rPr>
                <w:strike w:val="0"/>
                <w:dstrike w:val="0"/>
                <w:color w:val="auto"/>
                <w:sz w:val="21"/>
                <w:szCs w:val="21"/>
                <w:highlight w:val="none"/>
              </w:rPr>
            </w:pPr>
            <w:r>
              <w:rPr>
                <w:strike w:val="0"/>
                <w:dstrike w:val="0"/>
                <w:color w:val="auto"/>
                <w:sz w:val="21"/>
                <w:szCs w:val="21"/>
                <w:highlight w:val="none"/>
              </w:rPr>
              <w:t>建筑物外距离</w:t>
            </w:r>
          </w:p>
        </w:tc>
      </w:tr>
      <w:tr w14:paraId="6C5E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39" w:type="dxa"/>
            <w:shd w:val="clear" w:color="auto" w:fill="FFFFFF"/>
            <w:tcMar>
              <w:top w:w="0" w:type="dxa"/>
              <w:left w:w="0" w:type="dxa"/>
              <w:bottom w:w="0" w:type="dxa"/>
              <w:right w:w="0" w:type="dxa"/>
            </w:tcMar>
            <w:vAlign w:val="center"/>
          </w:tcPr>
          <w:p w14:paraId="78B9CF35">
            <w:pPr>
              <w:jc w:val="center"/>
              <w:rPr>
                <w:strike w:val="0"/>
                <w:dstrike w:val="0"/>
                <w:color w:val="auto"/>
                <w:sz w:val="21"/>
                <w:szCs w:val="21"/>
                <w:highlight w:val="none"/>
              </w:rPr>
            </w:pPr>
            <w:r>
              <w:rPr>
                <w:strike w:val="0"/>
                <w:dstrike w:val="0"/>
                <w:color w:val="auto"/>
                <w:sz w:val="21"/>
                <w:szCs w:val="21"/>
                <w:highlight w:val="none"/>
              </w:rPr>
              <w:t>1</w:t>
            </w:r>
          </w:p>
        </w:tc>
        <w:tc>
          <w:tcPr>
            <w:tcW w:w="677" w:type="dxa"/>
            <w:shd w:val="clear" w:color="auto" w:fill="FFFFFF"/>
            <w:tcMar>
              <w:top w:w="0" w:type="dxa"/>
              <w:left w:w="0" w:type="dxa"/>
              <w:bottom w:w="0" w:type="dxa"/>
              <w:right w:w="0" w:type="dxa"/>
            </w:tcMar>
            <w:vAlign w:val="center"/>
          </w:tcPr>
          <w:p w14:paraId="370DE2B2">
            <w:pPr>
              <w:jc w:val="center"/>
              <w:rPr>
                <w:strike w:val="0"/>
                <w:dstrike w:val="0"/>
                <w:color w:val="auto"/>
                <w:sz w:val="21"/>
                <w:szCs w:val="21"/>
                <w:highlight w:val="none"/>
              </w:rPr>
            </w:pPr>
            <w:r>
              <w:rPr>
                <w:strike w:val="0"/>
                <w:dstrike w:val="0"/>
                <w:color w:val="auto"/>
                <w:sz w:val="21"/>
                <w:szCs w:val="21"/>
                <w:highlight w:val="none"/>
              </w:rPr>
              <w:t>站房</w:t>
            </w:r>
          </w:p>
        </w:tc>
        <w:tc>
          <w:tcPr>
            <w:tcW w:w="583" w:type="dxa"/>
            <w:shd w:val="clear" w:color="auto" w:fill="FFFFFF"/>
            <w:tcMar>
              <w:top w:w="0" w:type="dxa"/>
              <w:left w:w="0" w:type="dxa"/>
              <w:bottom w:w="0" w:type="dxa"/>
              <w:right w:w="0" w:type="dxa"/>
            </w:tcMar>
            <w:vAlign w:val="center"/>
          </w:tcPr>
          <w:p w14:paraId="072810F6">
            <w:pPr>
              <w:jc w:val="center"/>
              <w:rPr>
                <w:strike w:val="0"/>
                <w:dstrike w:val="0"/>
                <w:color w:val="auto"/>
                <w:sz w:val="21"/>
                <w:szCs w:val="21"/>
                <w:highlight w:val="none"/>
              </w:rPr>
            </w:pPr>
            <w:r>
              <w:rPr>
                <w:strike w:val="0"/>
                <w:dstrike w:val="0"/>
                <w:color w:val="auto"/>
                <w:sz w:val="21"/>
                <w:szCs w:val="21"/>
                <w:highlight w:val="none"/>
              </w:rPr>
              <w:t>静音空压机</w:t>
            </w:r>
          </w:p>
        </w:tc>
        <w:tc>
          <w:tcPr>
            <w:tcW w:w="453" w:type="dxa"/>
            <w:shd w:val="clear" w:color="auto" w:fill="FFFFFF"/>
            <w:tcMar>
              <w:top w:w="0" w:type="dxa"/>
              <w:left w:w="0" w:type="dxa"/>
              <w:bottom w:w="0" w:type="dxa"/>
              <w:right w:w="0" w:type="dxa"/>
            </w:tcMar>
            <w:vAlign w:val="center"/>
          </w:tcPr>
          <w:p w14:paraId="7416F6BE">
            <w:pPr>
              <w:jc w:val="center"/>
              <w:rPr>
                <w:strike w:val="0"/>
                <w:dstrike w:val="0"/>
                <w:color w:val="auto"/>
                <w:sz w:val="21"/>
                <w:szCs w:val="21"/>
                <w:highlight w:val="none"/>
              </w:rPr>
            </w:pPr>
            <w:r>
              <w:rPr>
                <w:strike w:val="0"/>
                <w:dstrike w:val="0"/>
                <w:color w:val="auto"/>
                <w:sz w:val="21"/>
                <w:szCs w:val="21"/>
                <w:highlight w:val="none"/>
              </w:rPr>
              <w:t>3kW，220V</w:t>
            </w:r>
          </w:p>
        </w:tc>
        <w:tc>
          <w:tcPr>
            <w:tcW w:w="740" w:type="dxa"/>
            <w:shd w:val="clear" w:color="auto" w:fill="FFFFFF"/>
            <w:tcMar>
              <w:top w:w="0" w:type="dxa"/>
              <w:left w:w="0" w:type="dxa"/>
              <w:bottom w:w="0" w:type="dxa"/>
              <w:right w:w="0" w:type="dxa"/>
            </w:tcMar>
            <w:vAlign w:val="center"/>
          </w:tcPr>
          <w:p w14:paraId="0D094D39">
            <w:pPr>
              <w:jc w:val="center"/>
              <w:rPr>
                <w:strike w:val="0"/>
                <w:dstrike w:val="0"/>
                <w:color w:val="auto"/>
                <w:sz w:val="21"/>
                <w:szCs w:val="21"/>
                <w:highlight w:val="none"/>
              </w:rPr>
            </w:pPr>
            <w:r>
              <w:rPr>
                <w:strike w:val="0"/>
                <w:dstrike w:val="0"/>
                <w:color w:val="auto"/>
                <w:sz w:val="21"/>
                <w:szCs w:val="21"/>
                <w:highlight w:val="none"/>
              </w:rPr>
              <w:t>85</w:t>
            </w:r>
          </w:p>
        </w:tc>
        <w:tc>
          <w:tcPr>
            <w:tcW w:w="833" w:type="dxa"/>
            <w:shd w:val="clear" w:color="auto" w:fill="FFFFFF"/>
            <w:tcMar>
              <w:top w:w="0" w:type="dxa"/>
              <w:left w:w="0" w:type="dxa"/>
              <w:bottom w:w="0" w:type="dxa"/>
              <w:right w:w="0" w:type="dxa"/>
            </w:tcMar>
            <w:vAlign w:val="center"/>
          </w:tcPr>
          <w:p w14:paraId="29CDF755">
            <w:pPr>
              <w:pStyle w:val="10"/>
              <w:spacing w:before="0" w:after="0" w:line="240" w:lineRule="auto"/>
              <w:ind w:right="0"/>
              <w:jc w:val="center"/>
              <w:rPr>
                <w:strike w:val="0"/>
                <w:dstrike w:val="0"/>
                <w:color w:val="auto"/>
                <w:kern w:val="2"/>
                <w:sz w:val="21"/>
                <w:szCs w:val="21"/>
                <w:highlight w:val="none"/>
              </w:rPr>
            </w:pPr>
            <w:r>
              <w:rPr>
                <w:strike w:val="0"/>
                <w:dstrike w:val="0"/>
                <w:color w:val="auto"/>
                <w:sz w:val="21"/>
                <w:szCs w:val="21"/>
                <w:highlight w:val="none"/>
              </w:rPr>
              <w:t>建筑隔声</w:t>
            </w:r>
          </w:p>
        </w:tc>
        <w:tc>
          <w:tcPr>
            <w:tcW w:w="625" w:type="dxa"/>
            <w:shd w:val="clear" w:color="auto" w:fill="FFFFFF"/>
            <w:tcMar>
              <w:top w:w="0" w:type="dxa"/>
              <w:left w:w="0" w:type="dxa"/>
              <w:bottom w:w="0" w:type="dxa"/>
              <w:right w:w="0" w:type="dxa"/>
            </w:tcMar>
            <w:vAlign w:val="center"/>
          </w:tcPr>
          <w:p w14:paraId="1720F353">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-22</w:t>
            </w:r>
          </w:p>
        </w:tc>
        <w:tc>
          <w:tcPr>
            <w:tcW w:w="563" w:type="dxa"/>
            <w:shd w:val="clear" w:color="auto" w:fill="FFFFFF"/>
            <w:tcMar>
              <w:top w:w="0" w:type="dxa"/>
              <w:left w:w="0" w:type="dxa"/>
              <w:bottom w:w="0" w:type="dxa"/>
              <w:right w:w="0" w:type="dxa"/>
            </w:tcMar>
            <w:vAlign w:val="center"/>
          </w:tcPr>
          <w:p w14:paraId="31133B02">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-23</w:t>
            </w:r>
          </w:p>
        </w:tc>
        <w:tc>
          <w:tcPr>
            <w:tcW w:w="698" w:type="dxa"/>
            <w:shd w:val="clear" w:color="auto" w:fill="FFFFFF"/>
            <w:tcMar>
              <w:top w:w="0" w:type="dxa"/>
              <w:left w:w="0" w:type="dxa"/>
              <w:bottom w:w="0" w:type="dxa"/>
              <w:right w:w="0" w:type="dxa"/>
            </w:tcMar>
            <w:vAlign w:val="center"/>
          </w:tcPr>
          <w:p w14:paraId="5B6BA91B">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ascii="Times New Roman" w:hAnsi="Times New Roman" w:eastAsia="宋体" w:cs="Times New Roman"/>
                <w:strike w:val="0"/>
                <w:dstrike w:val="0"/>
                <w:color w:val="auto"/>
                <w:sz w:val="21"/>
                <w:szCs w:val="21"/>
                <w:highlight w:val="none"/>
              </w:rPr>
              <w:t>1.2</w:t>
            </w:r>
          </w:p>
        </w:tc>
        <w:tc>
          <w:tcPr>
            <w:tcW w:w="577" w:type="dxa"/>
            <w:shd w:val="clear" w:color="auto" w:fill="FFFFFF"/>
            <w:tcMar>
              <w:top w:w="0" w:type="dxa"/>
              <w:left w:w="0" w:type="dxa"/>
              <w:bottom w:w="0" w:type="dxa"/>
              <w:right w:w="0" w:type="dxa"/>
            </w:tcMar>
            <w:vAlign w:val="center"/>
          </w:tcPr>
          <w:p w14:paraId="5F994F87">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47</w:t>
            </w:r>
          </w:p>
        </w:tc>
        <w:tc>
          <w:tcPr>
            <w:tcW w:w="577" w:type="dxa"/>
            <w:shd w:val="clear" w:color="auto" w:fill="FFFFFF"/>
            <w:tcMar>
              <w:top w:w="0" w:type="dxa"/>
              <w:left w:w="0" w:type="dxa"/>
              <w:bottom w:w="0" w:type="dxa"/>
              <w:right w:w="0" w:type="dxa"/>
            </w:tcMar>
            <w:vAlign w:val="center"/>
          </w:tcPr>
          <w:p w14:paraId="2A0B520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14</w:t>
            </w:r>
          </w:p>
        </w:tc>
        <w:tc>
          <w:tcPr>
            <w:tcW w:w="577" w:type="dxa"/>
            <w:shd w:val="clear" w:color="auto" w:fill="FFFFFF"/>
            <w:tcMar>
              <w:top w:w="0" w:type="dxa"/>
              <w:left w:w="0" w:type="dxa"/>
              <w:bottom w:w="0" w:type="dxa"/>
              <w:right w:w="0" w:type="dxa"/>
            </w:tcMar>
            <w:vAlign w:val="center"/>
          </w:tcPr>
          <w:p w14:paraId="4085A877">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w:t>
            </w:r>
          </w:p>
        </w:tc>
        <w:tc>
          <w:tcPr>
            <w:tcW w:w="578" w:type="dxa"/>
            <w:shd w:val="clear" w:color="auto" w:fill="FFFFFF"/>
            <w:tcMar>
              <w:top w:w="0" w:type="dxa"/>
              <w:left w:w="0" w:type="dxa"/>
              <w:bottom w:w="0" w:type="dxa"/>
              <w:right w:w="0" w:type="dxa"/>
            </w:tcMar>
            <w:vAlign w:val="center"/>
          </w:tcPr>
          <w:p w14:paraId="5AC84E5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60</w:t>
            </w:r>
          </w:p>
        </w:tc>
        <w:tc>
          <w:tcPr>
            <w:tcW w:w="569" w:type="dxa"/>
            <w:shd w:val="clear" w:color="auto" w:fill="FFFFFF"/>
            <w:tcMar>
              <w:top w:w="0" w:type="dxa"/>
              <w:left w:w="0" w:type="dxa"/>
              <w:bottom w:w="0" w:type="dxa"/>
              <w:right w:w="0" w:type="dxa"/>
            </w:tcMar>
            <w:vAlign w:val="center"/>
          </w:tcPr>
          <w:p w14:paraId="255665E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51.6 </w:t>
            </w:r>
          </w:p>
        </w:tc>
        <w:tc>
          <w:tcPr>
            <w:tcW w:w="569" w:type="dxa"/>
            <w:shd w:val="clear" w:color="auto" w:fill="FFFFFF"/>
            <w:tcMar>
              <w:top w:w="0" w:type="dxa"/>
              <w:left w:w="0" w:type="dxa"/>
              <w:bottom w:w="0" w:type="dxa"/>
              <w:right w:w="0" w:type="dxa"/>
            </w:tcMar>
            <w:vAlign w:val="center"/>
          </w:tcPr>
          <w:p w14:paraId="1577C43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62.1 </w:t>
            </w:r>
          </w:p>
        </w:tc>
        <w:tc>
          <w:tcPr>
            <w:tcW w:w="569" w:type="dxa"/>
            <w:shd w:val="clear" w:color="auto" w:fill="FFFFFF"/>
            <w:tcMar>
              <w:top w:w="0" w:type="dxa"/>
              <w:left w:w="0" w:type="dxa"/>
              <w:bottom w:w="0" w:type="dxa"/>
              <w:right w:w="0" w:type="dxa"/>
            </w:tcMar>
            <w:vAlign w:val="center"/>
          </w:tcPr>
          <w:p w14:paraId="3CE92393">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75.5 </w:t>
            </w:r>
          </w:p>
        </w:tc>
        <w:tc>
          <w:tcPr>
            <w:tcW w:w="573" w:type="dxa"/>
            <w:shd w:val="clear" w:color="auto" w:fill="FFFFFF"/>
            <w:tcMar>
              <w:top w:w="0" w:type="dxa"/>
              <w:left w:w="0" w:type="dxa"/>
              <w:bottom w:w="0" w:type="dxa"/>
              <w:right w:w="0" w:type="dxa"/>
            </w:tcMar>
            <w:vAlign w:val="center"/>
          </w:tcPr>
          <w:p w14:paraId="60592672">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49.4 </w:t>
            </w:r>
          </w:p>
        </w:tc>
        <w:tc>
          <w:tcPr>
            <w:tcW w:w="878" w:type="dxa"/>
            <w:shd w:val="clear" w:color="auto" w:fill="FFFFFF"/>
            <w:tcMar>
              <w:top w:w="0" w:type="dxa"/>
              <w:left w:w="0" w:type="dxa"/>
              <w:bottom w:w="0" w:type="dxa"/>
              <w:right w:w="0" w:type="dxa"/>
            </w:tcMar>
            <w:vAlign w:val="center"/>
          </w:tcPr>
          <w:p w14:paraId="41ED0D0F">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昼夜间</w:t>
            </w:r>
          </w:p>
        </w:tc>
        <w:tc>
          <w:tcPr>
            <w:tcW w:w="897" w:type="dxa"/>
            <w:shd w:val="clear" w:color="auto" w:fill="FFFFFF"/>
            <w:tcMar>
              <w:top w:w="0" w:type="dxa"/>
              <w:left w:w="0" w:type="dxa"/>
              <w:bottom w:w="0" w:type="dxa"/>
              <w:right w:w="0" w:type="dxa"/>
            </w:tcMar>
            <w:vAlign w:val="center"/>
          </w:tcPr>
          <w:p w14:paraId="00C9DCDF">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15</w:t>
            </w:r>
          </w:p>
        </w:tc>
        <w:tc>
          <w:tcPr>
            <w:tcW w:w="650" w:type="dxa"/>
            <w:shd w:val="clear" w:color="auto" w:fill="FFFFFF"/>
            <w:tcMar>
              <w:top w:w="0" w:type="dxa"/>
              <w:left w:w="0" w:type="dxa"/>
              <w:bottom w:w="0" w:type="dxa"/>
              <w:right w:w="0" w:type="dxa"/>
            </w:tcMar>
            <w:vAlign w:val="center"/>
          </w:tcPr>
          <w:p w14:paraId="053F5AD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36.6 </w:t>
            </w:r>
          </w:p>
        </w:tc>
        <w:tc>
          <w:tcPr>
            <w:tcW w:w="900" w:type="dxa"/>
            <w:shd w:val="clear" w:color="auto" w:fill="FFFFFF"/>
            <w:tcMar>
              <w:top w:w="0" w:type="dxa"/>
              <w:left w:w="0" w:type="dxa"/>
              <w:bottom w:w="0" w:type="dxa"/>
              <w:right w:w="0" w:type="dxa"/>
            </w:tcMar>
            <w:vAlign w:val="center"/>
          </w:tcPr>
          <w:p w14:paraId="087590C4">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47.1 </w:t>
            </w:r>
          </w:p>
        </w:tc>
        <w:tc>
          <w:tcPr>
            <w:tcW w:w="737" w:type="dxa"/>
            <w:shd w:val="clear" w:color="auto" w:fill="FFFFFF"/>
            <w:tcMar>
              <w:top w:w="0" w:type="dxa"/>
              <w:left w:w="0" w:type="dxa"/>
              <w:bottom w:w="0" w:type="dxa"/>
              <w:right w:w="0" w:type="dxa"/>
            </w:tcMar>
            <w:vAlign w:val="center"/>
          </w:tcPr>
          <w:p w14:paraId="0E6F5469">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60.5 </w:t>
            </w:r>
          </w:p>
        </w:tc>
        <w:tc>
          <w:tcPr>
            <w:tcW w:w="538" w:type="dxa"/>
            <w:shd w:val="clear" w:color="auto" w:fill="FFFFFF"/>
            <w:tcMar>
              <w:top w:w="0" w:type="dxa"/>
              <w:left w:w="0" w:type="dxa"/>
              <w:bottom w:w="0" w:type="dxa"/>
              <w:right w:w="0" w:type="dxa"/>
            </w:tcMar>
            <w:vAlign w:val="center"/>
          </w:tcPr>
          <w:p w14:paraId="6BB7AAB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34.4 </w:t>
            </w:r>
          </w:p>
        </w:tc>
        <w:tc>
          <w:tcPr>
            <w:tcW w:w="737" w:type="dxa"/>
            <w:shd w:val="clear" w:color="auto" w:fill="FFFFFF"/>
            <w:tcMar>
              <w:top w:w="0" w:type="dxa"/>
              <w:left w:w="0" w:type="dxa"/>
              <w:bottom w:w="0" w:type="dxa"/>
              <w:right w:w="0" w:type="dxa"/>
            </w:tcMar>
            <w:vAlign w:val="center"/>
          </w:tcPr>
          <w:p w14:paraId="10A6FBED">
            <w:pPr>
              <w:jc w:val="center"/>
              <w:rPr>
                <w:strike w:val="0"/>
                <w:dstrike w:val="0"/>
                <w:color w:val="auto"/>
                <w:sz w:val="21"/>
                <w:szCs w:val="21"/>
                <w:highlight w:val="none"/>
              </w:rPr>
            </w:pPr>
            <w:r>
              <w:rPr>
                <w:strike w:val="0"/>
                <w:dstrike w:val="0"/>
                <w:color w:val="auto"/>
                <w:sz w:val="21"/>
                <w:szCs w:val="21"/>
                <w:highlight w:val="none"/>
              </w:rPr>
              <w:t>1</w:t>
            </w:r>
          </w:p>
        </w:tc>
      </w:tr>
      <w:tr w14:paraId="5B27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39" w:type="dxa"/>
            <w:shd w:val="clear" w:color="auto" w:fill="FFFFFF"/>
            <w:tcMar>
              <w:top w:w="0" w:type="dxa"/>
              <w:left w:w="0" w:type="dxa"/>
              <w:bottom w:w="0" w:type="dxa"/>
              <w:right w:w="0" w:type="dxa"/>
            </w:tcMar>
            <w:vAlign w:val="center"/>
          </w:tcPr>
          <w:p w14:paraId="0382A4D0">
            <w:pPr>
              <w:jc w:val="center"/>
              <w:rPr>
                <w:strike w:val="0"/>
                <w:dstrike w:val="0"/>
                <w:color w:val="auto"/>
                <w:sz w:val="21"/>
                <w:szCs w:val="21"/>
                <w:highlight w:val="none"/>
              </w:rPr>
            </w:pPr>
            <w:r>
              <w:rPr>
                <w:strike w:val="0"/>
                <w:dstrike w:val="0"/>
                <w:color w:val="auto"/>
                <w:sz w:val="21"/>
                <w:szCs w:val="21"/>
                <w:highlight w:val="none"/>
              </w:rPr>
              <w:t>2</w:t>
            </w:r>
          </w:p>
        </w:tc>
        <w:tc>
          <w:tcPr>
            <w:tcW w:w="677" w:type="dxa"/>
            <w:shd w:val="clear" w:color="auto" w:fill="FFFFFF"/>
            <w:tcMar>
              <w:top w:w="0" w:type="dxa"/>
              <w:left w:w="0" w:type="dxa"/>
              <w:bottom w:w="0" w:type="dxa"/>
              <w:right w:w="0" w:type="dxa"/>
            </w:tcMar>
            <w:vAlign w:val="center"/>
          </w:tcPr>
          <w:p w14:paraId="40040D73">
            <w:pPr>
              <w:jc w:val="center"/>
              <w:rPr>
                <w:strike w:val="0"/>
                <w:dstrike w:val="0"/>
                <w:color w:val="auto"/>
                <w:sz w:val="21"/>
                <w:szCs w:val="21"/>
                <w:highlight w:val="none"/>
              </w:rPr>
            </w:pPr>
            <w:r>
              <w:rPr>
                <w:strike w:val="0"/>
                <w:dstrike w:val="0"/>
                <w:color w:val="auto"/>
                <w:sz w:val="21"/>
                <w:szCs w:val="21"/>
                <w:highlight w:val="none"/>
              </w:rPr>
              <w:t>站房</w:t>
            </w:r>
          </w:p>
        </w:tc>
        <w:tc>
          <w:tcPr>
            <w:tcW w:w="583" w:type="dxa"/>
            <w:shd w:val="clear" w:color="auto" w:fill="FFFFFF"/>
            <w:tcMar>
              <w:top w:w="0" w:type="dxa"/>
              <w:left w:w="0" w:type="dxa"/>
              <w:bottom w:w="0" w:type="dxa"/>
              <w:right w:w="0" w:type="dxa"/>
            </w:tcMar>
            <w:vAlign w:val="center"/>
          </w:tcPr>
          <w:p w14:paraId="11974E85">
            <w:pPr>
              <w:jc w:val="center"/>
              <w:rPr>
                <w:strike w:val="0"/>
                <w:dstrike w:val="0"/>
                <w:color w:val="auto"/>
                <w:sz w:val="21"/>
                <w:szCs w:val="21"/>
                <w:highlight w:val="none"/>
              </w:rPr>
            </w:pPr>
            <w:r>
              <w:rPr>
                <w:strike w:val="0"/>
                <w:dstrike w:val="0"/>
                <w:color w:val="auto"/>
                <w:sz w:val="21"/>
                <w:szCs w:val="21"/>
                <w:highlight w:val="none"/>
              </w:rPr>
              <w:t>风冷冷干机</w:t>
            </w:r>
          </w:p>
        </w:tc>
        <w:tc>
          <w:tcPr>
            <w:tcW w:w="453" w:type="dxa"/>
            <w:shd w:val="clear" w:color="auto" w:fill="FFFFFF"/>
            <w:tcMar>
              <w:top w:w="0" w:type="dxa"/>
              <w:left w:w="0" w:type="dxa"/>
              <w:bottom w:w="0" w:type="dxa"/>
              <w:right w:w="0" w:type="dxa"/>
            </w:tcMar>
            <w:vAlign w:val="center"/>
          </w:tcPr>
          <w:p w14:paraId="307A6679">
            <w:pPr>
              <w:jc w:val="center"/>
              <w:rPr>
                <w:strike w:val="0"/>
                <w:dstrike w:val="0"/>
                <w:color w:val="auto"/>
                <w:sz w:val="21"/>
                <w:szCs w:val="21"/>
                <w:highlight w:val="none"/>
              </w:rPr>
            </w:pPr>
            <w:r>
              <w:rPr>
                <w:strike w:val="0"/>
                <w:dstrike w:val="0"/>
                <w:color w:val="auto"/>
                <w:sz w:val="21"/>
                <w:szCs w:val="21"/>
                <w:highlight w:val="none"/>
              </w:rPr>
              <w:t>280w，220V</w:t>
            </w:r>
          </w:p>
        </w:tc>
        <w:tc>
          <w:tcPr>
            <w:tcW w:w="740" w:type="dxa"/>
            <w:shd w:val="clear" w:color="auto" w:fill="FFFFFF"/>
            <w:tcMar>
              <w:top w:w="0" w:type="dxa"/>
              <w:left w:w="0" w:type="dxa"/>
              <w:bottom w:w="0" w:type="dxa"/>
              <w:right w:w="0" w:type="dxa"/>
            </w:tcMar>
            <w:vAlign w:val="center"/>
          </w:tcPr>
          <w:p w14:paraId="6447373B">
            <w:pPr>
              <w:jc w:val="center"/>
              <w:rPr>
                <w:strike w:val="0"/>
                <w:dstrike w:val="0"/>
                <w:color w:val="auto"/>
                <w:sz w:val="21"/>
                <w:szCs w:val="21"/>
                <w:highlight w:val="none"/>
              </w:rPr>
            </w:pPr>
            <w:r>
              <w:rPr>
                <w:strike w:val="0"/>
                <w:dstrike w:val="0"/>
                <w:color w:val="auto"/>
                <w:sz w:val="21"/>
                <w:szCs w:val="21"/>
                <w:highlight w:val="none"/>
              </w:rPr>
              <w:t>85</w:t>
            </w:r>
          </w:p>
        </w:tc>
        <w:tc>
          <w:tcPr>
            <w:tcW w:w="833" w:type="dxa"/>
            <w:shd w:val="clear" w:color="auto" w:fill="FFFFFF"/>
            <w:tcMar>
              <w:top w:w="0" w:type="dxa"/>
              <w:left w:w="0" w:type="dxa"/>
              <w:bottom w:w="0" w:type="dxa"/>
              <w:right w:w="0" w:type="dxa"/>
            </w:tcMar>
            <w:vAlign w:val="center"/>
          </w:tcPr>
          <w:p w14:paraId="4C8ACAA4">
            <w:pPr>
              <w:pStyle w:val="10"/>
              <w:spacing w:before="0" w:after="0" w:line="240" w:lineRule="auto"/>
              <w:ind w:right="0"/>
              <w:jc w:val="center"/>
              <w:rPr>
                <w:strike w:val="0"/>
                <w:dstrike w:val="0"/>
                <w:color w:val="auto"/>
                <w:sz w:val="21"/>
                <w:szCs w:val="21"/>
                <w:highlight w:val="none"/>
              </w:rPr>
            </w:pPr>
            <w:r>
              <w:rPr>
                <w:strike w:val="0"/>
                <w:dstrike w:val="0"/>
                <w:color w:val="auto"/>
                <w:sz w:val="21"/>
                <w:szCs w:val="21"/>
                <w:highlight w:val="none"/>
              </w:rPr>
              <w:t>建筑隔声</w:t>
            </w:r>
          </w:p>
        </w:tc>
        <w:tc>
          <w:tcPr>
            <w:tcW w:w="625" w:type="dxa"/>
            <w:shd w:val="clear" w:color="auto" w:fill="FFFFFF"/>
            <w:tcMar>
              <w:top w:w="0" w:type="dxa"/>
              <w:left w:w="0" w:type="dxa"/>
              <w:bottom w:w="0" w:type="dxa"/>
              <w:right w:w="0" w:type="dxa"/>
            </w:tcMar>
            <w:vAlign w:val="center"/>
          </w:tcPr>
          <w:p w14:paraId="7C3C8F91">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-20</w:t>
            </w:r>
          </w:p>
        </w:tc>
        <w:tc>
          <w:tcPr>
            <w:tcW w:w="563" w:type="dxa"/>
            <w:shd w:val="clear" w:color="auto" w:fill="FFFFFF"/>
            <w:tcMar>
              <w:top w:w="0" w:type="dxa"/>
              <w:left w:w="0" w:type="dxa"/>
              <w:bottom w:w="0" w:type="dxa"/>
              <w:right w:w="0" w:type="dxa"/>
            </w:tcMar>
            <w:vAlign w:val="center"/>
          </w:tcPr>
          <w:p w14:paraId="321B0AF7">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-25</w:t>
            </w:r>
          </w:p>
        </w:tc>
        <w:tc>
          <w:tcPr>
            <w:tcW w:w="698" w:type="dxa"/>
            <w:shd w:val="clear" w:color="auto" w:fill="FFFFFF"/>
            <w:tcMar>
              <w:top w:w="0" w:type="dxa"/>
              <w:left w:w="0" w:type="dxa"/>
              <w:bottom w:w="0" w:type="dxa"/>
              <w:right w:w="0" w:type="dxa"/>
            </w:tcMar>
            <w:vAlign w:val="center"/>
          </w:tcPr>
          <w:p w14:paraId="152ED1C7">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ascii="Times New Roman" w:hAnsi="Times New Roman" w:eastAsia="宋体" w:cs="Times New Roman"/>
                <w:strike w:val="0"/>
                <w:dstrike w:val="0"/>
                <w:color w:val="auto"/>
                <w:sz w:val="21"/>
                <w:szCs w:val="21"/>
                <w:highlight w:val="none"/>
              </w:rPr>
              <w:t>1.2</w:t>
            </w:r>
          </w:p>
        </w:tc>
        <w:tc>
          <w:tcPr>
            <w:tcW w:w="577" w:type="dxa"/>
            <w:shd w:val="clear" w:color="auto" w:fill="FFFFFF"/>
            <w:tcMar>
              <w:top w:w="0" w:type="dxa"/>
              <w:left w:w="0" w:type="dxa"/>
              <w:bottom w:w="0" w:type="dxa"/>
              <w:right w:w="0" w:type="dxa"/>
            </w:tcMar>
            <w:vAlign w:val="center"/>
          </w:tcPr>
          <w:p w14:paraId="28EA57F1">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45</w:t>
            </w:r>
          </w:p>
        </w:tc>
        <w:tc>
          <w:tcPr>
            <w:tcW w:w="577" w:type="dxa"/>
            <w:shd w:val="clear" w:color="auto" w:fill="FFFFFF"/>
            <w:tcMar>
              <w:top w:w="0" w:type="dxa"/>
              <w:left w:w="0" w:type="dxa"/>
              <w:bottom w:w="0" w:type="dxa"/>
              <w:right w:w="0" w:type="dxa"/>
            </w:tcMar>
            <w:vAlign w:val="center"/>
          </w:tcPr>
          <w:p w14:paraId="5C7C3B8F">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12</w:t>
            </w:r>
          </w:p>
        </w:tc>
        <w:tc>
          <w:tcPr>
            <w:tcW w:w="577" w:type="dxa"/>
            <w:shd w:val="clear" w:color="auto" w:fill="FFFFFF"/>
            <w:tcMar>
              <w:top w:w="0" w:type="dxa"/>
              <w:left w:w="0" w:type="dxa"/>
              <w:bottom w:w="0" w:type="dxa"/>
              <w:right w:w="0" w:type="dxa"/>
            </w:tcMar>
            <w:vAlign w:val="center"/>
          </w:tcPr>
          <w:p w14:paraId="397D9F94">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5</w:t>
            </w:r>
          </w:p>
        </w:tc>
        <w:tc>
          <w:tcPr>
            <w:tcW w:w="578" w:type="dxa"/>
            <w:shd w:val="clear" w:color="auto" w:fill="FFFFFF"/>
            <w:tcMar>
              <w:top w:w="0" w:type="dxa"/>
              <w:left w:w="0" w:type="dxa"/>
              <w:bottom w:w="0" w:type="dxa"/>
              <w:right w:w="0" w:type="dxa"/>
            </w:tcMar>
            <w:vAlign w:val="center"/>
          </w:tcPr>
          <w:p w14:paraId="05943E34">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62</w:t>
            </w:r>
          </w:p>
        </w:tc>
        <w:tc>
          <w:tcPr>
            <w:tcW w:w="569" w:type="dxa"/>
            <w:shd w:val="clear" w:color="auto" w:fill="FFFFFF"/>
            <w:tcMar>
              <w:top w:w="0" w:type="dxa"/>
              <w:left w:w="0" w:type="dxa"/>
              <w:bottom w:w="0" w:type="dxa"/>
              <w:right w:w="0" w:type="dxa"/>
            </w:tcMar>
            <w:vAlign w:val="center"/>
          </w:tcPr>
          <w:p w14:paraId="0B80F92C">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51.9 </w:t>
            </w:r>
          </w:p>
        </w:tc>
        <w:tc>
          <w:tcPr>
            <w:tcW w:w="569" w:type="dxa"/>
            <w:shd w:val="clear" w:color="auto" w:fill="FFFFFF"/>
            <w:tcMar>
              <w:top w:w="0" w:type="dxa"/>
              <w:left w:w="0" w:type="dxa"/>
              <w:bottom w:w="0" w:type="dxa"/>
              <w:right w:w="0" w:type="dxa"/>
            </w:tcMar>
            <w:vAlign w:val="center"/>
          </w:tcPr>
          <w:p w14:paraId="116DB71F">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63.4 </w:t>
            </w:r>
          </w:p>
        </w:tc>
        <w:tc>
          <w:tcPr>
            <w:tcW w:w="569" w:type="dxa"/>
            <w:shd w:val="clear" w:color="auto" w:fill="FFFFFF"/>
            <w:tcMar>
              <w:top w:w="0" w:type="dxa"/>
              <w:left w:w="0" w:type="dxa"/>
              <w:bottom w:w="0" w:type="dxa"/>
              <w:right w:w="0" w:type="dxa"/>
            </w:tcMar>
            <w:vAlign w:val="center"/>
          </w:tcPr>
          <w:p w14:paraId="19843854">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71.0 </w:t>
            </w:r>
          </w:p>
        </w:tc>
        <w:tc>
          <w:tcPr>
            <w:tcW w:w="573" w:type="dxa"/>
            <w:shd w:val="clear" w:color="auto" w:fill="FFFFFF"/>
            <w:tcMar>
              <w:top w:w="0" w:type="dxa"/>
              <w:left w:w="0" w:type="dxa"/>
              <w:bottom w:w="0" w:type="dxa"/>
              <w:right w:w="0" w:type="dxa"/>
            </w:tcMar>
            <w:vAlign w:val="center"/>
          </w:tcPr>
          <w:p w14:paraId="02497B9F">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49.2 </w:t>
            </w:r>
          </w:p>
        </w:tc>
        <w:tc>
          <w:tcPr>
            <w:tcW w:w="878" w:type="dxa"/>
            <w:shd w:val="clear" w:color="auto" w:fill="FFFFFF"/>
            <w:tcMar>
              <w:top w:w="0" w:type="dxa"/>
              <w:left w:w="0" w:type="dxa"/>
              <w:bottom w:w="0" w:type="dxa"/>
              <w:right w:w="0" w:type="dxa"/>
            </w:tcMar>
            <w:vAlign w:val="center"/>
          </w:tcPr>
          <w:p w14:paraId="7AAA6B6E">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昼夜间</w:t>
            </w:r>
          </w:p>
        </w:tc>
        <w:tc>
          <w:tcPr>
            <w:tcW w:w="897" w:type="dxa"/>
            <w:shd w:val="clear" w:color="auto" w:fill="FFFFFF"/>
            <w:tcMar>
              <w:top w:w="0" w:type="dxa"/>
              <w:left w:w="0" w:type="dxa"/>
              <w:bottom w:w="0" w:type="dxa"/>
              <w:right w:w="0" w:type="dxa"/>
            </w:tcMar>
            <w:vAlign w:val="center"/>
          </w:tcPr>
          <w:p w14:paraId="07EBF42E">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15</w:t>
            </w:r>
          </w:p>
        </w:tc>
        <w:tc>
          <w:tcPr>
            <w:tcW w:w="650" w:type="dxa"/>
            <w:shd w:val="clear" w:color="auto" w:fill="FFFFFF"/>
            <w:tcMar>
              <w:top w:w="0" w:type="dxa"/>
              <w:left w:w="0" w:type="dxa"/>
              <w:bottom w:w="0" w:type="dxa"/>
              <w:right w:w="0" w:type="dxa"/>
            </w:tcMar>
            <w:vAlign w:val="center"/>
          </w:tcPr>
          <w:p w14:paraId="187E677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36.9 </w:t>
            </w:r>
          </w:p>
        </w:tc>
        <w:tc>
          <w:tcPr>
            <w:tcW w:w="900" w:type="dxa"/>
            <w:shd w:val="clear" w:color="auto" w:fill="FFFFFF"/>
            <w:tcMar>
              <w:top w:w="0" w:type="dxa"/>
              <w:left w:w="0" w:type="dxa"/>
              <w:bottom w:w="0" w:type="dxa"/>
              <w:right w:w="0" w:type="dxa"/>
            </w:tcMar>
            <w:vAlign w:val="center"/>
          </w:tcPr>
          <w:p w14:paraId="159DD192">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48.4 </w:t>
            </w:r>
          </w:p>
        </w:tc>
        <w:tc>
          <w:tcPr>
            <w:tcW w:w="737" w:type="dxa"/>
            <w:shd w:val="clear" w:color="auto" w:fill="FFFFFF"/>
            <w:tcMar>
              <w:top w:w="0" w:type="dxa"/>
              <w:left w:w="0" w:type="dxa"/>
              <w:bottom w:w="0" w:type="dxa"/>
              <w:right w:w="0" w:type="dxa"/>
            </w:tcMar>
            <w:vAlign w:val="center"/>
          </w:tcPr>
          <w:p w14:paraId="247E7779">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56.0 </w:t>
            </w:r>
          </w:p>
        </w:tc>
        <w:tc>
          <w:tcPr>
            <w:tcW w:w="538" w:type="dxa"/>
            <w:shd w:val="clear" w:color="auto" w:fill="FFFFFF"/>
            <w:tcMar>
              <w:top w:w="0" w:type="dxa"/>
              <w:left w:w="0" w:type="dxa"/>
              <w:bottom w:w="0" w:type="dxa"/>
              <w:right w:w="0" w:type="dxa"/>
            </w:tcMar>
            <w:vAlign w:val="center"/>
          </w:tcPr>
          <w:p w14:paraId="4BAA9C8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34.2 </w:t>
            </w:r>
          </w:p>
        </w:tc>
        <w:tc>
          <w:tcPr>
            <w:tcW w:w="737" w:type="dxa"/>
            <w:shd w:val="clear" w:color="auto" w:fill="FFFFFF"/>
            <w:tcMar>
              <w:top w:w="0" w:type="dxa"/>
              <w:left w:w="0" w:type="dxa"/>
              <w:bottom w:w="0" w:type="dxa"/>
              <w:right w:w="0" w:type="dxa"/>
            </w:tcMar>
            <w:vAlign w:val="center"/>
          </w:tcPr>
          <w:p w14:paraId="3D845EF6">
            <w:pPr>
              <w:jc w:val="center"/>
              <w:rPr>
                <w:strike w:val="0"/>
                <w:dstrike w:val="0"/>
                <w:color w:val="auto"/>
                <w:sz w:val="21"/>
                <w:szCs w:val="21"/>
                <w:highlight w:val="none"/>
              </w:rPr>
            </w:pPr>
            <w:r>
              <w:rPr>
                <w:strike w:val="0"/>
                <w:dstrike w:val="0"/>
                <w:color w:val="auto"/>
                <w:sz w:val="21"/>
                <w:szCs w:val="21"/>
                <w:highlight w:val="none"/>
              </w:rPr>
              <w:t>1</w:t>
            </w:r>
          </w:p>
        </w:tc>
      </w:tr>
      <w:bookmarkEnd w:id="113"/>
      <w:tr w14:paraId="7069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9" w:hRule="atLeast"/>
          <w:jc w:val="center"/>
        </w:trPr>
        <w:tc>
          <w:tcPr>
            <w:tcW w:w="439" w:type="dxa"/>
            <w:shd w:val="clear" w:color="auto" w:fill="FFFFFF"/>
            <w:vAlign w:val="center"/>
          </w:tcPr>
          <w:p w14:paraId="23EFD48C">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3</w:t>
            </w:r>
          </w:p>
        </w:tc>
        <w:tc>
          <w:tcPr>
            <w:tcW w:w="677" w:type="dxa"/>
            <w:shd w:val="clear" w:color="auto" w:fill="FFFFFF"/>
            <w:vAlign w:val="center"/>
          </w:tcPr>
          <w:p w14:paraId="3A64F71D">
            <w:pPr>
              <w:jc w:val="center"/>
              <w:rPr>
                <w:strike w:val="0"/>
                <w:dstrike w:val="0"/>
                <w:color w:val="auto"/>
                <w:sz w:val="21"/>
                <w:szCs w:val="21"/>
                <w:highlight w:val="none"/>
              </w:rPr>
            </w:pPr>
            <w:r>
              <w:rPr>
                <w:strike w:val="0"/>
                <w:dstrike w:val="0"/>
                <w:color w:val="auto"/>
                <w:sz w:val="21"/>
                <w:szCs w:val="21"/>
                <w:highlight w:val="none"/>
              </w:rPr>
              <w:t>储油罐区</w:t>
            </w:r>
          </w:p>
        </w:tc>
        <w:tc>
          <w:tcPr>
            <w:tcW w:w="583" w:type="dxa"/>
            <w:shd w:val="clear" w:color="auto" w:fill="FFFFFF"/>
            <w:vAlign w:val="center"/>
          </w:tcPr>
          <w:p w14:paraId="255DF902">
            <w:pPr>
              <w:jc w:val="center"/>
              <w:rPr>
                <w:strike w:val="0"/>
                <w:dstrike w:val="0"/>
                <w:color w:val="auto"/>
                <w:sz w:val="21"/>
                <w:szCs w:val="21"/>
                <w:highlight w:val="none"/>
              </w:rPr>
            </w:pPr>
            <w:r>
              <w:rPr>
                <w:strike w:val="0"/>
                <w:dstrike w:val="0"/>
                <w:color w:val="auto"/>
                <w:sz w:val="21"/>
                <w:szCs w:val="21"/>
                <w:highlight w:val="none"/>
              </w:rPr>
              <w:t>潜油泵</w:t>
            </w:r>
          </w:p>
        </w:tc>
        <w:tc>
          <w:tcPr>
            <w:tcW w:w="453" w:type="dxa"/>
            <w:shd w:val="clear" w:color="auto" w:fill="FFFFFF"/>
            <w:vAlign w:val="center"/>
          </w:tcPr>
          <w:p w14:paraId="5FD7C777">
            <w:pPr>
              <w:jc w:val="center"/>
              <w:rPr>
                <w:strike w:val="0"/>
                <w:dstrike w:val="0"/>
                <w:color w:val="auto"/>
                <w:sz w:val="21"/>
                <w:szCs w:val="21"/>
                <w:highlight w:val="none"/>
              </w:rPr>
            </w:pPr>
            <w:r>
              <w:rPr>
                <w:strike w:val="0"/>
                <w:dstrike w:val="0"/>
                <w:color w:val="auto"/>
                <w:sz w:val="21"/>
                <w:szCs w:val="21"/>
                <w:highlight w:val="none"/>
              </w:rPr>
              <w:t>/</w:t>
            </w:r>
          </w:p>
        </w:tc>
        <w:tc>
          <w:tcPr>
            <w:tcW w:w="740" w:type="dxa"/>
            <w:shd w:val="clear" w:color="auto" w:fill="FFFFFF"/>
            <w:vAlign w:val="center"/>
          </w:tcPr>
          <w:p w14:paraId="4721C290">
            <w:pPr>
              <w:jc w:val="center"/>
              <w:rPr>
                <w:strike w:val="0"/>
                <w:dstrike w:val="0"/>
                <w:color w:val="auto"/>
                <w:sz w:val="21"/>
                <w:szCs w:val="21"/>
                <w:highlight w:val="none"/>
              </w:rPr>
            </w:pPr>
            <w:r>
              <w:rPr>
                <w:strike w:val="0"/>
                <w:dstrike w:val="0"/>
                <w:color w:val="auto"/>
                <w:sz w:val="21"/>
                <w:szCs w:val="21"/>
                <w:highlight w:val="none"/>
              </w:rPr>
              <w:t>70</w:t>
            </w:r>
          </w:p>
        </w:tc>
        <w:tc>
          <w:tcPr>
            <w:tcW w:w="833" w:type="dxa"/>
            <w:shd w:val="clear" w:color="auto" w:fill="FFFFFF"/>
            <w:vAlign w:val="center"/>
          </w:tcPr>
          <w:p w14:paraId="3114F1D9">
            <w:pPr>
              <w:widowControl/>
              <w:jc w:val="center"/>
              <w:rPr>
                <w:strike w:val="0"/>
                <w:dstrike w:val="0"/>
                <w:color w:val="auto"/>
                <w:sz w:val="21"/>
                <w:szCs w:val="21"/>
                <w:highlight w:val="none"/>
              </w:rPr>
            </w:pPr>
            <w:r>
              <w:rPr>
                <w:strike w:val="0"/>
                <w:dstrike w:val="0"/>
                <w:color w:val="auto"/>
                <w:kern w:val="0"/>
                <w:sz w:val="21"/>
                <w:szCs w:val="21"/>
                <w:highlight w:val="none"/>
                <w:lang w:bidi="ar"/>
              </w:rPr>
              <w:t>选低噪声设备</w:t>
            </w:r>
          </w:p>
        </w:tc>
        <w:tc>
          <w:tcPr>
            <w:tcW w:w="625" w:type="dxa"/>
            <w:shd w:val="clear" w:color="auto" w:fill="FFFFFF"/>
            <w:vAlign w:val="center"/>
          </w:tcPr>
          <w:p w14:paraId="36BE470F">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13</w:t>
            </w:r>
          </w:p>
        </w:tc>
        <w:tc>
          <w:tcPr>
            <w:tcW w:w="563" w:type="dxa"/>
            <w:shd w:val="clear" w:color="auto" w:fill="FFFFFF"/>
            <w:vAlign w:val="center"/>
          </w:tcPr>
          <w:p w14:paraId="3474290F">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27</w:t>
            </w:r>
          </w:p>
        </w:tc>
        <w:tc>
          <w:tcPr>
            <w:tcW w:w="698" w:type="dxa"/>
            <w:shd w:val="clear" w:color="auto" w:fill="FFFFFF"/>
            <w:vAlign w:val="center"/>
          </w:tcPr>
          <w:p w14:paraId="13F21B54">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w:t>
            </w:r>
            <w:r>
              <w:rPr>
                <w:rFonts w:ascii="Times New Roman" w:hAnsi="Times New Roman" w:eastAsia="宋体" w:cs="Times New Roman"/>
                <w:strike w:val="0"/>
                <w:dstrike w:val="0"/>
                <w:color w:val="auto"/>
                <w:sz w:val="21"/>
                <w:szCs w:val="21"/>
                <w:highlight w:val="none"/>
              </w:rPr>
              <w:t>0</w:t>
            </w:r>
            <w:r>
              <w:rPr>
                <w:rFonts w:hint="eastAsia" w:ascii="Times New Roman" w:hAnsi="Times New Roman" w:eastAsia="宋体" w:cs="Times New Roman"/>
                <w:strike w:val="0"/>
                <w:dstrike w:val="0"/>
                <w:color w:val="auto"/>
                <w:sz w:val="21"/>
                <w:szCs w:val="21"/>
                <w:highlight w:val="none"/>
                <w:lang w:val="en-US" w:eastAsia="zh-CN"/>
              </w:rPr>
              <w:t>.5</w:t>
            </w:r>
          </w:p>
        </w:tc>
        <w:tc>
          <w:tcPr>
            <w:tcW w:w="577" w:type="dxa"/>
            <w:shd w:val="clear" w:color="auto" w:fill="FFFFFF"/>
            <w:vAlign w:val="center"/>
          </w:tcPr>
          <w:p w14:paraId="1083331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12</w:t>
            </w:r>
          </w:p>
        </w:tc>
        <w:tc>
          <w:tcPr>
            <w:tcW w:w="577" w:type="dxa"/>
            <w:shd w:val="clear" w:color="auto" w:fill="FFFFFF"/>
            <w:vAlign w:val="center"/>
          </w:tcPr>
          <w:p w14:paraId="5F28C81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64</w:t>
            </w:r>
          </w:p>
        </w:tc>
        <w:tc>
          <w:tcPr>
            <w:tcW w:w="577" w:type="dxa"/>
            <w:shd w:val="clear" w:color="auto" w:fill="FFFFFF"/>
            <w:vAlign w:val="center"/>
          </w:tcPr>
          <w:p w14:paraId="10CA4989">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38</w:t>
            </w:r>
          </w:p>
        </w:tc>
        <w:tc>
          <w:tcPr>
            <w:tcW w:w="578" w:type="dxa"/>
            <w:shd w:val="clear" w:color="auto" w:fill="FFFFFF"/>
            <w:vAlign w:val="center"/>
          </w:tcPr>
          <w:p w14:paraId="6ED293FC">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10</w:t>
            </w:r>
          </w:p>
        </w:tc>
        <w:tc>
          <w:tcPr>
            <w:tcW w:w="569" w:type="dxa"/>
            <w:shd w:val="clear" w:color="auto" w:fill="FFFFFF"/>
            <w:vAlign w:val="center"/>
          </w:tcPr>
          <w:p w14:paraId="5CD2EDE0">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48.4 </w:t>
            </w:r>
          </w:p>
        </w:tc>
        <w:tc>
          <w:tcPr>
            <w:tcW w:w="569" w:type="dxa"/>
            <w:shd w:val="clear" w:color="auto" w:fill="FFFFFF"/>
            <w:vAlign w:val="center"/>
          </w:tcPr>
          <w:p w14:paraId="616B402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33.9 </w:t>
            </w:r>
          </w:p>
        </w:tc>
        <w:tc>
          <w:tcPr>
            <w:tcW w:w="569" w:type="dxa"/>
            <w:shd w:val="clear" w:color="auto" w:fill="FFFFFF"/>
            <w:vAlign w:val="center"/>
          </w:tcPr>
          <w:p w14:paraId="5B6761A2">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38.4 </w:t>
            </w:r>
          </w:p>
        </w:tc>
        <w:tc>
          <w:tcPr>
            <w:tcW w:w="573" w:type="dxa"/>
            <w:shd w:val="clear" w:color="auto" w:fill="FFFFFF"/>
            <w:vAlign w:val="center"/>
          </w:tcPr>
          <w:p w14:paraId="66D3A8B6">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50.0 </w:t>
            </w:r>
          </w:p>
        </w:tc>
        <w:tc>
          <w:tcPr>
            <w:tcW w:w="878" w:type="dxa"/>
            <w:shd w:val="clear" w:color="auto" w:fill="FFFFFF"/>
            <w:vAlign w:val="center"/>
          </w:tcPr>
          <w:p w14:paraId="51E74CB8">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昼夜间</w:t>
            </w:r>
          </w:p>
        </w:tc>
        <w:tc>
          <w:tcPr>
            <w:tcW w:w="897" w:type="dxa"/>
            <w:shd w:val="clear" w:color="auto" w:fill="FFFFFF"/>
            <w:vAlign w:val="center"/>
          </w:tcPr>
          <w:p w14:paraId="1B1441B3">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20</w:t>
            </w:r>
          </w:p>
        </w:tc>
        <w:tc>
          <w:tcPr>
            <w:tcW w:w="650" w:type="dxa"/>
            <w:shd w:val="clear" w:color="auto" w:fill="FFFFFF"/>
            <w:vAlign w:val="center"/>
          </w:tcPr>
          <w:p w14:paraId="341246B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33.4 </w:t>
            </w:r>
          </w:p>
        </w:tc>
        <w:tc>
          <w:tcPr>
            <w:tcW w:w="900" w:type="dxa"/>
            <w:shd w:val="clear" w:color="auto" w:fill="FFFFFF"/>
            <w:vAlign w:val="center"/>
          </w:tcPr>
          <w:p w14:paraId="4E81E30A">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18.9 </w:t>
            </w:r>
          </w:p>
        </w:tc>
        <w:tc>
          <w:tcPr>
            <w:tcW w:w="737" w:type="dxa"/>
            <w:shd w:val="clear" w:color="auto" w:fill="FFFFFF"/>
            <w:vAlign w:val="center"/>
          </w:tcPr>
          <w:p w14:paraId="7A2B4FBC">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23.4 </w:t>
            </w:r>
          </w:p>
        </w:tc>
        <w:tc>
          <w:tcPr>
            <w:tcW w:w="538" w:type="dxa"/>
            <w:shd w:val="clear" w:color="auto" w:fill="FFFFFF"/>
            <w:vAlign w:val="center"/>
          </w:tcPr>
          <w:p w14:paraId="32F1D64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35.0 </w:t>
            </w:r>
          </w:p>
        </w:tc>
        <w:tc>
          <w:tcPr>
            <w:tcW w:w="737" w:type="dxa"/>
            <w:shd w:val="clear" w:color="auto" w:fill="FFFFFF"/>
            <w:vAlign w:val="center"/>
          </w:tcPr>
          <w:p w14:paraId="1A13D161">
            <w:pPr>
              <w:jc w:val="center"/>
              <w:rPr>
                <w:strike w:val="0"/>
                <w:dstrike w:val="0"/>
                <w:color w:val="auto"/>
                <w:sz w:val="21"/>
                <w:szCs w:val="21"/>
                <w:highlight w:val="none"/>
              </w:rPr>
            </w:pPr>
            <w:r>
              <w:rPr>
                <w:strike w:val="0"/>
                <w:dstrike w:val="0"/>
                <w:color w:val="auto"/>
                <w:sz w:val="21"/>
                <w:szCs w:val="21"/>
                <w:highlight w:val="none"/>
              </w:rPr>
              <w:t>1</w:t>
            </w:r>
          </w:p>
        </w:tc>
      </w:tr>
      <w:tr w14:paraId="7E07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9" w:hRule="atLeast"/>
          <w:jc w:val="center"/>
        </w:trPr>
        <w:tc>
          <w:tcPr>
            <w:tcW w:w="439" w:type="dxa"/>
            <w:shd w:val="clear" w:color="auto" w:fill="FFFFFF"/>
            <w:vAlign w:val="center"/>
          </w:tcPr>
          <w:p w14:paraId="36BB9B3D">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4</w:t>
            </w:r>
          </w:p>
        </w:tc>
        <w:tc>
          <w:tcPr>
            <w:tcW w:w="677" w:type="dxa"/>
            <w:shd w:val="clear" w:color="auto" w:fill="FFFFFF"/>
            <w:vAlign w:val="center"/>
          </w:tcPr>
          <w:p w14:paraId="5F1813C6">
            <w:pPr>
              <w:jc w:val="center"/>
              <w:rPr>
                <w:strike w:val="0"/>
                <w:dstrike w:val="0"/>
                <w:color w:val="auto"/>
                <w:sz w:val="21"/>
                <w:szCs w:val="21"/>
                <w:highlight w:val="none"/>
              </w:rPr>
            </w:pPr>
            <w:r>
              <w:rPr>
                <w:strike w:val="0"/>
                <w:dstrike w:val="0"/>
                <w:color w:val="auto"/>
                <w:sz w:val="21"/>
                <w:szCs w:val="21"/>
                <w:highlight w:val="none"/>
              </w:rPr>
              <w:t>储油罐区</w:t>
            </w:r>
          </w:p>
        </w:tc>
        <w:tc>
          <w:tcPr>
            <w:tcW w:w="583" w:type="dxa"/>
            <w:shd w:val="clear" w:color="auto" w:fill="FFFFFF"/>
            <w:vAlign w:val="center"/>
          </w:tcPr>
          <w:p w14:paraId="0D237501">
            <w:pPr>
              <w:jc w:val="center"/>
              <w:rPr>
                <w:strike w:val="0"/>
                <w:dstrike w:val="0"/>
                <w:color w:val="auto"/>
                <w:sz w:val="21"/>
                <w:szCs w:val="21"/>
                <w:highlight w:val="none"/>
              </w:rPr>
            </w:pPr>
            <w:r>
              <w:rPr>
                <w:strike w:val="0"/>
                <w:dstrike w:val="0"/>
                <w:color w:val="auto"/>
                <w:sz w:val="21"/>
                <w:szCs w:val="21"/>
                <w:highlight w:val="none"/>
              </w:rPr>
              <w:t>潜油泵</w:t>
            </w:r>
          </w:p>
        </w:tc>
        <w:tc>
          <w:tcPr>
            <w:tcW w:w="453" w:type="dxa"/>
            <w:shd w:val="clear" w:color="auto" w:fill="FFFFFF"/>
            <w:vAlign w:val="center"/>
          </w:tcPr>
          <w:p w14:paraId="2C304C7B">
            <w:pPr>
              <w:jc w:val="center"/>
              <w:rPr>
                <w:strike w:val="0"/>
                <w:dstrike w:val="0"/>
                <w:color w:val="auto"/>
                <w:sz w:val="21"/>
                <w:szCs w:val="21"/>
                <w:highlight w:val="none"/>
              </w:rPr>
            </w:pPr>
            <w:r>
              <w:rPr>
                <w:strike w:val="0"/>
                <w:dstrike w:val="0"/>
                <w:color w:val="auto"/>
                <w:sz w:val="21"/>
                <w:szCs w:val="21"/>
                <w:highlight w:val="none"/>
              </w:rPr>
              <w:t>/</w:t>
            </w:r>
          </w:p>
        </w:tc>
        <w:tc>
          <w:tcPr>
            <w:tcW w:w="740" w:type="dxa"/>
            <w:shd w:val="clear" w:color="auto" w:fill="FFFFFF"/>
            <w:vAlign w:val="center"/>
          </w:tcPr>
          <w:p w14:paraId="3BDF4A8D">
            <w:pPr>
              <w:jc w:val="center"/>
              <w:rPr>
                <w:strike w:val="0"/>
                <w:dstrike w:val="0"/>
                <w:color w:val="auto"/>
                <w:sz w:val="21"/>
                <w:szCs w:val="21"/>
                <w:highlight w:val="none"/>
              </w:rPr>
            </w:pPr>
            <w:r>
              <w:rPr>
                <w:strike w:val="0"/>
                <w:dstrike w:val="0"/>
                <w:color w:val="auto"/>
                <w:sz w:val="21"/>
                <w:szCs w:val="21"/>
                <w:highlight w:val="none"/>
              </w:rPr>
              <w:t>70</w:t>
            </w:r>
          </w:p>
        </w:tc>
        <w:tc>
          <w:tcPr>
            <w:tcW w:w="833" w:type="dxa"/>
            <w:shd w:val="clear" w:color="auto" w:fill="FFFFFF"/>
            <w:vAlign w:val="center"/>
          </w:tcPr>
          <w:p w14:paraId="19DC592A">
            <w:pPr>
              <w:widowControl/>
              <w:jc w:val="center"/>
              <w:rPr>
                <w:strike w:val="0"/>
                <w:dstrike w:val="0"/>
                <w:color w:val="auto"/>
                <w:sz w:val="21"/>
                <w:szCs w:val="21"/>
                <w:highlight w:val="none"/>
              </w:rPr>
            </w:pPr>
            <w:r>
              <w:rPr>
                <w:strike w:val="0"/>
                <w:dstrike w:val="0"/>
                <w:color w:val="auto"/>
                <w:kern w:val="0"/>
                <w:sz w:val="21"/>
                <w:szCs w:val="21"/>
                <w:highlight w:val="none"/>
                <w:lang w:bidi="ar"/>
              </w:rPr>
              <w:t>选低噪声设备</w:t>
            </w:r>
          </w:p>
        </w:tc>
        <w:tc>
          <w:tcPr>
            <w:tcW w:w="625" w:type="dxa"/>
            <w:shd w:val="clear" w:color="auto" w:fill="FFFFFF"/>
            <w:vAlign w:val="center"/>
          </w:tcPr>
          <w:p w14:paraId="3483EF8D">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11</w:t>
            </w:r>
          </w:p>
        </w:tc>
        <w:tc>
          <w:tcPr>
            <w:tcW w:w="563" w:type="dxa"/>
            <w:shd w:val="clear" w:color="auto" w:fill="FFFFFF"/>
            <w:vAlign w:val="center"/>
          </w:tcPr>
          <w:p w14:paraId="21D3BEC3">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33</w:t>
            </w:r>
          </w:p>
        </w:tc>
        <w:tc>
          <w:tcPr>
            <w:tcW w:w="698" w:type="dxa"/>
            <w:shd w:val="clear" w:color="auto" w:fill="FFFFFF"/>
            <w:vAlign w:val="center"/>
          </w:tcPr>
          <w:p w14:paraId="56D4A0EB">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w:t>
            </w:r>
            <w:r>
              <w:rPr>
                <w:rFonts w:ascii="Times New Roman" w:hAnsi="Times New Roman" w:eastAsia="宋体" w:cs="Times New Roman"/>
                <w:strike w:val="0"/>
                <w:dstrike w:val="0"/>
                <w:color w:val="auto"/>
                <w:sz w:val="21"/>
                <w:szCs w:val="21"/>
                <w:highlight w:val="none"/>
              </w:rPr>
              <w:t>0</w:t>
            </w:r>
            <w:r>
              <w:rPr>
                <w:rFonts w:hint="eastAsia" w:ascii="Times New Roman" w:hAnsi="Times New Roman" w:eastAsia="宋体" w:cs="Times New Roman"/>
                <w:strike w:val="0"/>
                <w:dstrike w:val="0"/>
                <w:color w:val="auto"/>
                <w:sz w:val="21"/>
                <w:szCs w:val="21"/>
                <w:highlight w:val="none"/>
                <w:lang w:val="en-US" w:eastAsia="zh-CN"/>
              </w:rPr>
              <w:t>.5</w:t>
            </w:r>
          </w:p>
        </w:tc>
        <w:tc>
          <w:tcPr>
            <w:tcW w:w="577" w:type="dxa"/>
            <w:shd w:val="clear" w:color="auto" w:fill="FFFFFF"/>
            <w:vAlign w:val="center"/>
          </w:tcPr>
          <w:p w14:paraId="4027876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14</w:t>
            </w:r>
          </w:p>
        </w:tc>
        <w:tc>
          <w:tcPr>
            <w:tcW w:w="577" w:type="dxa"/>
            <w:shd w:val="clear" w:color="auto" w:fill="FFFFFF"/>
            <w:vAlign w:val="center"/>
          </w:tcPr>
          <w:p w14:paraId="4B4182F7">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70</w:t>
            </w:r>
          </w:p>
        </w:tc>
        <w:tc>
          <w:tcPr>
            <w:tcW w:w="577" w:type="dxa"/>
            <w:shd w:val="clear" w:color="auto" w:fill="FFFFFF"/>
            <w:vAlign w:val="center"/>
          </w:tcPr>
          <w:p w14:paraId="076A449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36</w:t>
            </w:r>
          </w:p>
        </w:tc>
        <w:tc>
          <w:tcPr>
            <w:tcW w:w="578" w:type="dxa"/>
            <w:shd w:val="clear" w:color="auto" w:fill="FFFFFF"/>
            <w:vAlign w:val="center"/>
          </w:tcPr>
          <w:p w14:paraId="5C430E92">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4</w:t>
            </w:r>
          </w:p>
        </w:tc>
        <w:tc>
          <w:tcPr>
            <w:tcW w:w="569" w:type="dxa"/>
            <w:shd w:val="clear" w:color="auto" w:fill="FFFFFF"/>
            <w:vAlign w:val="center"/>
          </w:tcPr>
          <w:p w14:paraId="58628D53">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47.1 </w:t>
            </w:r>
          </w:p>
        </w:tc>
        <w:tc>
          <w:tcPr>
            <w:tcW w:w="569" w:type="dxa"/>
            <w:shd w:val="clear" w:color="auto" w:fill="FFFFFF"/>
            <w:vAlign w:val="center"/>
          </w:tcPr>
          <w:p w14:paraId="6998886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33.1 </w:t>
            </w:r>
          </w:p>
        </w:tc>
        <w:tc>
          <w:tcPr>
            <w:tcW w:w="569" w:type="dxa"/>
            <w:shd w:val="clear" w:color="auto" w:fill="FFFFFF"/>
            <w:vAlign w:val="center"/>
          </w:tcPr>
          <w:p w14:paraId="56227FD5">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38.9 </w:t>
            </w:r>
          </w:p>
        </w:tc>
        <w:tc>
          <w:tcPr>
            <w:tcW w:w="573" w:type="dxa"/>
            <w:shd w:val="clear" w:color="auto" w:fill="FFFFFF"/>
            <w:vAlign w:val="center"/>
          </w:tcPr>
          <w:p w14:paraId="4C60A230">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58.0 </w:t>
            </w:r>
          </w:p>
        </w:tc>
        <w:tc>
          <w:tcPr>
            <w:tcW w:w="878" w:type="dxa"/>
            <w:shd w:val="clear" w:color="auto" w:fill="FFFFFF"/>
            <w:vAlign w:val="center"/>
          </w:tcPr>
          <w:p w14:paraId="1105C885">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昼夜间</w:t>
            </w:r>
          </w:p>
        </w:tc>
        <w:tc>
          <w:tcPr>
            <w:tcW w:w="897" w:type="dxa"/>
            <w:shd w:val="clear" w:color="auto" w:fill="FFFFFF"/>
            <w:vAlign w:val="center"/>
          </w:tcPr>
          <w:p w14:paraId="6FCC8E89">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20</w:t>
            </w:r>
          </w:p>
        </w:tc>
        <w:tc>
          <w:tcPr>
            <w:tcW w:w="650" w:type="dxa"/>
            <w:shd w:val="clear" w:color="auto" w:fill="FFFFFF"/>
            <w:vAlign w:val="center"/>
          </w:tcPr>
          <w:p w14:paraId="2A44735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32.1 </w:t>
            </w:r>
          </w:p>
        </w:tc>
        <w:tc>
          <w:tcPr>
            <w:tcW w:w="900" w:type="dxa"/>
            <w:shd w:val="clear" w:color="auto" w:fill="FFFFFF"/>
            <w:vAlign w:val="center"/>
          </w:tcPr>
          <w:p w14:paraId="4060FC4C">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18.1 </w:t>
            </w:r>
          </w:p>
        </w:tc>
        <w:tc>
          <w:tcPr>
            <w:tcW w:w="737" w:type="dxa"/>
            <w:shd w:val="clear" w:color="auto" w:fill="FFFFFF"/>
            <w:vAlign w:val="center"/>
          </w:tcPr>
          <w:p w14:paraId="3DBE43B3">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23.9 </w:t>
            </w:r>
          </w:p>
        </w:tc>
        <w:tc>
          <w:tcPr>
            <w:tcW w:w="538" w:type="dxa"/>
            <w:shd w:val="clear" w:color="auto" w:fill="FFFFFF"/>
            <w:vAlign w:val="center"/>
          </w:tcPr>
          <w:p w14:paraId="7D95E70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43.0 </w:t>
            </w:r>
          </w:p>
        </w:tc>
        <w:tc>
          <w:tcPr>
            <w:tcW w:w="737" w:type="dxa"/>
            <w:shd w:val="clear" w:color="auto" w:fill="FFFFFF"/>
            <w:vAlign w:val="center"/>
          </w:tcPr>
          <w:p w14:paraId="4111277E">
            <w:pPr>
              <w:jc w:val="center"/>
              <w:rPr>
                <w:strike w:val="0"/>
                <w:dstrike w:val="0"/>
                <w:color w:val="auto"/>
                <w:sz w:val="21"/>
                <w:szCs w:val="21"/>
                <w:highlight w:val="none"/>
              </w:rPr>
            </w:pPr>
            <w:r>
              <w:rPr>
                <w:strike w:val="0"/>
                <w:dstrike w:val="0"/>
                <w:color w:val="auto"/>
                <w:sz w:val="21"/>
                <w:szCs w:val="21"/>
                <w:highlight w:val="none"/>
              </w:rPr>
              <w:t>1</w:t>
            </w:r>
          </w:p>
        </w:tc>
      </w:tr>
      <w:tr w14:paraId="33A3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9" w:hRule="atLeast"/>
          <w:jc w:val="center"/>
        </w:trPr>
        <w:tc>
          <w:tcPr>
            <w:tcW w:w="439" w:type="dxa"/>
            <w:shd w:val="clear" w:color="auto" w:fill="FFFFFF"/>
            <w:vAlign w:val="center"/>
          </w:tcPr>
          <w:p w14:paraId="391DC593">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5</w:t>
            </w:r>
          </w:p>
        </w:tc>
        <w:tc>
          <w:tcPr>
            <w:tcW w:w="677" w:type="dxa"/>
            <w:shd w:val="clear" w:color="auto" w:fill="FFFFFF"/>
            <w:vAlign w:val="center"/>
          </w:tcPr>
          <w:p w14:paraId="7135A198">
            <w:pPr>
              <w:jc w:val="center"/>
              <w:rPr>
                <w:strike w:val="0"/>
                <w:dstrike w:val="0"/>
                <w:color w:val="auto"/>
                <w:sz w:val="21"/>
                <w:szCs w:val="21"/>
                <w:highlight w:val="none"/>
              </w:rPr>
            </w:pPr>
            <w:r>
              <w:rPr>
                <w:strike w:val="0"/>
                <w:dstrike w:val="0"/>
                <w:color w:val="auto"/>
                <w:sz w:val="21"/>
                <w:szCs w:val="21"/>
                <w:highlight w:val="none"/>
              </w:rPr>
              <w:t>储油罐区</w:t>
            </w:r>
          </w:p>
        </w:tc>
        <w:tc>
          <w:tcPr>
            <w:tcW w:w="583" w:type="dxa"/>
            <w:shd w:val="clear" w:color="auto" w:fill="FFFFFF"/>
            <w:vAlign w:val="center"/>
          </w:tcPr>
          <w:p w14:paraId="50BC5A16">
            <w:pPr>
              <w:jc w:val="center"/>
              <w:rPr>
                <w:strike w:val="0"/>
                <w:dstrike w:val="0"/>
                <w:color w:val="auto"/>
                <w:sz w:val="21"/>
                <w:szCs w:val="21"/>
                <w:highlight w:val="none"/>
              </w:rPr>
            </w:pPr>
            <w:r>
              <w:rPr>
                <w:strike w:val="0"/>
                <w:dstrike w:val="0"/>
                <w:color w:val="auto"/>
                <w:sz w:val="21"/>
                <w:szCs w:val="21"/>
                <w:highlight w:val="none"/>
              </w:rPr>
              <w:t>潜油泵</w:t>
            </w:r>
          </w:p>
        </w:tc>
        <w:tc>
          <w:tcPr>
            <w:tcW w:w="453" w:type="dxa"/>
            <w:shd w:val="clear" w:color="auto" w:fill="FFFFFF"/>
            <w:vAlign w:val="center"/>
          </w:tcPr>
          <w:p w14:paraId="1BC6D367">
            <w:pPr>
              <w:jc w:val="center"/>
              <w:rPr>
                <w:strike w:val="0"/>
                <w:dstrike w:val="0"/>
                <w:color w:val="auto"/>
                <w:sz w:val="21"/>
                <w:szCs w:val="21"/>
                <w:highlight w:val="none"/>
              </w:rPr>
            </w:pPr>
            <w:r>
              <w:rPr>
                <w:strike w:val="0"/>
                <w:dstrike w:val="0"/>
                <w:color w:val="auto"/>
                <w:sz w:val="21"/>
                <w:szCs w:val="21"/>
                <w:highlight w:val="none"/>
              </w:rPr>
              <w:t>/</w:t>
            </w:r>
          </w:p>
        </w:tc>
        <w:tc>
          <w:tcPr>
            <w:tcW w:w="740" w:type="dxa"/>
            <w:shd w:val="clear" w:color="auto" w:fill="FFFFFF"/>
            <w:vAlign w:val="center"/>
          </w:tcPr>
          <w:p w14:paraId="0863498C">
            <w:pPr>
              <w:jc w:val="center"/>
              <w:rPr>
                <w:strike w:val="0"/>
                <w:dstrike w:val="0"/>
                <w:color w:val="auto"/>
                <w:sz w:val="21"/>
                <w:szCs w:val="21"/>
                <w:highlight w:val="none"/>
              </w:rPr>
            </w:pPr>
            <w:r>
              <w:rPr>
                <w:strike w:val="0"/>
                <w:dstrike w:val="0"/>
                <w:color w:val="auto"/>
                <w:sz w:val="21"/>
                <w:szCs w:val="21"/>
                <w:highlight w:val="none"/>
              </w:rPr>
              <w:t>70</w:t>
            </w:r>
          </w:p>
        </w:tc>
        <w:tc>
          <w:tcPr>
            <w:tcW w:w="833" w:type="dxa"/>
            <w:shd w:val="clear" w:color="auto" w:fill="FFFFFF"/>
            <w:vAlign w:val="center"/>
          </w:tcPr>
          <w:p w14:paraId="6B12576A">
            <w:pPr>
              <w:widowControl/>
              <w:jc w:val="center"/>
              <w:rPr>
                <w:strike w:val="0"/>
                <w:dstrike w:val="0"/>
                <w:color w:val="auto"/>
                <w:sz w:val="21"/>
                <w:szCs w:val="21"/>
                <w:highlight w:val="none"/>
              </w:rPr>
            </w:pPr>
            <w:r>
              <w:rPr>
                <w:strike w:val="0"/>
                <w:dstrike w:val="0"/>
                <w:color w:val="auto"/>
                <w:kern w:val="0"/>
                <w:sz w:val="21"/>
                <w:szCs w:val="21"/>
                <w:highlight w:val="none"/>
                <w:lang w:bidi="ar"/>
              </w:rPr>
              <w:t>选低噪声设备</w:t>
            </w:r>
          </w:p>
        </w:tc>
        <w:tc>
          <w:tcPr>
            <w:tcW w:w="625" w:type="dxa"/>
            <w:shd w:val="clear" w:color="auto" w:fill="FFFFFF"/>
            <w:vAlign w:val="center"/>
          </w:tcPr>
          <w:p w14:paraId="1D446E9F">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14</w:t>
            </w:r>
          </w:p>
        </w:tc>
        <w:tc>
          <w:tcPr>
            <w:tcW w:w="563" w:type="dxa"/>
            <w:shd w:val="clear" w:color="auto" w:fill="FFFFFF"/>
            <w:vAlign w:val="center"/>
          </w:tcPr>
          <w:p w14:paraId="670D03D2">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31</w:t>
            </w:r>
          </w:p>
        </w:tc>
        <w:tc>
          <w:tcPr>
            <w:tcW w:w="698" w:type="dxa"/>
            <w:shd w:val="clear" w:color="auto" w:fill="FFFFFF"/>
            <w:vAlign w:val="center"/>
          </w:tcPr>
          <w:p w14:paraId="6B5F8808">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w:t>
            </w:r>
            <w:r>
              <w:rPr>
                <w:rFonts w:ascii="Times New Roman" w:hAnsi="Times New Roman" w:eastAsia="宋体" w:cs="Times New Roman"/>
                <w:strike w:val="0"/>
                <w:dstrike w:val="0"/>
                <w:color w:val="auto"/>
                <w:sz w:val="21"/>
                <w:szCs w:val="21"/>
                <w:highlight w:val="none"/>
              </w:rPr>
              <w:t>0</w:t>
            </w:r>
            <w:r>
              <w:rPr>
                <w:rFonts w:hint="eastAsia" w:ascii="Times New Roman" w:hAnsi="Times New Roman" w:eastAsia="宋体" w:cs="Times New Roman"/>
                <w:strike w:val="0"/>
                <w:dstrike w:val="0"/>
                <w:color w:val="auto"/>
                <w:sz w:val="21"/>
                <w:szCs w:val="21"/>
                <w:highlight w:val="none"/>
                <w:lang w:val="en-US" w:eastAsia="zh-CN"/>
              </w:rPr>
              <w:t>.5</w:t>
            </w:r>
          </w:p>
        </w:tc>
        <w:tc>
          <w:tcPr>
            <w:tcW w:w="577" w:type="dxa"/>
            <w:shd w:val="clear" w:color="auto" w:fill="FFFFFF"/>
            <w:vAlign w:val="center"/>
          </w:tcPr>
          <w:p w14:paraId="51DA8984">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11</w:t>
            </w:r>
          </w:p>
        </w:tc>
        <w:tc>
          <w:tcPr>
            <w:tcW w:w="577" w:type="dxa"/>
            <w:shd w:val="clear" w:color="auto" w:fill="FFFFFF"/>
            <w:vAlign w:val="center"/>
          </w:tcPr>
          <w:p w14:paraId="2DE92219">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68</w:t>
            </w:r>
          </w:p>
        </w:tc>
        <w:tc>
          <w:tcPr>
            <w:tcW w:w="577" w:type="dxa"/>
            <w:shd w:val="clear" w:color="auto" w:fill="FFFFFF"/>
            <w:vAlign w:val="center"/>
          </w:tcPr>
          <w:p w14:paraId="60C399AA">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39</w:t>
            </w:r>
          </w:p>
        </w:tc>
        <w:tc>
          <w:tcPr>
            <w:tcW w:w="578" w:type="dxa"/>
            <w:shd w:val="clear" w:color="auto" w:fill="FFFFFF"/>
            <w:vAlign w:val="center"/>
          </w:tcPr>
          <w:p w14:paraId="05F436F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6</w:t>
            </w:r>
          </w:p>
        </w:tc>
        <w:tc>
          <w:tcPr>
            <w:tcW w:w="569" w:type="dxa"/>
            <w:shd w:val="clear" w:color="auto" w:fill="FFFFFF"/>
            <w:vAlign w:val="center"/>
          </w:tcPr>
          <w:p w14:paraId="75FFF46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49.2 </w:t>
            </w:r>
          </w:p>
        </w:tc>
        <w:tc>
          <w:tcPr>
            <w:tcW w:w="569" w:type="dxa"/>
            <w:shd w:val="clear" w:color="auto" w:fill="FFFFFF"/>
            <w:vAlign w:val="center"/>
          </w:tcPr>
          <w:p w14:paraId="4384AC70">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33.3 </w:t>
            </w:r>
          </w:p>
        </w:tc>
        <w:tc>
          <w:tcPr>
            <w:tcW w:w="569" w:type="dxa"/>
            <w:shd w:val="clear" w:color="auto" w:fill="FFFFFF"/>
            <w:vAlign w:val="center"/>
          </w:tcPr>
          <w:p w14:paraId="5EAD7C5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38.2 </w:t>
            </w:r>
          </w:p>
        </w:tc>
        <w:tc>
          <w:tcPr>
            <w:tcW w:w="573" w:type="dxa"/>
            <w:shd w:val="clear" w:color="auto" w:fill="FFFFFF"/>
            <w:vAlign w:val="center"/>
          </w:tcPr>
          <w:p w14:paraId="09FD1443">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54.4 </w:t>
            </w:r>
          </w:p>
        </w:tc>
        <w:tc>
          <w:tcPr>
            <w:tcW w:w="878" w:type="dxa"/>
            <w:shd w:val="clear" w:color="auto" w:fill="FFFFFF"/>
            <w:vAlign w:val="center"/>
          </w:tcPr>
          <w:p w14:paraId="4A9F039B">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昼夜间</w:t>
            </w:r>
          </w:p>
        </w:tc>
        <w:tc>
          <w:tcPr>
            <w:tcW w:w="897" w:type="dxa"/>
            <w:shd w:val="clear" w:color="auto" w:fill="FFFFFF"/>
            <w:vAlign w:val="center"/>
          </w:tcPr>
          <w:p w14:paraId="02A11B6A">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20</w:t>
            </w:r>
          </w:p>
        </w:tc>
        <w:tc>
          <w:tcPr>
            <w:tcW w:w="650" w:type="dxa"/>
            <w:shd w:val="clear" w:color="auto" w:fill="FFFFFF"/>
            <w:vAlign w:val="center"/>
          </w:tcPr>
          <w:p w14:paraId="56DD89B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34.2 </w:t>
            </w:r>
          </w:p>
        </w:tc>
        <w:tc>
          <w:tcPr>
            <w:tcW w:w="900" w:type="dxa"/>
            <w:shd w:val="clear" w:color="auto" w:fill="FFFFFF"/>
            <w:vAlign w:val="center"/>
          </w:tcPr>
          <w:p w14:paraId="7B16B30C">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18.3 </w:t>
            </w:r>
          </w:p>
        </w:tc>
        <w:tc>
          <w:tcPr>
            <w:tcW w:w="737" w:type="dxa"/>
            <w:shd w:val="clear" w:color="auto" w:fill="FFFFFF"/>
            <w:vAlign w:val="center"/>
          </w:tcPr>
          <w:p w14:paraId="6837406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23.2 </w:t>
            </w:r>
          </w:p>
        </w:tc>
        <w:tc>
          <w:tcPr>
            <w:tcW w:w="538" w:type="dxa"/>
            <w:shd w:val="clear" w:color="auto" w:fill="FFFFFF"/>
            <w:vAlign w:val="center"/>
          </w:tcPr>
          <w:p w14:paraId="52B98A6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39.4 </w:t>
            </w:r>
          </w:p>
        </w:tc>
        <w:tc>
          <w:tcPr>
            <w:tcW w:w="737" w:type="dxa"/>
            <w:shd w:val="clear" w:color="auto" w:fill="FFFFFF"/>
            <w:vAlign w:val="center"/>
          </w:tcPr>
          <w:p w14:paraId="77A3D2EA">
            <w:pPr>
              <w:jc w:val="center"/>
              <w:rPr>
                <w:strike w:val="0"/>
                <w:dstrike w:val="0"/>
                <w:color w:val="auto"/>
                <w:sz w:val="21"/>
                <w:szCs w:val="21"/>
                <w:highlight w:val="none"/>
              </w:rPr>
            </w:pPr>
            <w:r>
              <w:rPr>
                <w:strike w:val="0"/>
                <w:dstrike w:val="0"/>
                <w:color w:val="auto"/>
                <w:sz w:val="21"/>
                <w:szCs w:val="21"/>
                <w:highlight w:val="none"/>
              </w:rPr>
              <w:t>1</w:t>
            </w:r>
          </w:p>
        </w:tc>
      </w:tr>
      <w:tr w14:paraId="6481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9" w:hRule="atLeast"/>
          <w:jc w:val="center"/>
        </w:trPr>
        <w:tc>
          <w:tcPr>
            <w:tcW w:w="439" w:type="dxa"/>
            <w:shd w:val="clear" w:color="auto" w:fill="FFFFFF"/>
            <w:vAlign w:val="center"/>
          </w:tcPr>
          <w:p w14:paraId="03F1FFC2">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6</w:t>
            </w:r>
          </w:p>
        </w:tc>
        <w:tc>
          <w:tcPr>
            <w:tcW w:w="677" w:type="dxa"/>
            <w:shd w:val="clear" w:color="auto" w:fill="FFFFFF"/>
            <w:vAlign w:val="center"/>
          </w:tcPr>
          <w:p w14:paraId="3729D70D">
            <w:pPr>
              <w:jc w:val="center"/>
              <w:rPr>
                <w:strike w:val="0"/>
                <w:dstrike w:val="0"/>
                <w:color w:val="auto"/>
                <w:sz w:val="21"/>
                <w:szCs w:val="21"/>
                <w:highlight w:val="none"/>
              </w:rPr>
            </w:pPr>
            <w:r>
              <w:rPr>
                <w:strike w:val="0"/>
                <w:dstrike w:val="0"/>
                <w:color w:val="auto"/>
                <w:sz w:val="21"/>
                <w:szCs w:val="21"/>
                <w:highlight w:val="none"/>
              </w:rPr>
              <w:t>储油罐区</w:t>
            </w:r>
          </w:p>
        </w:tc>
        <w:tc>
          <w:tcPr>
            <w:tcW w:w="583" w:type="dxa"/>
            <w:shd w:val="clear" w:color="auto" w:fill="FFFFFF"/>
            <w:vAlign w:val="center"/>
          </w:tcPr>
          <w:p w14:paraId="13DC2ACA">
            <w:pPr>
              <w:jc w:val="center"/>
              <w:rPr>
                <w:strike w:val="0"/>
                <w:dstrike w:val="0"/>
                <w:color w:val="auto"/>
                <w:sz w:val="21"/>
                <w:szCs w:val="21"/>
                <w:highlight w:val="none"/>
              </w:rPr>
            </w:pPr>
            <w:r>
              <w:rPr>
                <w:strike w:val="0"/>
                <w:dstrike w:val="0"/>
                <w:color w:val="auto"/>
                <w:sz w:val="21"/>
                <w:szCs w:val="21"/>
                <w:highlight w:val="none"/>
              </w:rPr>
              <w:t>潜油泵</w:t>
            </w:r>
          </w:p>
        </w:tc>
        <w:tc>
          <w:tcPr>
            <w:tcW w:w="453" w:type="dxa"/>
            <w:shd w:val="clear" w:color="auto" w:fill="FFFFFF"/>
            <w:vAlign w:val="center"/>
          </w:tcPr>
          <w:p w14:paraId="5B8B5DD3">
            <w:pPr>
              <w:jc w:val="center"/>
              <w:rPr>
                <w:strike w:val="0"/>
                <w:dstrike w:val="0"/>
                <w:color w:val="auto"/>
                <w:sz w:val="21"/>
                <w:szCs w:val="21"/>
                <w:highlight w:val="none"/>
              </w:rPr>
            </w:pPr>
            <w:r>
              <w:rPr>
                <w:strike w:val="0"/>
                <w:dstrike w:val="0"/>
                <w:color w:val="auto"/>
                <w:sz w:val="21"/>
                <w:szCs w:val="21"/>
                <w:highlight w:val="none"/>
              </w:rPr>
              <w:t>/</w:t>
            </w:r>
          </w:p>
        </w:tc>
        <w:tc>
          <w:tcPr>
            <w:tcW w:w="740" w:type="dxa"/>
            <w:shd w:val="clear" w:color="auto" w:fill="FFFFFF"/>
            <w:vAlign w:val="center"/>
          </w:tcPr>
          <w:p w14:paraId="41FFB9FE">
            <w:pPr>
              <w:jc w:val="center"/>
              <w:rPr>
                <w:strike w:val="0"/>
                <w:dstrike w:val="0"/>
                <w:color w:val="auto"/>
                <w:sz w:val="21"/>
                <w:szCs w:val="21"/>
                <w:highlight w:val="none"/>
              </w:rPr>
            </w:pPr>
            <w:r>
              <w:rPr>
                <w:strike w:val="0"/>
                <w:dstrike w:val="0"/>
                <w:color w:val="auto"/>
                <w:sz w:val="21"/>
                <w:szCs w:val="21"/>
                <w:highlight w:val="none"/>
              </w:rPr>
              <w:t>70</w:t>
            </w:r>
          </w:p>
        </w:tc>
        <w:tc>
          <w:tcPr>
            <w:tcW w:w="833" w:type="dxa"/>
            <w:shd w:val="clear" w:color="auto" w:fill="FFFFFF"/>
            <w:vAlign w:val="center"/>
          </w:tcPr>
          <w:p w14:paraId="6E5531E9">
            <w:pPr>
              <w:widowControl/>
              <w:jc w:val="center"/>
              <w:rPr>
                <w:strike w:val="0"/>
                <w:dstrike w:val="0"/>
                <w:color w:val="auto"/>
                <w:sz w:val="21"/>
                <w:szCs w:val="21"/>
                <w:highlight w:val="none"/>
              </w:rPr>
            </w:pPr>
            <w:r>
              <w:rPr>
                <w:strike w:val="0"/>
                <w:dstrike w:val="0"/>
                <w:color w:val="auto"/>
                <w:kern w:val="0"/>
                <w:sz w:val="21"/>
                <w:szCs w:val="21"/>
                <w:highlight w:val="none"/>
                <w:lang w:bidi="ar"/>
              </w:rPr>
              <w:t>选低噪声设备</w:t>
            </w:r>
          </w:p>
        </w:tc>
        <w:tc>
          <w:tcPr>
            <w:tcW w:w="625" w:type="dxa"/>
            <w:shd w:val="clear" w:color="auto" w:fill="FFFFFF"/>
            <w:vAlign w:val="center"/>
          </w:tcPr>
          <w:p w14:paraId="6D290082">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9</w:t>
            </w:r>
          </w:p>
        </w:tc>
        <w:tc>
          <w:tcPr>
            <w:tcW w:w="563" w:type="dxa"/>
            <w:shd w:val="clear" w:color="auto" w:fill="FFFFFF"/>
            <w:vAlign w:val="center"/>
          </w:tcPr>
          <w:p w14:paraId="482262D4">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29</w:t>
            </w:r>
          </w:p>
        </w:tc>
        <w:tc>
          <w:tcPr>
            <w:tcW w:w="698" w:type="dxa"/>
            <w:shd w:val="clear" w:color="auto" w:fill="FFFFFF"/>
            <w:vAlign w:val="center"/>
          </w:tcPr>
          <w:p w14:paraId="25B5F796">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w:t>
            </w:r>
            <w:r>
              <w:rPr>
                <w:rFonts w:ascii="Times New Roman" w:hAnsi="Times New Roman" w:eastAsia="宋体" w:cs="Times New Roman"/>
                <w:strike w:val="0"/>
                <w:dstrike w:val="0"/>
                <w:color w:val="auto"/>
                <w:sz w:val="21"/>
                <w:szCs w:val="21"/>
                <w:highlight w:val="none"/>
              </w:rPr>
              <w:t>0</w:t>
            </w:r>
            <w:r>
              <w:rPr>
                <w:rFonts w:hint="eastAsia" w:ascii="Times New Roman" w:hAnsi="Times New Roman" w:eastAsia="宋体" w:cs="Times New Roman"/>
                <w:strike w:val="0"/>
                <w:dstrike w:val="0"/>
                <w:color w:val="auto"/>
                <w:sz w:val="21"/>
                <w:szCs w:val="21"/>
                <w:highlight w:val="none"/>
                <w:lang w:val="en-US" w:eastAsia="zh-CN"/>
              </w:rPr>
              <w:t>.5</w:t>
            </w:r>
          </w:p>
        </w:tc>
        <w:tc>
          <w:tcPr>
            <w:tcW w:w="577" w:type="dxa"/>
            <w:shd w:val="clear" w:color="auto" w:fill="FFFFFF"/>
            <w:vAlign w:val="center"/>
          </w:tcPr>
          <w:p w14:paraId="5CFDE1B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16</w:t>
            </w:r>
          </w:p>
        </w:tc>
        <w:tc>
          <w:tcPr>
            <w:tcW w:w="577" w:type="dxa"/>
            <w:shd w:val="clear" w:color="auto" w:fill="FFFFFF"/>
            <w:vAlign w:val="center"/>
          </w:tcPr>
          <w:p w14:paraId="36D034BC">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66</w:t>
            </w:r>
          </w:p>
        </w:tc>
        <w:tc>
          <w:tcPr>
            <w:tcW w:w="577" w:type="dxa"/>
            <w:shd w:val="clear" w:color="auto" w:fill="FFFFFF"/>
            <w:vAlign w:val="center"/>
          </w:tcPr>
          <w:p w14:paraId="425252C2">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34</w:t>
            </w:r>
          </w:p>
        </w:tc>
        <w:tc>
          <w:tcPr>
            <w:tcW w:w="578" w:type="dxa"/>
            <w:shd w:val="clear" w:color="auto" w:fill="FFFFFF"/>
            <w:vAlign w:val="center"/>
          </w:tcPr>
          <w:p w14:paraId="45E44F36">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8</w:t>
            </w:r>
          </w:p>
        </w:tc>
        <w:tc>
          <w:tcPr>
            <w:tcW w:w="569" w:type="dxa"/>
            <w:shd w:val="clear" w:color="auto" w:fill="FFFFFF"/>
            <w:vAlign w:val="center"/>
          </w:tcPr>
          <w:p w14:paraId="1D444FF2">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45.9 </w:t>
            </w:r>
          </w:p>
        </w:tc>
        <w:tc>
          <w:tcPr>
            <w:tcW w:w="569" w:type="dxa"/>
            <w:shd w:val="clear" w:color="auto" w:fill="FFFFFF"/>
            <w:vAlign w:val="center"/>
          </w:tcPr>
          <w:p w14:paraId="1F667DB1">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33.6 </w:t>
            </w:r>
          </w:p>
        </w:tc>
        <w:tc>
          <w:tcPr>
            <w:tcW w:w="569" w:type="dxa"/>
            <w:shd w:val="clear" w:color="auto" w:fill="FFFFFF"/>
            <w:vAlign w:val="center"/>
          </w:tcPr>
          <w:p w14:paraId="055A9B7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39.4 </w:t>
            </w:r>
          </w:p>
        </w:tc>
        <w:tc>
          <w:tcPr>
            <w:tcW w:w="573" w:type="dxa"/>
            <w:shd w:val="clear" w:color="auto" w:fill="FFFFFF"/>
            <w:vAlign w:val="center"/>
          </w:tcPr>
          <w:p w14:paraId="24BD1EA0">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51.9 </w:t>
            </w:r>
          </w:p>
        </w:tc>
        <w:tc>
          <w:tcPr>
            <w:tcW w:w="878" w:type="dxa"/>
            <w:shd w:val="clear" w:color="auto" w:fill="FFFFFF"/>
            <w:vAlign w:val="center"/>
          </w:tcPr>
          <w:p w14:paraId="79425964">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昼夜间</w:t>
            </w:r>
          </w:p>
        </w:tc>
        <w:tc>
          <w:tcPr>
            <w:tcW w:w="897" w:type="dxa"/>
            <w:shd w:val="clear" w:color="auto" w:fill="FFFFFF"/>
            <w:vAlign w:val="center"/>
          </w:tcPr>
          <w:p w14:paraId="46CB93A0">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20</w:t>
            </w:r>
          </w:p>
        </w:tc>
        <w:tc>
          <w:tcPr>
            <w:tcW w:w="650" w:type="dxa"/>
            <w:shd w:val="clear" w:color="auto" w:fill="FFFFFF"/>
            <w:vAlign w:val="center"/>
          </w:tcPr>
          <w:p w14:paraId="0663CB4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30.9 </w:t>
            </w:r>
          </w:p>
        </w:tc>
        <w:tc>
          <w:tcPr>
            <w:tcW w:w="900" w:type="dxa"/>
            <w:shd w:val="clear" w:color="auto" w:fill="FFFFFF"/>
            <w:vAlign w:val="center"/>
          </w:tcPr>
          <w:p w14:paraId="6DE064A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18.6 </w:t>
            </w:r>
          </w:p>
        </w:tc>
        <w:tc>
          <w:tcPr>
            <w:tcW w:w="737" w:type="dxa"/>
            <w:shd w:val="clear" w:color="auto" w:fill="FFFFFF"/>
            <w:vAlign w:val="center"/>
          </w:tcPr>
          <w:p w14:paraId="24DC3589">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24.4 </w:t>
            </w:r>
          </w:p>
        </w:tc>
        <w:tc>
          <w:tcPr>
            <w:tcW w:w="538" w:type="dxa"/>
            <w:shd w:val="clear" w:color="auto" w:fill="FFFFFF"/>
            <w:vAlign w:val="center"/>
          </w:tcPr>
          <w:p w14:paraId="48A8CED9">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36.9 </w:t>
            </w:r>
          </w:p>
        </w:tc>
        <w:tc>
          <w:tcPr>
            <w:tcW w:w="737" w:type="dxa"/>
            <w:shd w:val="clear" w:color="auto" w:fill="FFFFFF"/>
            <w:vAlign w:val="center"/>
          </w:tcPr>
          <w:p w14:paraId="06E5BEF6">
            <w:pPr>
              <w:jc w:val="center"/>
              <w:rPr>
                <w:strike w:val="0"/>
                <w:dstrike w:val="0"/>
                <w:color w:val="auto"/>
                <w:sz w:val="21"/>
                <w:szCs w:val="21"/>
                <w:highlight w:val="none"/>
              </w:rPr>
            </w:pPr>
            <w:r>
              <w:rPr>
                <w:strike w:val="0"/>
                <w:dstrike w:val="0"/>
                <w:color w:val="auto"/>
                <w:sz w:val="21"/>
                <w:szCs w:val="21"/>
                <w:highlight w:val="none"/>
              </w:rPr>
              <w:t>1</w:t>
            </w:r>
          </w:p>
        </w:tc>
      </w:tr>
      <w:tr w14:paraId="4606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39" w:type="dxa"/>
            <w:shd w:val="clear" w:color="auto" w:fill="FFFFFF"/>
            <w:vAlign w:val="center"/>
          </w:tcPr>
          <w:p w14:paraId="5C069DFD">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7</w:t>
            </w:r>
          </w:p>
        </w:tc>
        <w:tc>
          <w:tcPr>
            <w:tcW w:w="677" w:type="dxa"/>
            <w:shd w:val="clear" w:color="auto" w:fill="FFFFFF"/>
            <w:vAlign w:val="center"/>
          </w:tcPr>
          <w:p w14:paraId="01E7306E">
            <w:pPr>
              <w:jc w:val="center"/>
              <w:rPr>
                <w:strike w:val="0"/>
                <w:dstrike w:val="0"/>
                <w:color w:val="auto"/>
                <w:sz w:val="21"/>
                <w:szCs w:val="21"/>
                <w:highlight w:val="none"/>
              </w:rPr>
            </w:pPr>
            <w:r>
              <w:rPr>
                <w:strike w:val="0"/>
                <w:dstrike w:val="0"/>
                <w:color w:val="auto"/>
                <w:sz w:val="21"/>
                <w:szCs w:val="21"/>
                <w:highlight w:val="none"/>
              </w:rPr>
              <w:t>储气罐区</w:t>
            </w:r>
          </w:p>
        </w:tc>
        <w:tc>
          <w:tcPr>
            <w:tcW w:w="583" w:type="dxa"/>
            <w:shd w:val="clear" w:color="auto" w:fill="FFFFFF"/>
            <w:vAlign w:val="center"/>
          </w:tcPr>
          <w:p w14:paraId="4CD1A98F">
            <w:pPr>
              <w:jc w:val="center"/>
              <w:rPr>
                <w:strike w:val="0"/>
                <w:dstrike w:val="0"/>
                <w:color w:val="auto"/>
                <w:sz w:val="21"/>
                <w:szCs w:val="21"/>
                <w:highlight w:val="none"/>
              </w:rPr>
            </w:pPr>
            <w:r>
              <w:rPr>
                <w:strike w:val="0"/>
                <w:dstrike w:val="0"/>
                <w:color w:val="auto"/>
                <w:sz w:val="21"/>
                <w:szCs w:val="21"/>
                <w:highlight w:val="none"/>
              </w:rPr>
              <w:t>潜液泵</w:t>
            </w:r>
          </w:p>
        </w:tc>
        <w:tc>
          <w:tcPr>
            <w:tcW w:w="453" w:type="dxa"/>
            <w:shd w:val="clear" w:color="auto" w:fill="FFFFFF"/>
            <w:vAlign w:val="center"/>
          </w:tcPr>
          <w:p w14:paraId="0454016B">
            <w:pPr>
              <w:jc w:val="center"/>
              <w:rPr>
                <w:strike w:val="0"/>
                <w:dstrike w:val="0"/>
                <w:color w:val="auto"/>
                <w:sz w:val="21"/>
                <w:szCs w:val="21"/>
                <w:highlight w:val="none"/>
              </w:rPr>
            </w:pPr>
            <w:r>
              <w:rPr>
                <w:strike w:val="0"/>
                <w:dstrike w:val="0"/>
                <w:color w:val="auto"/>
                <w:sz w:val="21"/>
                <w:szCs w:val="21"/>
                <w:highlight w:val="none"/>
              </w:rPr>
              <w:t>/</w:t>
            </w:r>
          </w:p>
        </w:tc>
        <w:tc>
          <w:tcPr>
            <w:tcW w:w="740" w:type="dxa"/>
            <w:shd w:val="clear" w:color="auto" w:fill="FFFFFF"/>
            <w:vAlign w:val="center"/>
          </w:tcPr>
          <w:p w14:paraId="75D8864C">
            <w:pPr>
              <w:jc w:val="center"/>
              <w:rPr>
                <w:strike w:val="0"/>
                <w:dstrike w:val="0"/>
                <w:color w:val="auto"/>
                <w:sz w:val="21"/>
                <w:szCs w:val="21"/>
                <w:highlight w:val="none"/>
              </w:rPr>
            </w:pPr>
            <w:r>
              <w:rPr>
                <w:strike w:val="0"/>
                <w:dstrike w:val="0"/>
                <w:color w:val="auto"/>
                <w:sz w:val="21"/>
                <w:szCs w:val="21"/>
                <w:highlight w:val="none"/>
              </w:rPr>
              <w:t>60</w:t>
            </w:r>
          </w:p>
        </w:tc>
        <w:tc>
          <w:tcPr>
            <w:tcW w:w="833" w:type="dxa"/>
            <w:shd w:val="clear" w:color="auto" w:fill="FFFFFF"/>
            <w:vAlign w:val="center"/>
          </w:tcPr>
          <w:p w14:paraId="6A7684DB">
            <w:pPr>
              <w:widowControl/>
              <w:jc w:val="center"/>
              <w:rPr>
                <w:strike w:val="0"/>
                <w:dstrike w:val="0"/>
                <w:color w:val="auto"/>
                <w:sz w:val="21"/>
                <w:szCs w:val="21"/>
                <w:highlight w:val="none"/>
              </w:rPr>
            </w:pPr>
            <w:r>
              <w:rPr>
                <w:strike w:val="0"/>
                <w:dstrike w:val="0"/>
                <w:color w:val="auto"/>
                <w:kern w:val="0"/>
                <w:sz w:val="21"/>
                <w:szCs w:val="21"/>
                <w:highlight w:val="none"/>
                <w:lang w:bidi="ar"/>
              </w:rPr>
              <w:t>选低噪声设备</w:t>
            </w:r>
          </w:p>
        </w:tc>
        <w:tc>
          <w:tcPr>
            <w:tcW w:w="625" w:type="dxa"/>
            <w:shd w:val="clear" w:color="auto" w:fill="FFFFFF"/>
            <w:vAlign w:val="center"/>
          </w:tcPr>
          <w:p w14:paraId="032470EC">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-7</w:t>
            </w:r>
          </w:p>
        </w:tc>
        <w:tc>
          <w:tcPr>
            <w:tcW w:w="563" w:type="dxa"/>
            <w:shd w:val="clear" w:color="auto" w:fill="FFFFFF"/>
            <w:vAlign w:val="center"/>
          </w:tcPr>
          <w:p w14:paraId="11284BAA">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6</w:t>
            </w:r>
          </w:p>
        </w:tc>
        <w:tc>
          <w:tcPr>
            <w:tcW w:w="698" w:type="dxa"/>
            <w:shd w:val="clear" w:color="auto" w:fill="FFFFFF"/>
            <w:vAlign w:val="center"/>
          </w:tcPr>
          <w:p w14:paraId="6CD997FE">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ascii="Times New Roman" w:hAnsi="Times New Roman" w:eastAsia="宋体" w:cs="Times New Roman"/>
                <w:strike w:val="0"/>
                <w:dstrike w:val="0"/>
                <w:color w:val="auto"/>
                <w:sz w:val="21"/>
                <w:szCs w:val="21"/>
                <w:highlight w:val="none"/>
              </w:rPr>
              <w:t>1.2</w:t>
            </w:r>
          </w:p>
        </w:tc>
        <w:tc>
          <w:tcPr>
            <w:tcW w:w="577" w:type="dxa"/>
            <w:shd w:val="clear" w:color="auto" w:fill="FFFFFF"/>
            <w:vAlign w:val="center"/>
          </w:tcPr>
          <w:p w14:paraId="28F4AEA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32</w:t>
            </w:r>
          </w:p>
        </w:tc>
        <w:tc>
          <w:tcPr>
            <w:tcW w:w="577" w:type="dxa"/>
            <w:shd w:val="clear" w:color="auto" w:fill="FFFFFF"/>
            <w:vAlign w:val="center"/>
          </w:tcPr>
          <w:p w14:paraId="73CFD9B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43</w:t>
            </w:r>
          </w:p>
        </w:tc>
        <w:tc>
          <w:tcPr>
            <w:tcW w:w="577" w:type="dxa"/>
            <w:shd w:val="clear" w:color="auto" w:fill="FFFFFF"/>
            <w:vAlign w:val="center"/>
          </w:tcPr>
          <w:p w14:paraId="0AA1A74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18</w:t>
            </w:r>
          </w:p>
        </w:tc>
        <w:tc>
          <w:tcPr>
            <w:tcW w:w="578" w:type="dxa"/>
            <w:shd w:val="clear" w:color="auto" w:fill="FFFFFF"/>
            <w:vAlign w:val="center"/>
          </w:tcPr>
          <w:p w14:paraId="1254A2A7">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31</w:t>
            </w:r>
          </w:p>
        </w:tc>
        <w:tc>
          <w:tcPr>
            <w:tcW w:w="569" w:type="dxa"/>
            <w:shd w:val="clear" w:color="auto" w:fill="FFFFFF"/>
            <w:vAlign w:val="center"/>
          </w:tcPr>
          <w:p w14:paraId="4BE1F2B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29.9 </w:t>
            </w:r>
          </w:p>
        </w:tc>
        <w:tc>
          <w:tcPr>
            <w:tcW w:w="569" w:type="dxa"/>
            <w:shd w:val="clear" w:color="auto" w:fill="FFFFFF"/>
            <w:vAlign w:val="center"/>
          </w:tcPr>
          <w:p w14:paraId="2620AA87">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27.3 </w:t>
            </w:r>
          </w:p>
        </w:tc>
        <w:tc>
          <w:tcPr>
            <w:tcW w:w="569" w:type="dxa"/>
            <w:shd w:val="clear" w:color="auto" w:fill="FFFFFF"/>
            <w:vAlign w:val="center"/>
          </w:tcPr>
          <w:p w14:paraId="1CD874C0">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34.9 </w:t>
            </w:r>
          </w:p>
        </w:tc>
        <w:tc>
          <w:tcPr>
            <w:tcW w:w="573" w:type="dxa"/>
            <w:shd w:val="clear" w:color="auto" w:fill="FFFFFF"/>
            <w:vAlign w:val="center"/>
          </w:tcPr>
          <w:p w14:paraId="5AB83C9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30.2 </w:t>
            </w:r>
          </w:p>
        </w:tc>
        <w:tc>
          <w:tcPr>
            <w:tcW w:w="878" w:type="dxa"/>
            <w:shd w:val="clear" w:color="auto" w:fill="FFFFFF"/>
            <w:vAlign w:val="center"/>
          </w:tcPr>
          <w:p w14:paraId="248BBC4B">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昼夜间</w:t>
            </w:r>
          </w:p>
        </w:tc>
        <w:tc>
          <w:tcPr>
            <w:tcW w:w="897" w:type="dxa"/>
            <w:shd w:val="clear" w:color="auto" w:fill="FFFFFF"/>
            <w:vAlign w:val="center"/>
          </w:tcPr>
          <w:p w14:paraId="1EC45986">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20</w:t>
            </w:r>
          </w:p>
        </w:tc>
        <w:tc>
          <w:tcPr>
            <w:tcW w:w="650" w:type="dxa"/>
            <w:shd w:val="clear" w:color="auto" w:fill="FFFFFF"/>
            <w:vAlign w:val="center"/>
          </w:tcPr>
          <w:p w14:paraId="6C416F5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14.9 </w:t>
            </w:r>
          </w:p>
        </w:tc>
        <w:tc>
          <w:tcPr>
            <w:tcW w:w="900" w:type="dxa"/>
            <w:shd w:val="clear" w:color="auto" w:fill="FFFFFF"/>
            <w:vAlign w:val="center"/>
          </w:tcPr>
          <w:p w14:paraId="4D951647">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12.3 </w:t>
            </w:r>
          </w:p>
        </w:tc>
        <w:tc>
          <w:tcPr>
            <w:tcW w:w="737" w:type="dxa"/>
            <w:shd w:val="clear" w:color="auto" w:fill="FFFFFF"/>
            <w:vAlign w:val="center"/>
          </w:tcPr>
          <w:p w14:paraId="1A0575FB">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19.9 </w:t>
            </w:r>
          </w:p>
        </w:tc>
        <w:tc>
          <w:tcPr>
            <w:tcW w:w="538" w:type="dxa"/>
            <w:shd w:val="clear" w:color="auto" w:fill="FFFFFF"/>
            <w:vAlign w:val="center"/>
          </w:tcPr>
          <w:p w14:paraId="19722414">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15.2 </w:t>
            </w:r>
          </w:p>
        </w:tc>
        <w:tc>
          <w:tcPr>
            <w:tcW w:w="737" w:type="dxa"/>
            <w:shd w:val="clear" w:color="auto" w:fill="FFFFFF"/>
            <w:vAlign w:val="center"/>
          </w:tcPr>
          <w:p w14:paraId="115C75DF">
            <w:pPr>
              <w:jc w:val="center"/>
              <w:rPr>
                <w:strike w:val="0"/>
                <w:dstrike w:val="0"/>
                <w:color w:val="auto"/>
                <w:sz w:val="21"/>
                <w:szCs w:val="21"/>
                <w:highlight w:val="none"/>
              </w:rPr>
            </w:pPr>
            <w:r>
              <w:rPr>
                <w:strike w:val="0"/>
                <w:dstrike w:val="0"/>
                <w:color w:val="auto"/>
                <w:sz w:val="21"/>
                <w:szCs w:val="21"/>
                <w:highlight w:val="none"/>
              </w:rPr>
              <w:t>1</w:t>
            </w:r>
          </w:p>
        </w:tc>
      </w:tr>
      <w:tr w14:paraId="1245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39" w:type="dxa"/>
            <w:shd w:val="clear" w:color="auto" w:fill="FFFFFF"/>
            <w:vAlign w:val="center"/>
          </w:tcPr>
          <w:p w14:paraId="70A54E12">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8</w:t>
            </w:r>
          </w:p>
        </w:tc>
        <w:tc>
          <w:tcPr>
            <w:tcW w:w="677" w:type="dxa"/>
            <w:shd w:val="clear" w:color="auto" w:fill="auto"/>
            <w:vAlign w:val="center"/>
          </w:tcPr>
          <w:p w14:paraId="366A5ABC">
            <w:pPr>
              <w:jc w:val="center"/>
              <w:rPr>
                <w:strike w:val="0"/>
                <w:dstrike w:val="0"/>
                <w:color w:val="auto"/>
                <w:sz w:val="21"/>
                <w:szCs w:val="21"/>
                <w:highlight w:val="none"/>
              </w:rPr>
            </w:pPr>
            <w:r>
              <w:rPr>
                <w:strike w:val="0"/>
                <w:dstrike w:val="0"/>
                <w:color w:val="auto"/>
                <w:sz w:val="21"/>
                <w:szCs w:val="21"/>
                <w:highlight w:val="none"/>
              </w:rPr>
              <w:t>储气罐区</w:t>
            </w:r>
          </w:p>
        </w:tc>
        <w:tc>
          <w:tcPr>
            <w:tcW w:w="583" w:type="dxa"/>
            <w:shd w:val="clear" w:color="auto" w:fill="FFFFFF"/>
            <w:vAlign w:val="center"/>
          </w:tcPr>
          <w:p w14:paraId="5A702E51">
            <w:pPr>
              <w:jc w:val="center"/>
              <w:rPr>
                <w:strike w:val="0"/>
                <w:dstrike w:val="0"/>
                <w:color w:val="auto"/>
                <w:sz w:val="21"/>
                <w:szCs w:val="21"/>
                <w:highlight w:val="none"/>
              </w:rPr>
            </w:pPr>
            <w:r>
              <w:rPr>
                <w:strike w:val="0"/>
                <w:dstrike w:val="0"/>
                <w:color w:val="auto"/>
                <w:sz w:val="21"/>
                <w:szCs w:val="21"/>
                <w:highlight w:val="none"/>
              </w:rPr>
              <w:t>潜液泵</w:t>
            </w:r>
          </w:p>
        </w:tc>
        <w:tc>
          <w:tcPr>
            <w:tcW w:w="453" w:type="dxa"/>
            <w:shd w:val="clear" w:color="auto" w:fill="FFFFFF"/>
            <w:vAlign w:val="center"/>
          </w:tcPr>
          <w:p w14:paraId="0687EE59">
            <w:pPr>
              <w:jc w:val="center"/>
              <w:rPr>
                <w:strike w:val="0"/>
                <w:dstrike w:val="0"/>
                <w:color w:val="auto"/>
                <w:sz w:val="21"/>
                <w:szCs w:val="21"/>
                <w:highlight w:val="none"/>
              </w:rPr>
            </w:pPr>
            <w:r>
              <w:rPr>
                <w:strike w:val="0"/>
                <w:dstrike w:val="0"/>
                <w:color w:val="auto"/>
                <w:sz w:val="21"/>
                <w:szCs w:val="21"/>
                <w:highlight w:val="none"/>
              </w:rPr>
              <w:t>/</w:t>
            </w:r>
          </w:p>
        </w:tc>
        <w:tc>
          <w:tcPr>
            <w:tcW w:w="740" w:type="dxa"/>
            <w:shd w:val="clear" w:color="auto" w:fill="FFFFFF"/>
            <w:vAlign w:val="center"/>
          </w:tcPr>
          <w:p w14:paraId="25BC40E0">
            <w:pPr>
              <w:jc w:val="center"/>
              <w:rPr>
                <w:strike w:val="0"/>
                <w:dstrike w:val="0"/>
                <w:color w:val="auto"/>
                <w:sz w:val="21"/>
                <w:szCs w:val="21"/>
                <w:highlight w:val="none"/>
              </w:rPr>
            </w:pPr>
            <w:r>
              <w:rPr>
                <w:strike w:val="0"/>
                <w:dstrike w:val="0"/>
                <w:color w:val="auto"/>
                <w:sz w:val="21"/>
                <w:szCs w:val="21"/>
                <w:highlight w:val="none"/>
              </w:rPr>
              <w:t>60</w:t>
            </w:r>
          </w:p>
        </w:tc>
        <w:tc>
          <w:tcPr>
            <w:tcW w:w="833" w:type="dxa"/>
            <w:shd w:val="clear" w:color="auto" w:fill="FFFFFF"/>
            <w:vAlign w:val="center"/>
          </w:tcPr>
          <w:p w14:paraId="1AEE3227">
            <w:pPr>
              <w:widowControl/>
              <w:jc w:val="center"/>
              <w:rPr>
                <w:strike w:val="0"/>
                <w:dstrike w:val="0"/>
                <w:color w:val="auto"/>
                <w:sz w:val="21"/>
                <w:szCs w:val="21"/>
                <w:highlight w:val="none"/>
              </w:rPr>
            </w:pPr>
            <w:r>
              <w:rPr>
                <w:strike w:val="0"/>
                <w:dstrike w:val="0"/>
                <w:color w:val="auto"/>
                <w:kern w:val="0"/>
                <w:sz w:val="21"/>
                <w:szCs w:val="21"/>
                <w:highlight w:val="none"/>
                <w:lang w:bidi="ar"/>
              </w:rPr>
              <w:t>选低噪声设备</w:t>
            </w:r>
          </w:p>
        </w:tc>
        <w:tc>
          <w:tcPr>
            <w:tcW w:w="625" w:type="dxa"/>
            <w:shd w:val="clear" w:color="auto" w:fill="FFFFFF"/>
            <w:vAlign w:val="center"/>
          </w:tcPr>
          <w:p w14:paraId="57568880">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-12</w:t>
            </w:r>
          </w:p>
        </w:tc>
        <w:tc>
          <w:tcPr>
            <w:tcW w:w="563" w:type="dxa"/>
            <w:shd w:val="clear" w:color="auto" w:fill="FFFFFF"/>
            <w:vAlign w:val="center"/>
          </w:tcPr>
          <w:p w14:paraId="41E39CED">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-2</w:t>
            </w:r>
          </w:p>
        </w:tc>
        <w:tc>
          <w:tcPr>
            <w:tcW w:w="698" w:type="dxa"/>
            <w:shd w:val="clear" w:color="auto" w:fill="FFFFFF"/>
            <w:vAlign w:val="center"/>
          </w:tcPr>
          <w:p w14:paraId="13E56E39">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1.2</w:t>
            </w:r>
          </w:p>
        </w:tc>
        <w:tc>
          <w:tcPr>
            <w:tcW w:w="577" w:type="dxa"/>
            <w:shd w:val="clear" w:color="auto" w:fill="FFFFFF"/>
            <w:vAlign w:val="center"/>
          </w:tcPr>
          <w:p w14:paraId="082170CD">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37</w:t>
            </w:r>
          </w:p>
        </w:tc>
        <w:tc>
          <w:tcPr>
            <w:tcW w:w="577" w:type="dxa"/>
            <w:shd w:val="clear" w:color="auto" w:fill="FFFFFF"/>
            <w:vAlign w:val="center"/>
          </w:tcPr>
          <w:p w14:paraId="57A3E588">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35</w:t>
            </w:r>
          </w:p>
        </w:tc>
        <w:tc>
          <w:tcPr>
            <w:tcW w:w="577" w:type="dxa"/>
            <w:shd w:val="clear" w:color="auto" w:fill="FFFFFF"/>
            <w:vAlign w:val="center"/>
          </w:tcPr>
          <w:p w14:paraId="05C4759C">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13</w:t>
            </w:r>
          </w:p>
        </w:tc>
        <w:tc>
          <w:tcPr>
            <w:tcW w:w="578" w:type="dxa"/>
            <w:shd w:val="clear" w:color="auto" w:fill="FFFFFF"/>
            <w:vAlign w:val="center"/>
          </w:tcPr>
          <w:p w14:paraId="38A7E537">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39</w:t>
            </w:r>
          </w:p>
        </w:tc>
        <w:tc>
          <w:tcPr>
            <w:tcW w:w="569" w:type="dxa"/>
            <w:shd w:val="clear" w:color="auto" w:fill="FFFFFF"/>
            <w:vAlign w:val="center"/>
          </w:tcPr>
          <w:p w14:paraId="2EC4D78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28.6 </w:t>
            </w:r>
          </w:p>
        </w:tc>
        <w:tc>
          <w:tcPr>
            <w:tcW w:w="569" w:type="dxa"/>
            <w:shd w:val="clear" w:color="auto" w:fill="FFFFFF"/>
            <w:vAlign w:val="center"/>
          </w:tcPr>
          <w:p w14:paraId="43A3FBD0">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29.1 </w:t>
            </w:r>
          </w:p>
        </w:tc>
        <w:tc>
          <w:tcPr>
            <w:tcW w:w="569" w:type="dxa"/>
            <w:shd w:val="clear" w:color="auto" w:fill="FFFFFF"/>
            <w:vAlign w:val="center"/>
          </w:tcPr>
          <w:p w14:paraId="4201B44E">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37.7 </w:t>
            </w:r>
          </w:p>
        </w:tc>
        <w:tc>
          <w:tcPr>
            <w:tcW w:w="573" w:type="dxa"/>
            <w:shd w:val="clear" w:color="auto" w:fill="FFFFFF"/>
            <w:vAlign w:val="center"/>
          </w:tcPr>
          <w:p w14:paraId="3BF489F6">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28.2 </w:t>
            </w:r>
          </w:p>
        </w:tc>
        <w:tc>
          <w:tcPr>
            <w:tcW w:w="878" w:type="dxa"/>
            <w:shd w:val="clear" w:color="auto" w:fill="FFFFFF"/>
            <w:vAlign w:val="center"/>
          </w:tcPr>
          <w:p w14:paraId="10ED4642">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昼夜间</w:t>
            </w:r>
          </w:p>
        </w:tc>
        <w:tc>
          <w:tcPr>
            <w:tcW w:w="897" w:type="dxa"/>
            <w:shd w:val="clear" w:color="auto" w:fill="FFFFFF"/>
            <w:vAlign w:val="center"/>
          </w:tcPr>
          <w:p w14:paraId="300CEC50">
            <w:pPr>
              <w:jc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20</w:t>
            </w:r>
          </w:p>
        </w:tc>
        <w:tc>
          <w:tcPr>
            <w:tcW w:w="650" w:type="dxa"/>
            <w:shd w:val="clear" w:color="auto" w:fill="FFFFFF"/>
            <w:vAlign w:val="center"/>
          </w:tcPr>
          <w:p w14:paraId="01A792E2">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13.6 </w:t>
            </w:r>
          </w:p>
        </w:tc>
        <w:tc>
          <w:tcPr>
            <w:tcW w:w="900" w:type="dxa"/>
            <w:shd w:val="clear" w:color="auto" w:fill="FFFFFF"/>
            <w:vAlign w:val="center"/>
          </w:tcPr>
          <w:p w14:paraId="18608690">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14.1 </w:t>
            </w:r>
          </w:p>
        </w:tc>
        <w:tc>
          <w:tcPr>
            <w:tcW w:w="737" w:type="dxa"/>
            <w:shd w:val="clear" w:color="auto" w:fill="FFFFFF"/>
            <w:vAlign w:val="center"/>
          </w:tcPr>
          <w:p w14:paraId="0B68FD00">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22.7 </w:t>
            </w:r>
          </w:p>
        </w:tc>
        <w:tc>
          <w:tcPr>
            <w:tcW w:w="538" w:type="dxa"/>
            <w:shd w:val="clear" w:color="auto" w:fill="FFFFFF"/>
            <w:vAlign w:val="center"/>
          </w:tcPr>
          <w:p w14:paraId="6BEA4A05">
            <w:pPr>
              <w:jc w:val="center"/>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 xml:space="preserve">13.2 </w:t>
            </w:r>
          </w:p>
        </w:tc>
        <w:tc>
          <w:tcPr>
            <w:tcW w:w="737" w:type="dxa"/>
            <w:shd w:val="clear" w:color="auto" w:fill="FFFFFF"/>
            <w:vAlign w:val="center"/>
          </w:tcPr>
          <w:p w14:paraId="29534D89">
            <w:pPr>
              <w:jc w:val="center"/>
              <w:rPr>
                <w:strike w:val="0"/>
                <w:dstrike w:val="0"/>
                <w:color w:val="auto"/>
                <w:sz w:val="21"/>
                <w:szCs w:val="21"/>
                <w:highlight w:val="none"/>
              </w:rPr>
            </w:pPr>
            <w:r>
              <w:rPr>
                <w:strike w:val="0"/>
                <w:dstrike w:val="0"/>
                <w:color w:val="auto"/>
                <w:sz w:val="21"/>
                <w:szCs w:val="21"/>
                <w:highlight w:val="none"/>
              </w:rPr>
              <w:t>1</w:t>
            </w:r>
          </w:p>
        </w:tc>
      </w:tr>
    </w:tbl>
    <w:p w14:paraId="38CD7FB7">
      <w:pPr>
        <w:pStyle w:val="11"/>
        <w:rPr>
          <w:rFonts w:ascii="Times New Roman" w:hAnsi="Times New Roman"/>
          <w:strike w:val="0"/>
          <w:dstrike w:val="0"/>
          <w:color w:val="auto"/>
          <w:highlight w:val="none"/>
        </w:rPr>
      </w:pPr>
    </w:p>
    <w:p w14:paraId="2A5FC32F">
      <w:pPr>
        <w:rPr>
          <w:bCs/>
          <w:strike w:val="0"/>
          <w:dstrike w:val="0"/>
          <w:color w:val="auto"/>
          <w:szCs w:val="21"/>
          <w:highlight w:val="none"/>
        </w:rPr>
      </w:pPr>
      <w:r>
        <w:rPr>
          <w:bCs/>
          <w:strike w:val="0"/>
          <w:dstrike w:val="0"/>
          <w:color w:val="auto"/>
          <w:szCs w:val="21"/>
          <w:highlight w:val="none"/>
        </w:rPr>
        <w:t>注：表中坐标以厂界中心（106.481071,29.936271）为坐标原点，正东向为X轴正方向，正北向为Y轴正方向。</w:t>
      </w:r>
    </w:p>
    <w:p w14:paraId="43BF8BD8">
      <w:pPr>
        <w:pStyle w:val="11"/>
        <w:rPr>
          <w:rFonts w:ascii="Times New Roman" w:hAnsi="Times New Roman"/>
          <w:strike w:val="0"/>
          <w:dstrike w:val="0"/>
          <w:color w:val="auto"/>
          <w:highlight w:val="none"/>
        </w:rPr>
        <w:sectPr>
          <w:pgSz w:w="16838" w:h="11906" w:orient="landscape"/>
          <w:pgMar w:top="1803" w:right="1440" w:bottom="1803" w:left="1440" w:header="851" w:footer="992" w:gutter="0"/>
          <w:pgNumType w:fmt="numberInDash"/>
          <w:cols w:space="0" w:num="1"/>
          <w:docGrid w:type="lines" w:linePitch="319" w:charSpace="0"/>
        </w:sectPr>
      </w:pPr>
    </w:p>
    <w:tbl>
      <w:tblPr>
        <w:tblStyle w:val="22"/>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516"/>
      </w:tblGrid>
      <w:tr w14:paraId="1880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dxa"/>
            <w:vAlign w:val="center"/>
          </w:tcPr>
          <w:p w14:paraId="0A9F44E2">
            <w:pPr>
              <w:adjustRightInd w:val="0"/>
              <w:snapToGrid w:val="0"/>
              <w:jc w:val="center"/>
              <w:rPr>
                <w:b/>
                <w:strike w:val="0"/>
                <w:dstrike w:val="0"/>
                <w:color w:val="auto"/>
                <w:sz w:val="24"/>
                <w:highlight w:val="none"/>
              </w:rPr>
            </w:pPr>
            <w:r>
              <w:rPr>
                <w:b/>
                <w:strike w:val="0"/>
                <w:dstrike w:val="0"/>
                <w:color w:val="auto"/>
                <w:sz w:val="24"/>
                <w:highlight w:val="none"/>
              </w:rPr>
              <w:t>运营</w:t>
            </w:r>
          </w:p>
          <w:p w14:paraId="3B1EDD0D">
            <w:pPr>
              <w:adjustRightInd w:val="0"/>
              <w:snapToGrid w:val="0"/>
              <w:jc w:val="center"/>
              <w:rPr>
                <w:b/>
                <w:strike w:val="0"/>
                <w:dstrike w:val="0"/>
                <w:color w:val="auto"/>
                <w:sz w:val="24"/>
                <w:highlight w:val="none"/>
              </w:rPr>
            </w:pPr>
            <w:r>
              <w:rPr>
                <w:b/>
                <w:strike w:val="0"/>
                <w:dstrike w:val="0"/>
                <w:color w:val="auto"/>
                <w:sz w:val="24"/>
                <w:highlight w:val="none"/>
              </w:rPr>
              <w:t>期环</w:t>
            </w:r>
          </w:p>
          <w:p w14:paraId="59548905">
            <w:pPr>
              <w:adjustRightInd w:val="0"/>
              <w:snapToGrid w:val="0"/>
              <w:jc w:val="center"/>
              <w:rPr>
                <w:b/>
                <w:strike w:val="0"/>
                <w:dstrike w:val="0"/>
                <w:color w:val="auto"/>
                <w:sz w:val="24"/>
                <w:highlight w:val="none"/>
              </w:rPr>
            </w:pPr>
            <w:r>
              <w:rPr>
                <w:b/>
                <w:strike w:val="0"/>
                <w:dstrike w:val="0"/>
                <w:color w:val="auto"/>
                <w:sz w:val="24"/>
                <w:highlight w:val="none"/>
              </w:rPr>
              <w:t>境影</w:t>
            </w:r>
          </w:p>
          <w:p w14:paraId="1CB6DA3E">
            <w:pPr>
              <w:adjustRightInd w:val="0"/>
              <w:snapToGrid w:val="0"/>
              <w:jc w:val="center"/>
              <w:rPr>
                <w:b/>
                <w:strike w:val="0"/>
                <w:dstrike w:val="0"/>
                <w:color w:val="auto"/>
                <w:sz w:val="24"/>
                <w:highlight w:val="none"/>
              </w:rPr>
            </w:pPr>
            <w:r>
              <w:rPr>
                <w:b/>
                <w:strike w:val="0"/>
                <w:dstrike w:val="0"/>
                <w:color w:val="auto"/>
                <w:sz w:val="24"/>
                <w:highlight w:val="none"/>
              </w:rPr>
              <w:t>响和</w:t>
            </w:r>
          </w:p>
          <w:p w14:paraId="79E19C84">
            <w:pPr>
              <w:adjustRightInd w:val="0"/>
              <w:snapToGrid w:val="0"/>
              <w:jc w:val="center"/>
              <w:rPr>
                <w:b/>
                <w:strike w:val="0"/>
                <w:dstrike w:val="0"/>
                <w:color w:val="auto"/>
                <w:sz w:val="24"/>
                <w:highlight w:val="none"/>
              </w:rPr>
            </w:pPr>
            <w:r>
              <w:rPr>
                <w:b/>
                <w:strike w:val="0"/>
                <w:dstrike w:val="0"/>
                <w:color w:val="auto"/>
                <w:sz w:val="24"/>
                <w:highlight w:val="none"/>
              </w:rPr>
              <w:t>保护</w:t>
            </w:r>
          </w:p>
          <w:p w14:paraId="31CABD1A">
            <w:pPr>
              <w:pStyle w:val="18"/>
              <w:adjustRightInd w:val="0"/>
              <w:snapToGrid w:val="0"/>
              <w:spacing w:before="0" w:beforeAutospacing="0" w:after="0" w:afterAutospacing="0"/>
              <w:jc w:val="center"/>
              <w:rPr>
                <w:rFonts w:ascii="Times New Roman" w:hAnsi="Times New Roman"/>
                <w:b/>
                <w:strike w:val="0"/>
                <w:dstrike w:val="0"/>
                <w:color w:val="auto"/>
                <w:kern w:val="2"/>
                <w:szCs w:val="24"/>
                <w:highlight w:val="none"/>
              </w:rPr>
            </w:pPr>
            <w:r>
              <w:rPr>
                <w:rFonts w:ascii="Times New Roman" w:hAnsi="Times New Roman"/>
                <w:b/>
                <w:strike w:val="0"/>
                <w:dstrike w:val="0"/>
                <w:color w:val="auto"/>
                <w:highlight w:val="none"/>
              </w:rPr>
              <w:t>措施</w:t>
            </w:r>
          </w:p>
        </w:tc>
        <w:tc>
          <w:tcPr>
            <w:tcW w:w="8516" w:type="dxa"/>
          </w:tcPr>
          <w:p w14:paraId="1BF2FC5D">
            <w:pPr>
              <w:spacing w:line="360" w:lineRule="auto"/>
              <w:ind w:firstLine="482" w:firstLineChars="200"/>
              <w:rPr>
                <w:b/>
                <w:bCs/>
                <w:strike w:val="0"/>
                <w:dstrike w:val="0"/>
                <w:color w:val="auto"/>
                <w:kern w:val="0"/>
                <w:sz w:val="24"/>
                <w:highlight w:val="none"/>
              </w:rPr>
            </w:pPr>
            <w:r>
              <w:rPr>
                <w:b/>
                <w:bCs/>
                <w:strike w:val="0"/>
                <w:dstrike w:val="0"/>
                <w:color w:val="auto"/>
                <w:kern w:val="0"/>
                <w:sz w:val="24"/>
                <w:highlight w:val="none"/>
              </w:rPr>
              <w:t>（2）预测结果</w:t>
            </w:r>
          </w:p>
          <w:p w14:paraId="560A1DB7">
            <w:pPr>
              <w:spacing w:line="360" w:lineRule="auto"/>
              <w:ind w:firstLine="480" w:firstLineChars="200"/>
              <w:rPr>
                <w:b/>
                <w:strike w:val="0"/>
                <w:dstrike w:val="0"/>
                <w:color w:val="auto"/>
                <w:kern w:val="0"/>
                <w:sz w:val="24"/>
                <w:highlight w:val="none"/>
              </w:rPr>
            </w:pPr>
            <w:r>
              <w:rPr>
                <w:strike w:val="0"/>
                <w:dstrike w:val="0"/>
                <w:color w:val="auto"/>
                <w:sz w:val="24"/>
                <w:highlight w:val="none"/>
              </w:rPr>
              <w:t>本项目厂界噪声影响预测结果见</w:t>
            </w:r>
            <w:r>
              <w:rPr>
                <w:strike w:val="0"/>
                <w:dstrike w:val="0"/>
                <w:color w:val="auto"/>
                <w:kern w:val="0"/>
                <w:sz w:val="24"/>
                <w:highlight w:val="none"/>
              </w:rPr>
              <w:t>表4.2-1</w:t>
            </w:r>
            <w:r>
              <w:rPr>
                <w:rFonts w:hint="eastAsia"/>
                <w:strike w:val="0"/>
                <w:dstrike w:val="0"/>
                <w:color w:val="auto"/>
                <w:kern w:val="0"/>
                <w:sz w:val="24"/>
                <w:highlight w:val="none"/>
                <w:lang w:val="en-US" w:eastAsia="zh-CN"/>
              </w:rPr>
              <w:t>7</w:t>
            </w:r>
            <w:r>
              <w:rPr>
                <w:strike w:val="0"/>
                <w:dstrike w:val="0"/>
                <w:color w:val="auto"/>
                <w:sz w:val="24"/>
                <w:highlight w:val="none"/>
              </w:rPr>
              <w:t>。</w:t>
            </w:r>
          </w:p>
          <w:p w14:paraId="677199DA">
            <w:pPr>
              <w:adjustRightInd w:val="0"/>
              <w:snapToGrid w:val="0"/>
              <w:jc w:val="center"/>
              <w:rPr>
                <w:b/>
                <w:strike w:val="0"/>
                <w:dstrike w:val="0"/>
                <w:color w:val="auto"/>
                <w:sz w:val="24"/>
                <w:highlight w:val="none"/>
              </w:rPr>
            </w:pPr>
            <w:r>
              <w:rPr>
                <w:b/>
                <w:strike w:val="0"/>
                <w:dstrike w:val="0"/>
                <w:color w:val="auto"/>
                <w:kern w:val="0"/>
                <w:sz w:val="24"/>
                <w:highlight w:val="none"/>
              </w:rPr>
              <w:t>表4.2-1</w:t>
            </w:r>
            <w:r>
              <w:rPr>
                <w:rFonts w:hint="eastAsia"/>
                <w:b/>
                <w:strike w:val="0"/>
                <w:dstrike w:val="0"/>
                <w:color w:val="auto"/>
                <w:kern w:val="0"/>
                <w:sz w:val="24"/>
                <w:highlight w:val="none"/>
                <w:lang w:val="en-US" w:eastAsia="zh-CN"/>
              </w:rPr>
              <w:t>7</w:t>
            </w:r>
            <w:r>
              <w:rPr>
                <w:b/>
                <w:strike w:val="0"/>
                <w:dstrike w:val="0"/>
                <w:color w:val="auto"/>
                <w:kern w:val="0"/>
                <w:sz w:val="24"/>
                <w:highlight w:val="none"/>
              </w:rPr>
              <w:t xml:space="preserve">  本项目</w:t>
            </w:r>
            <w:r>
              <w:rPr>
                <w:b/>
                <w:strike w:val="0"/>
                <w:dstrike w:val="0"/>
                <w:color w:val="auto"/>
                <w:sz w:val="24"/>
                <w:highlight w:val="none"/>
              </w:rPr>
              <w:t>厂界噪声预测结果与达标分析表</w:t>
            </w:r>
          </w:p>
          <w:tbl>
            <w:tblPr>
              <w:tblStyle w:val="22"/>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781"/>
              <w:gridCol w:w="781"/>
              <w:gridCol w:w="783"/>
              <w:gridCol w:w="966"/>
              <w:gridCol w:w="1379"/>
              <w:gridCol w:w="1380"/>
              <w:gridCol w:w="1156"/>
            </w:tblGrid>
            <w:tr w14:paraId="6B0C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071" w:type="dxa"/>
                  <w:vMerge w:val="restart"/>
                  <w:vAlign w:val="center"/>
                </w:tcPr>
                <w:p w14:paraId="2CD4DE3E">
                  <w:pPr>
                    <w:jc w:val="center"/>
                    <w:rPr>
                      <w:strike w:val="0"/>
                      <w:dstrike w:val="0"/>
                      <w:color w:val="auto"/>
                      <w:szCs w:val="21"/>
                      <w:highlight w:val="none"/>
                    </w:rPr>
                  </w:pPr>
                  <w:r>
                    <w:rPr>
                      <w:b/>
                      <w:strike w:val="0"/>
                      <w:dstrike w:val="0"/>
                      <w:color w:val="auto"/>
                      <w:szCs w:val="21"/>
                      <w:highlight w:val="none"/>
                    </w:rPr>
                    <w:t>预测方位</w:t>
                  </w:r>
                </w:p>
              </w:tc>
              <w:tc>
                <w:tcPr>
                  <w:tcW w:w="2345" w:type="dxa"/>
                  <w:gridSpan w:val="3"/>
                  <w:vAlign w:val="center"/>
                </w:tcPr>
                <w:p w14:paraId="10AAF291">
                  <w:pPr>
                    <w:jc w:val="center"/>
                    <w:rPr>
                      <w:strike w:val="0"/>
                      <w:dstrike w:val="0"/>
                      <w:color w:val="auto"/>
                      <w:szCs w:val="21"/>
                      <w:highlight w:val="none"/>
                    </w:rPr>
                  </w:pPr>
                  <w:r>
                    <w:rPr>
                      <w:b/>
                      <w:strike w:val="0"/>
                      <w:dstrike w:val="0"/>
                      <w:color w:val="auto"/>
                      <w:szCs w:val="21"/>
                      <w:highlight w:val="none"/>
                    </w:rPr>
                    <w:t>空间相对位置/m</w:t>
                  </w:r>
                </w:p>
              </w:tc>
              <w:tc>
                <w:tcPr>
                  <w:tcW w:w="966" w:type="dxa"/>
                  <w:vMerge w:val="restart"/>
                  <w:vAlign w:val="center"/>
                </w:tcPr>
                <w:p w14:paraId="0F079BFA">
                  <w:pPr>
                    <w:jc w:val="center"/>
                    <w:rPr>
                      <w:strike w:val="0"/>
                      <w:dstrike w:val="0"/>
                      <w:color w:val="auto"/>
                      <w:szCs w:val="21"/>
                      <w:highlight w:val="none"/>
                    </w:rPr>
                  </w:pPr>
                  <w:r>
                    <w:rPr>
                      <w:b/>
                      <w:strike w:val="0"/>
                      <w:dstrike w:val="0"/>
                      <w:color w:val="auto"/>
                      <w:szCs w:val="21"/>
                      <w:highlight w:val="none"/>
                    </w:rPr>
                    <w:t>时段</w:t>
                  </w:r>
                </w:p>
              </w:tc>
              <w:tc>
                <w:tcPr>
                  <w:tcW w:w="1379" w:type="dxa"/>
                  <w:vMerge w:val="restart"/>
                  <w:vAlign w:val="center"/>
                </w:tcPr>
                <w:p w14:paraId="5B12B0C7">
                  <w:pPr>
                    <w:jc w:val="center"/>
                    <w:rPr>
                      <w:strike w:val="0"/>
                      <w:dstrike w:val="0"/>
                      <w:color w:val="auto"/>
                      <w:szCs w:val="21"/>
                      <w:highlight w:val="none"/>
                    </w:rPr>
                  </w:pPr>
                  <w:r>
                    <w:rPr>
                      <w:b/>
                      <w:strike w:val="0"/>
                      <w:dstrike w:val="0"/>
                      <w:color w:val="auto"/>
                      <w:szCs w:val="21"/>
                      <w:highlight w:val="none"/>
                    </w:rPr>
                    <w:t>预测值（dB(A)）</w:t>
                  </w:r>
                </w:p>
              </w:tc>
              <w:tc>
                <w:tcPr>
                  <w:tcW w:w="1380" w:type="dxa"/>
                  <w:vMerge w:val="restart"/>
                  <w:vAlign w:val="center"/>
                </w:tcPr>
                <w:p w14:paraId="6A384383">
                  <w:pPr>
                    <w:jc w:val="center"/>
                    <w:rPr>
                      <w:strike w:val="0"/>
                      <w:dstrike w:val="0"/>
                      <w:color w:val="auto"/>
                      <w:szCs w:val="21"/>
                      <w:highlight w:val="none"/>
                    </w:rPr>
                  </w:pPr>
                  <w:r>
                    <w:rPr>
                      <w:b/>
                      <w:strike w:val="0"/>
                      <w:dstrike w:val="0"/>
                      <w:color w:val="auto"/>
                      <w:szCs w:val="21"/>
                      <w:highlight w:val="none"/>
                    </w:rPr>
                    <w:t>标准限值（dB(A)）</w:t>
                  </w:r>
                </w:p>
              </w:tc>
              <w:tc>
                <w:tcPr>
                  <w:tcW w:w="1156" w:type="dxa"/>
                  <w:vMerge w:val="restart"/>
                  <w:vAlign w:val="center"/>
                </w:tcPr>
                <w:p w14:paraId="79EE357C">
                  <w:pPr>
                    <w:jc w:val="center"/>
                    <w:rPr>
                      <w:strike w:val="0"/>
                      <w:dstrike w:val="0"/>
                      <w:color w:val="auto"/>
                      <w:szCs w:val="21"/>
                      <w:highlight w:val="none"/>
                    </w:rPr>
                  </w:pPr>
                  <w:r>
                    <w:rPr>
                      <w:b/>
                      <w:strike w:val="0"/>
                      <w:dstrike w:val="0"/>
                      <w:color w:val="auto"/>
                      <w:szCs w:val="21"/>
                      <w:highlight w:val="none"/>
                    </w:rPr>
                    <w:t>达标情况</w:t>
                  </w:r>
                </w:p>
              </w:tc>
            </w:tr>
            <w:tr w14:paraId="3929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71" w:type="dxa"/>
                  <w:vMerge w:val="continue"/>
                  <w:shd w:val="clear" w:color="auto" w:fill="FFFFFF"/>
                  <w:vAlign w:val="center"/>
                </w:tcPr>
                <w:p w14:paraId="3C50B9DF">
                  <w:pPr>
                    <w:jc w:val="center"/>
                    <w:rPr>
                      <w:strike w:val="0"/>
                      <w:dstrike w:val="0"/>
                      <w:color w:val="auto"/>
                      <w:szCs w:val="21"/>
                      <w:highlight w:val="none"/>
                    </w:rPr>
                  </w:pPr>
                </w:p>
              </w:tc>
              <w:tc>
                <w:tcPr>
                  <w:tcW w:w="781" w:type="dxa"/>
                  <w:shd w:val="clear" w:color="auto" w:fill="FFFFFF"/>
                  <w:vAlign w:val="center"/>
                </w:tcPr>
                <w:p w14:paraId="1E91B500">
                  <w:pPr>
                    <w:jc w:val="center"/>
                    <w:rPr>
                      <w:strike w:val="0"/>
                      <w:dstrike w:val="0"/>
                      <w:color w:val="auto"/>
                      <w:szCs w:val="21"/>
                      <w:highlight w:val="none"/>
                    </w:rPr>
                  </w:pPr>
                  <w:r>
                    <w:rPr>
                      <w:strike w:val="0"/>
                      <w:dstrike w:val="0"/>
                      <w:color w:val="auto"/>
                      <w:szCs w:val="21"/>
                      <w:highlight w:val="none"/>
                    </w:rPr>
                    <w:t>X</w:t>
                  </w:r>
                </w:p>
              </w:tc>
              <w:tc>
                <w:tcPr>
                  <w:tcW w:w="781" w:type="dxa"/>
                  <w:shd w:val="clear" w:color="auto" w:fill="FFFFFF"/>
                  <w:vAlign w:val="center"/>
                </w:tcPr>
                <w:p w14:paraId="6B829F72">
                  <w:pPr>
                    <w:jc w:val="center"/>
                    <w:rPr>
                      <w:strike w:val="0"/>
                      <w:dstrike w:val="0"/>
                      <w:color w:val="auto"/>
                      <w:szCs w:val="21"/>
                      <w:highlight w:val="none"/>
                    </w:rPr>
                  </w:pPr>
                  <w:r>
                    <w:rPr>
                      <w:strike w:val="0"/>
                      <w:dstrike w:val="0"/>
                      <w:color w:val="auto"/>
                      <w:szCs w:val="21"/>
                      <w:highlight w:val="none"/>
                    </w:rPr>
                    <w:t>Y</w:t>
                  </w:r>
                </w:p>
              </w:tc>
              <w:tc>
                <w:tcPr>
                  <w:tcW w:w="783" w:type="dxa"/>
                  <w:shd w:val="clear" w:color="auto" w:fill="FFFFFF"/>
                  <w:vAlign w:val="center"/>
                </w:tcPr>
                <w:p w14:paraId="04B444B4">
                  <w:pPr>
                    <w:jc w:val="center"/>
                    <w:rPr>
                      <w:strike w:val="0"/>
                      <w:dstrike w:val="0"/>
                      <w:color w:val="auto"/>
                      <w:szCs w:val="21"/>
                      <w:highlight w:val="none"/>
                    </w:rPr>
                  </w:pPr>
                  <w:r>
                    <w:rPr>
                      <w:strike w:val="0"/>
                      <w:dstrike w:val="0"/>
                      <w:color w:val="auto"/>
                      <w:szCs w:val="21"/>
                      <w:highlight w:val="none"/>
                    </w:rPr>
                    <w:t>Z</w:t>
                  </w:r>
                </w:p>
              </w:tc>
              <w:tc>
                <w:tcPr>
                  <w:tcW w:w="966" w:type="dxa"/>
                  <w:vMerge w:val="continue"/>
                  <w:shd w:val="clear" w:color="auto" w:fill="FFFFFF"/>
                  <w:vAlign w:val="center"/>
                </w:tcPr>
                <w:p w14:paraId="45D4BB23">
                  <w:pPr>
                    <w:jc w:val="center"/>
                    <w:rPr>
                      <w:strike w:val="0"/>
                      <w:dstrike w:val="0"/>
                      <w:color w:val="auto"/>
                      <w:szCs w:val="21"/>
                      <w:highlight w:val="none"/>
                    </w:rPr>
                  </w:pPr>
                </w:p>
              </w:tc>
              <w:tc>
                <w:tcPr>
                  <w:tcW w:w="1379" w:type="dxa"/>
                  <w:vMerge w:val="continue"/>
                  <w:shd w:val="clear" w:color="auto" w:fill="FFFFFF"/>
                  <w:vAlign w:val="center"/>
                </w:tcPr>
                <w:p w14:paraId="40907B5B">
                  <w:pPr>
                    <w:jc w:val="center"/>
                    <w:rPr>
                      <w:strike w:val="0"/>
                      <w:dstrike w:val="0"/>
                      <w:color w:val="auto"/>
                      <w:szCs w:val="21"/>
                      <w:highlight w:val="none"/>
                    </w:rPr>
                  </w:pPr>
                </w:p>
              </w:tc>
              <w:tc>
                <w:tcPr>
                  <w:tcW w:w="1380" w:type="dxa"/>
                  <w:vMerge w:val="continue"/>
                  <w:shd w:val="clear" w:color="auto" w:fill="FFFFFF"/>
                  <w:vAlign w:val="center"/>
                </w:tcPr>
                <w:p w14:paraId="7F18E090">
                  <w:pPr>
                    <w:jc w:val="center"/>
                    <w:rPr>
                      <w:strike w:val="0"/>
                      <w:dstrike w:val="0"/>
                      <w:color w:val="auto"/>
                      <w:szCs w:val="21"/>
                      <w:highlight w:val="none"/>
                    </w:rPr>
                  </w:pPr>
                </w:p>
              </w:tc>
              <w:tc>
                <w:tcPr>
                  <w:tcW w:w="1156" w:type="dxa"/>
                  <w:vMerge w:val="continue"/>
                  <w:shd w:val="clear" w:color="auto" w:fill="FFFFFF"/>
                  <w:vAlign w:val="center"/>
                </w:tcPr>
                <w:p w14:paraId="18754CB4">
                  <w:pPr>
                    <w:jc w:val="center"/>
                    <w:rPr>
                      <w:strike w:val="0"/>
                      <w:dstrike w:val="0"/>
                      <w:color w:val="auto"/>
                      <w:szCs w:val="21"/>
                      <w:highlight w:val="none"/>
                    </w:rPr>
                  </w:pPr>
                </w:p>
              </w:tc>
            </w:tr>
            <w:tr w14:paraId="364B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071" w:type="dxa"/>
                  <w:vMerge w:val="restart"/>
                  <w:shd w:val="clear" w:color="auto" w:fill="FFFFFF"/>
                  <w:vAlign w:val="center"/>
                </w:tcPr>
                <w:p w14:paraId="227F9409">
                  <w:pPr>
                    <w:jc w:val="center"/>
                    <w:rPr>
                      <w:strike w:val="0"/>
                      <w:dstrike w:val="0"/>
                      <w:color w:val="auto"/>
                      <w:szCs w:val="21"/>
                      <w:highlight w:val="none"/>
                    </w:rPr>
                  </w:pPr>
                  <w:r>
                    <w:rPr>
                      <w:rFonts w:eastAsia="Arial"/>
                      <w:strike w:val="0"/>
                      <w:dstrike w:val="0"/>
                      <w:color w:val="auto"/>
                      <w:szCs w:val="21"/>
                      <w:highlight w:val="none"/>
                    </w:rPr>
                    <w:t>东侧</w:t>
                  </w:r>
                </w:p>
              </w:tc>
              <w:tc>
                <w:tcPr>
                  <w:tcW w:w="781" w:type="dxa"/>
                  <w:shd w:val="clear" w:color="auto" w:fill="FFFFFF"/>
                  <w:vAlign w:val="center"/>
                </w:tcPr>
                <w:p w14:paraId="3934CB5A">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35</w:t>
                  </w:r>
                </w:p>
              </w:tc>
              <w:tc>
                <w:tcPr>
                  <w:tcW w:w="781" w:type="dxa"/>
                  <w:shd w:val="clear" w:color="auto" w:fill="FFFFFF"/>
                  <w:vAlign w:val="center"/>
                </w:tcPr>
                <w:p w14:paraId="00569F0A">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-22</w:t>
                  </w:r>
                </w:p>
              </w:tc>
              <w:tc>
                <w:tcPr>
                  <w:tcW w:w="783" w:type="dxa"/>
                  <w:shd w:val="clear" w:color="auto" w:fill="FFFFFF"/>
                  <w:vAlign w:val="center"/>
                </w:tcPr>
                <w:p w14:paraId="21B1DEE0">
                  <w:pPr>
                    <w:jc w:val="center"/>
                    <w:rPr>
                      <w:rFonts w:eastAsia="Arial"/>
                      <w:strike w:val="0"/>
                      <w:dstrike w:val="0"/>
                      <w:color w:val="auto"/>
                      <w:szCs w:val="21"/>
                      <w:highlight w:val="none"/>
                    </w:rPr>
                  </w:pPr>
                  <w:r>
                    <w:rPr>
                      <w:rFonts w:eastAsia="Arial"/>
                      <w:strike w:val="0"/>
                      <w:dstrike w:val="0"/>
                      <w:color w:val="auto"/>
                      <w:szCs w:val="21"/>
                      <w:highlight w:val="none"/>
                    </w:rPr>
                    <w:t>1.2</w:t>
                  </w:r>
                </w:p>
              </w:tc>
              <w:tc>
                <w:tcPr>
                  <w:tcW w:w="966" w:type="dxa"/>
                  <w:shd w:val="clear" w:color="auto" w:fill="FFFFFF"/>
                  <w:vAlign w:val="center"/>
                </w:tcPr>
                <w:p w14:paraId="4ADC95EC">
                  <w:pPr>
                    <w:jc w:val="center"/>
                    <w:rPr>
                      <w:strike w:val="0"/>
                      <w:dstrike w:val="0"/>
                      <w:color w:val="auto"/>
                      <w:szCs w:val="21"/>
                      <w:highlight w:val="none"/>
                    </w:rPr>
                  </w:pPr>
                  <w:r>
                    <w:rPr>
                      <w:rFonts w:eastAsia="Arial"/>
                      <w:strike w:val="0"/>
                      <w:dstrike w:val="0"/>
                      <w:color w:val="auto"/>
                      <w:szCs w:val="21"/>
                      <w:highlight w:val="none"/>
                    </w:rPr>
                    <w:t>昼间</w:t>
                  </w:r>
                </w:p>
              </w:tc>
              <w:tc>
                <w:tcPr>
                  <w:tcW w:w="1379" w:type="dxa"/>
                  <w:shd w:val="clear" w:color="auto" w:fill="FFFFFF"/>
                  <w:vAlign w:val="center"/>
                </w:tcPr>
                <w:p w14:paraId="5FCA20FB">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50.75</w:t>
                  </w:r>
                </w:p>
              </w:tc>
              <w:tc>
                <w:tcPr>
                  <w:tcW w:w="1380" w:type="dxa"/>
                  <w:shd w:val="clear" w:color="auto" w:fill="FFFFFF"/>
                  <w:vAlign w:val="center"/>
                </w:tcPr>
                <w:p w14:paraId="09B94036">
                  <w:pPr>
                    <w:jc w:val="center"/>
                    <w:rPr>
                      <w:strike w:val="0"/>
                      <w:dstrike w:val="0"/>
                      <w:color w:val="auto"/>
                      <w:szCs w:val="21"/>
                      <w:highlight w:val="none"/>
                    </w:rPr>
                  </w:pPr>
                  <w:r>
                    <w:rPr>
                      <w:rFonts w:hint="eastAsia"/>
                      <w:strike w:val="0"/>
                      <w:dstrike w:val="0"/>
                      <w:color w:val="auto"/>
                      <w:szCs w:val="21"/>
                      <w:highlight w:val="none"/>
                    </w:rPr>
                    <w:t>70</w:t>
                  </w:r>
                </w:p>
              </w:tc>
              <w:tc>
                <w:tcPr>
                  <w:tcW w:w="1156" w:type="dxa"/>
                  <w:shd w:val="clear" w:color="auto" w:fill="FFFFFF"/>
                  <w:vAlign w:val="center"/>
                </w:tcPr>
                <w:p w14:paraId="504EB0E8">
                  <w:pPr>
                    <w:jc w:val="center"/>
                    <w:rPr>
                      <w:rFonts w:eastAsia="Arial"/>
                      <w:strike w:val="0"/>
                      <w:dstrike w:val="0"/>
                      <w:color w:val="auto"/>
                      <w:szCs w:val="21"/>
                      <w:highlight w:val="none"/>
                    </w:rPr>
                  </w:pPr>
                  <w:r>
                    <w:rPr>
                      <w:rFonts w:eastAsia="Arial"/>
                      <w:strike w:val="0"/>
                      <w:dstrike w:val="0"/>
                      <w:color w:val="auto"/>
                      <w:szCs w:val="21"/>
                      <w:highlight w:val="none"/>
                    </w:rPr>
                    <w:t>达标</w:t>
                  </w:r>
                </w:p>
              </w:tc>
            </w:tr>
            <w:tr w14:paraId="60FF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6" w:hRule="exact"/>
                <w:jc w:val="center"/>
              </w:trPr>
              <w:tc>
                <w:tcPr>
                  <w:tcW w:w="1071" w:type="dxa"/>
                  <w:vMerge w:val="continue"/>
                  <w:shd w:val="clear" w:color="auto" w:fill="FFFFFF"/>
                  <w:vAlign w:val="center"/>
                </w:tcPr>
                <w:p w14:paraId="55EFC6A9">
                  <w:pPr>
                    <w:jc w:val="center"/>
                    <w:rPr>
                      <w:strike w:val="0"/>
                      <w:dstrike w:val="0"/>
                      <w:color w:val="auto"/>
                      <w:szCs w:val="21"/>
                      <w:highlight w:val="none"/>
                    </w:rPr>
                  </w:pPr>
                </w:p>
              </w:tc>
              <w:tc>
                <w:tcPr>
                  <w:tcW w:w="781" w:type="dxa"/>
                  <w:shd w:val="clear" w:color="auto" w:fill="FFFFFF"/>
                  <w:vAlign w:val="center"/>
                </w:tcPr>
                <w:p w14:paraId="6207E6CD">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35</w:t>
                  </w:r>
                </w:p>
              </w:tc>
              <w:tc>
                <w:tcPr>
                  <w:tcW w:w="781" w:type="dxa"/>
                  <w:shd w:val="clear" w:color="auto" w:fill="FFFFFF"/>
                  <w:vAlign w:val="center"/>
                </w:tcPr>
                <w:p w14:paraId="49457E2E">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-22</w:t>
                  </w:r>
                </w:p>
              </w:tc>
              <w:tc>
                <w:tcPr>
                  <w:tcW w:w="783" w:type="dxa"/>
                  <w:shd w:val="clear" w:color="auto" w:fill="FFFFFF"/>
                  <w:vAlign w:val="center"/>
                </w:tcPr>
                <w:p w14:paraId="7391E8DA">
                  <w:pPr>
                    <w:jc w:val="center"/>
                    <w:rPr>
                      <w:rFonts w:eastAsia="Arial"/>
                      <w:strike w:val="0"/>
                      <w:dstrike w:val="0"/>
                      <w:color w:val="auto"/>
                      <w:szCs w:val="21"/>
                      <w:highlight w:val="none"/>
                    </w:rPr>
                  </w:pPr>
                  <w:r>
                    <w:rPr>
                      <w:rFonts w:eastAsia="Arial"/>
                      <w:strike w:val="0"/>
                      <w:dstrike w:val="0"/>
                      <w:color w:val="auto"/>
                      <w:szCs w:val="21"/>
                      <w:highlight w:val="none"/>
                    </w:rPr>
                    <w:t>1.2</w:t>
                  </w:r>
                </w:p>
              </w:tc>
              <w:tc>
                <w:tcPr>
                  <w:tcW w:w="966" w:type="dxa"/>
                  <w:shd w:val="clear" w:color="auto" w:fill="FFFFFF"/>
                  <w:vAlign w:val="center"/>
                </w:tcPr>
                <w:p w14:paraId="066DE255">
                  <w:pPr>
                    <w:jc w:val="center"/>
                    <w:rPr>
                      <w:strike w:val="0"/>
                      <w:dstrike w:val="0"/>
                      <w:color w:val="auto"/>
                      <w:szCs w:val="21"/>
                      <w:highlight w:val="none"/>
                    </w:rPr>
                  </w:pPr>
                  <w:r>
                    <w:rPr>
                      <w:rFonts w:eastAsia="Arial"/>
                      <w:strike w:val="0"/>
                      <w:dstrike w:val="0"/>
                      <w:color w:val="auto"/>
                      <w:szCs w:val="21"/>
                      <w:highlight w:val="none"/>
                    </w:rPr>
                    <w:t>夜间</w:t>
                  </w:r>
                </w:p>
              </w:tc>
              <w:tc>
                <w:tcPr>
                  <w:tcW w:w="1379" w:type="dxa"/>
                  <w:shd w:val="clear" w:color="auto" w:fill="FFFFFF"/>
                  <w:vAlign w:val="center"/>
                </w:tcPr>
                <w:p w14:paraId="174D3BC1">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50.75</w:t>
                  </w:r>
                </w:p>
              </w:tc>
              <w:tc>
                <w:tcPr>
                  <w:tcW w:w="1380" w:type="dxa"/>
                  <w:shd w:val="clear" w:color="auto" w:fill="FFFFFF"/>
                  <w:vAlign w:val="center"/>
                </w:tcPr>
                <w:p w14:paraId="00467674">
                  <w:pPr>
                    <w:jc w:val="center"/>
                    <w:rPr>
                      <w:rFonts w:eastAsia="Arial"/>
                      <w:strike w:val="0"/>
                      <w:dstrike w:val="0"/>
                      <w:color w:val="auto"/>
                      <w:szCs w:val="21"/>
                      <w:highlight w:val="none"/>
                    </w:rPr>
                  </w:pPr>
                  <w:r>
                    <w:rPr>
                      <w:rFonts w:eastAsia="Arial"/>
                      <w:strike w:val="0"/>
                      <w:dstrike w:val="0"/>
                      <w:color w:val="auto"/>
                      <w:szCs w:val="21"/>
                      <w:highlight w:val="none"/>
                    </w:rPr>
                    <w:t>55</w:t>
                  </w:r>
                </w:p>
              </w:tc>
              <w:tc>
                <w:tcPr>
                  <w:tcW w:w="1156" w:type="dxa"/>
                  <w:shd w:val="clear" w:color="auto" w:fill="FFFFFF"/>
                  <w:vAlign w:val="center"/>
                </w:tcPr>
                <w:p w14:paraId="1AC11871">
                  <w:pPr>
                    <w:jc w:val="center"/>
                    <w:rPr>
                      <w:rFonts w:eastAsia="Arial"/>
                      <w:strike w:val="0"/>
                      <w:dstrike w:val="0"/>
                      <w:color w:val="auto"/>
                      <w:szCs w:val="21"/>
                      <w:highlight w:val="none"/>
                    </w:rPr>
                  </w:pPr>
                  <w:r>
                    <w:rPr>
                      <w:rFonts w:eastAsia="Arial"/>
                      <w:strike w:val="0"/>
                      <w:dstrike w:val="0"/>
                      <w:color w:val="auto"/>
                      <w:szCs w:val="21"/>
                      <w:highlight w:val="none"/>
                    </w:rPr>
                    <w:t>达标</w:t>
                  </w:r>
                </w:p>
              </w:tc>
            </w:tr>
            <w:tr w14:paraId="745C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6" w:hRule="exact"/>
                <w:jc w:val="center"/>
              </w:trPr>
              <w:tc>
                <w:tcPr>
                  <w:tcW w:w="1071" w:type="dxa"/>
                  <w:vMerge w:val="restart"/>
                  <w:shd w:val="clear" w:color="auto" w:fill="FFFFFF"/>
                  <w:vAlign w:val="center"/>
                </w:tcPr>
                <w:p w14:paraId="0E7D19F7">
                  <w:pPr>
                    <w:jc w:val="center"/>
                    <w:rPr>
                      <w:strike w:val="0"/>
                      <w:dstrike w:val="0"/>
                      <w:color w:val="auto"/>
                      <w:szCs w:val="21"/>
                      <w:highlight w:val="none"/>
                    </w:rPr>
                  </w:pPr>
                  <w:r>
                    <w:rPr>
                      <w:rFonts w:eastAsia="Arial"/>
                      <w:strike w:val="0"/>
                      <w:dstrike w:val="0"/>
                      <w:color w:val="auto"/>
                      <w:szCs w:val="21"/>
                      <w:highlight w:val="none"/>
                    </w:rPr>
                    <w:t>南侧</w:t>
                  </w:r>
                </w:p>
              </w:tc>
              <w:tc>
                <w:tcPr>
                  <w:tcW w:w="781" w:type="dxa"/>
                  <w:shd w:val="clear" w:color="auto" w:fill="FFFFFF"/>
                  <w:vAlign w:val="center"/>
                </w:tcPr>
                <w:p w14:paraId="19CBC46E">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-52</w:t>
                  </w:r>
                </w:p>
              </w:tc>
              <w:tc>
                <w:tcPr>
                  <w:tcW w:w="781" w:type="dxa"/>
                  <w:shd w:val="clear" w:color="auto" w:fill="FFFFFF"/>
                  <w:vAlign w:val="center"/>
                </w:tcPr>
                <w:p w14:paraId="7EDED4B8">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-58</w:t>
                  </w:r>
                </w:p>
              </w:tc>
              <w:tc>
                <w:tcPr>
                  <w:tcW w:w="783" w:type="dxa"/>
                  <w:shd w:val="clear" w:color="auto" w:fill="FFFFFF"/>
                  <w:vAlign w:val="center"/>
                </w:tcPr>
                <w:p w14:paraId="4D6D619C">
                  <w:pPr>
                    <w:jc w:val="center"/>
                    <w:rPr>
                      <w:rFonts w:eastAsia="Arial"/>
                      <w:strike w:val="0"/>
                      <w:dstrike w:val="0"/>
                      <w:color w:val="auto"/>
                      <w:szCs w:val="21"/>
                      <w:highlight w:val="none"/>
                    </w:rPr>
                  </w:pPr>
                  <w:r>
                    <w:rPr>
                      <w:rFonts w:eastAsia="Arial"/>
                      <w:strike w:val="0"/>
                      <w:dstrike w:val="0"/>
                      <w:color w:val="auto"/>
                      <w:szCs w:val="21"/>
                      <w:highlight w:val="none"/>
                    </w:rPr>
                    <w:t>1.2</w:t>
                  </w:r>
                </w:p>
              </w:tc>
              <w:tc>
                <w:tcPr>
                  <w:tcW w:w="966" w:type="dxa"/>
                  <w:shd w:val="clear" w:color="auto" w:fill="FFFFFF"/>
                  <w:vAlign w:val="center"/>
                </w:tcPr>
                <w:p w14:paraId="17BD4A86">
                  <w:pPr>
                    <w:jc w:val="center"/>
                    <w:rPr>
                      <w:strike w:val="0"/>
                      <w:dstrike w:val="0"/>
                      <w:color w:val="auto"/>
                      <w:szCs w:val="21"/>
                      <w:highlight w:val="none"/>
                    </w:rPr>
                  </w:pPr>
                  <w:r>
                    <w:rPr>
                      <w:rFonts w:eastAsia="Arial"/>
                      <w:strike w:val="0"/>
                      <w:dstrike w:val="0"/>
                      <w:color w:val="auto"/>
                      <w:szCs w:val="21"/>
                      <w:highlight w:val="none"/>
                    </w:rPr>
                    <w:t>昼间</w:t>
                  </w:r>
                </w:p>
              </w:tc>
              <w:tc>
                <w:tcPr>
                  <w:tcW w:w="1379" w:type="dxa"/>
                  <w:shd w:val="clear" w:color="auto" w:fill="FFFFFF"/>
                  <w:vAlign w:val="center"/>
                </w:tcPr>
                <w:p w14:paraId="18C094A1">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52.30</w:t>
                  </w:r>
                </w:p>
              </w:tc>
              <w:tc>
                <w:tcPr>
                  <w:tcW w:w="1380" w:type="dxa"/>
                  <w:shd w:val="clear" w:color="auto" w:fill="FFFFFF"/>
                  <w:vAlign w:val="center"/>
                </w:tcPr>
                <w:p w14:paraId="494B0BB8">
                  <w:pPr>
                    <w:jc w:val="center"/>
                    <w:rPr>
                      <w:rFonts w:eastAsia="Arial"/>
                      <w:strike w:val="0"/>
                      <w:dstrike w:val="0"/>
                      <w:color w:val="auto"/>
                      <w:szCs w:val="21"/>
                      <w:highlight w:val="none"/>
                    </w:rPr>
                  </w:pPr>
                  <w:r>
                    <w:rPr>
                      <w:rFonts w:eastAsia="Arial"/>
                      <w:strike w:val="0"/>
                      <w:dstrike w:val="0"/>
                      <w:color w:val="auto"/>
                      <w:szCs w:val="21"/>
                      <w:highlight w:val="none"/>
                    </w:rPr>
                    <w:t>65</w:t>
                  </w:r>
                </w:p>
              </w:tc>
              <w:tc>
                <w:tcPr>
                  <w:tcW w:w="1156" w:type="dxa"/>
                  <w:shd w:val="clear" w:color="auto" w:fill="FFFFFF"/>
                  <w:vAlign w:val="center"/>
                </w:tcPr>
                <w:p w14:paraId="11FE744B">
                  <w:pPr>
                    <w:jc w:val="center"/>
                    <w:rPr>
                      <w:rFonts w:eastAsia="Arial"/>
                      <w:strike w:val="0"/>
                      <w:dstrike w:val="0"/>
                      <w:color w:val="auto"/>
                      <w:szCs w:val="21"/>
                      <w:highlight w:val="none"/>
                    </w:rPr>
                  </w:pPr>
                  <w:r>
                    <w:rPr>
                      <w:rFonts w:eastAsia="Arial"/>
                      <w:strike w:val="0"/>
                      <w:dstrike w:val="0"/>
                      <w:color w:val="auto"/>
                      <w:szCs w:val="21"/>
                      <w:highlight w:val="none"/>
                    </w:rPr>
                    <w:t>达标</w:t>
                  </w:r>
                </w:p>
              </w:tc>
            </w:tr>
            <w:tr w14:paraId="63B9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6" w:hRule="exact"/>
                <w:jc w:val="center"/>
              </w:trPr>
              <w:tc>
                <w:tcPr>
                  <w:tcW w:w="1071" w:type="dxa"/>
                  <w:vMerge w:val="continue"/>
                  <w:shd w:val="clear" w:color="auto" w:fill="FFFFFF"/>
                  <w:vAlign w:val="center"/>
                </w:tcPr>
                <w:p w14:paraId="2BCE8F64">
                  <w:pPr>
                    <w:jc w:val="center"/>
                    <w:rPr>
                      <w:strike w:val="0"/>
                      <w:dstrike w:val="0"/>
                      <w:color w:val="auto"/>
                      <w:szCs w:val="21"/>
                      <w:highlight w:val="none"/>
                    </w:rPr>
                  </w:pPr>
                </w:p>
              </w:tc>
              <w:tc>
                <w:tcPr>
                  <w:tcW w:w="781" w:type="dxa"/>
                  <w:shd w:val="clear" w:color="auto" w:fill="FFFFFF"/>
                  <w:vAlign w:val="center"/>
                </w:tcPr>
                <w:p w14:paraId="30F7FE36">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-52</w:t>
                  </w:r>
                </w:p>
              </w:tc>
              <w:tc>
                <w:tcPr>
                  <w:tcW w:w="781" w:type="dxa"/>
                  <w:shd w:val="clear" w:color="auto" w:fill="FFFFFF"/>
                  <w:vAlign w:val="center"/>
                </w:tcPr>
                <w:p w14:paraId="17D3AC81">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-58</w:t>
                  </w:r>
                </w:p>
              </w:tc>
              <w:tc>
                <w:tcPr>
                  <w:tcW w:w="783" w:type="dxa"/>
                  <w:shd w:val="clear" w:color="auto" w:fill="FFFFFF"/>
                  <w:vAlign w:val="center"/>
                </w:tcPr>
                <w:p w14:paraId="42A6C276">
                  <w:pPr>
                    <w:jc w:val="center"/>
                    <w:rPr>
                      <w:rFonts w:eastAsia="Arial"/>
                      <w:strike w:val="0"/>
                      <w:dstrike w:val="0"/>
                      <w:color w:val="auto"/>
                      <w:szCs w:val="21"/>
                      <w:highlight w:val="none"/>
                    </w:rPr>
                  </w:pPr>
                  <w:r>
                    <w:rPr>
                      <w:rFonts w:eastAsia="Arial"/>
                      <w:strike w:val="0"/>
                      <w:dstrike w:val="0"/>
                      <w:color w:val="auto"/>
                      <w:szCs w:val="21"/>
                      <w:highlight w:val="none"/>
                    </w:rPr>
                    <w:t>1.2</w:t>
                  </w:r>
                </w:p>
              </w:tc>
              <w:tc>
                <w:tcPr>
                  <w:tcW w:w="966" w:type="dxa"/>
                  <w:shd w:val="clear" w:color="auto" w:fill="FFFFFF"/>
                  <w:vAlign w:val="center"/>
                </w:tcPr>
                <w:p w14:paraId="7746CECE">
                  <w:pPr>
                    <w:jc w:val="center"/>
                    <w:rPr>
                      <w:strike w:val="0"/>
                      <w:dstrike w:val="0"/>
                      <w:color w:val="auto"/>
                      <w:szCs w:val="21"/>
                      <w:highlight w:val="none"/>
                    </w:rPr>
                  </w:pPr>
                  <w:r>
                    <w:rPr>
                      <w:rFonts w:eastAsia="Arial"/>
                      <w:strike w:val="0"/>
                      <w:dstrike w:val="0"/>
                      <w:color w:val="auto"/>
                      <w:szCs w:val="21"/>
                      <w:highlight w:val="none"/>
                    </w:rPr>
                    <w:t>夜间</w:t>
                  </w:r>
                </w:p>
              </w:tc>
              <w:tc>
                <w:tcPr>
                  <w:tcW w:w="1379" w:type="dxa"/>
                  <w:shd w:val="clear" w:color="auto" w:fill="FFFFFF"/>
                  <w:vAlign w:val="center"/>
                </w:tcPr>
                <w:p w14:paraId="3649C6F6">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52.30</w:t>
                  </w:r>
                </w:p>
              </w:tc>
              <w:tc>
                <w:tcPr>
                  <w:tcW w:w="1380" w:type="dxa"/>
                  <w:shd w:val="clear" w:color="auto" w:fill="FFFFFF"/>
                  <w:vAlign w:val="center"/>
                </w:tcPr>
                <w:p w14:paraId="07229927">
                  <w:pPr>
                    <w:jc w:val="center"/>
                    <w:rPr>
                      <w:rFonts w:eastAsia="Arial"/>
                      <w:strike w:val="0"/>
                      <w:dstrike w:val="0"/>
                      <w:color w:val="auto"/>
                      <w:szCs w:val="21"/>
                      <w:highlight w:val="none"/>
                    </w:rPr>
                  </w:pPr>
                  <w:r>
                    <w:rPr>
                      <w:rFonts w:eastAsia="Arial"/>
                      <w:strike w:val="0"/>
                      <w:dstrike w:val="0"/>
                      <w:color w:val="auto"/>
                      <w:szCs w:val="21"/>
                      <w:highlight w:val="none"/>
                    </w:rPr>
                    <w:t>55</w:t>
                  </w:r>
                </w:p>
              </w:tc>
              <w:tc>
                <w:tcPr>
                  <w:tcW w:w="1156" w:type="dxa"/>
                  <w:shd w:val="clear" w:color="auto" w:fill="FFFFFF"/>
                  <w:vAlign w:val="center"/>
                </w:tcPr>
                <w:p w14:paraId="62503A0A">
                  <w:pPr>
                    <w:jc w:val="center"/>
                    <w:rPr>
                      <w:rFonts w:eastAsia="Arial"/>
                      <w:strike w:val="0"/>
                      <w:dstrike w:val="0"/>
                      <w:color w:val="auto"/>
                      <w:szCs w:val="21"/>
                      <w:highlight w:val="none"/>
                    </w:rPr>
                  </w:pPr>
                  <w:r>
                    <w:rPr>
                      <w:rFonts w:eastAsia="Arial"/>
                      <w:strike w:val="0"/>
                      <w:dstrike w:val="0"/>
                      <w:color w:val="auto"/>
                      <w:szCs w:val="21"/>
                      <w:highlight w:val="none"/>
                    </w:rPr>
                    <w:t>达标</w:t>
                  </w:r>
                </w:p>
              </w:tc>
            </w:tr>
            <w:tr w14:paraId="6FF5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9" w:hRule="exact"/>
                <w:jc w:val="center"/>
              </w:trPr>
              <w:tc>
                <w:tcPr>
                  <w:tcW w:w="1071" w:type="dxa"/>
                  <w:vMerge w:val="restart"/>
                  <w:shd w:val="clear" w:color="auto" w:fill="FFFFFF"/>
                  <w:vAlign w:val="center"/>
                </w:tcPr>
                <w:p w14:paraId="7F33747F">
                  <w:pPr>
                    <w:jc w:val="center"/>
                    <w:rPr>
                      <w:strike w:val="0"/>
                      <w:dstrike w:val="0"/>
                      <w:color w:val="auto"/>
                      <w:szCs w:val="21"/>
                      <w:highlight w:val="none"/>
                    </w:rPr>
                  </w:pPr>
                  <w:r>
                    <w:rPr>
                      <w:rFonts w:eastAsia="Arial"/>
                      <w:strike w:val="0"/>
                      <w:dstrike w:val="0"/>
                      <w:color w:val="auto"/>
                      <w:szCs w:val="21"/>
                      <w:highlight w:val="none"/>
                    </w:rPr>
                    <w:t>西侧</w:t>
                  </w:r>
                </w:p>
              </w:tc>
              <w:tc>
                <w:tcPr>
                  <w:tcW w:w="781" w:type="dxa"/>
                  <w:shd w:val="clear" w:color="auto" w:fill="FFFFFF"/>
                  <w:vAlign w:val="center"/>
                </w:tcPr>
                <w:p w14:paraId="3212C01D">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-42</w:t>
                  </w:r>
                </w:p>
              </w:tc>
              <w:tc>
                <w:tcPr>
                  <w:tcW w:w="781" w:type="dxa"/>
                  <w:shd w:val="clear" w:color="auto" w:fill="FFFFFF"/>
                  <w:vAlign w:val="center"/>
                </w:tcPr>
                <w:p w14:paraId="74E0BFCA">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26</w:t>
                  </w:r>
                </w:p>
              </w:tc>
              <w:tc>
                <w:tcPr>
                  <w:tcW w:w="783" w:type="dxa"/>
                  <w:shd w:val="clear" w:color="auto" w:fill="FFFFFF"/>
                  <w:vAlign w:val="center"/>
                </w:tcPr>
                <w:p w14:paraId="2C25CA98">
                  <w:pPr>
                    <w:jc w:val="center"/>
                    <w:rPr>
                      <w:rFonts w:eastAsia="Arial"/>
                      <w:strike w:val="0"/>
                      <w:dstrike w:val="0"/>
                      <w:color w:val="auto"/>
                      <w:szCs w:val="21"/>
                      <w:highlight w:val="none"/>
                    </w:rPr>
                  </w:pPr>
                  <w:r>
                    <w:rPr>
                      <w:rFonts w:eastAsia="Arial"/>
                      <w:strike w:val="0"/>
                      <w:dstrike w:val="0"/>
                      <w:color w:val="auto"/>
                      <w:szCs w:val="21"/>
                      <w:highlight w:val="none"/>
                    </w:rPr>
                    <w:t>1.2</w:t>
                  </w:r>
                </w:p>
              </w:tc>
              <w:tc>
                <w:tcPr>
                  <w:tcW w:w="966" w:type="dxa"/>
                  <w:shd w:val="clear" w:color="auto" w:fill="FFFFFF"/>
                  <w:vAlign w:val="center"/>
                </w:tcPr>
                <w:p w14:paraId="1CFD7733">
                  <w:pPr>
                    <w:jc w:val="center"/>
                    <w:rPr>
                      <w:strike w:val="0"/>
                      <w:dstrike w:val="0"/>
                      <w:color w:val="auto"/>
                      <w:szCs w:val="21"/>
                      <w:highlight w:val="none"/>
                    </w:rPr>
                  </w:pPr>
                  <w:r>
                    <w:rPr>
                      <w:rFonts w:eastAsia="Arial"/>
                      <w:strike w:val="0"/>
                      <w:dstrike w:val="0"/>
                      <w:color w:val="auto"/>
                      <w:szCs w:val="21"/>
                      <w:highlight w:val="none"/>
                    </w:rPr>
                    <w:t>昼间</w:t>
                  </w:r>
                </w:p>
              </w:tc>
              <w:tc>
                <w:tcPr>
                  <w:tcW w:w="1379" w:type="dxa"/>
                  <w:shd w:val="clear" w:color="auto" w:fill="FFFFFF"/>
                  <w:vAlign w:val="center"/>
                </w:tcPr>
                <w:p w14:paraId="79791E9B">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50.89</w:t>
                  </w:r>
                </w:p>
              </w:tc>
              <w:tc>
                <w:tcPr>
                  <w:tcW w:w="1380" w:type="dxa"/>
                  <w:shd w:val="clear" w:color="auto" w:fill="FFFFFF"/>
                  <w:vAlign w:val="center"/>
                </w:tcPr>
                <w:p w14:paraId="21D633AA">
                  <w:pPr>
                    <w:jc w:val="center"/>
                    <w:rPr>
                      <w:rFonts w:eastAsia="Arial"/>
                      <w:strike w:val="0"/>
                      <w:dstrike w:val="0"/>
                      <w:color w:val="auto"/>
                      <w:szCs w:val="21"/>
                      <w:highlight w:val="none"/>
                    </w:rPr>
                  </w:pPr>
                  <w:r>
                    <w:rPr>
                      <w:rFonts w:eastAsia="Arial"/>
                      <w:strike w:val="0"/>
                      <w:dstrike w:val="0"/>
                      <w:color w:val="auto"/>
                      <w:szCs w:val="21"/>
                      <w:highlight w:val="none"/>
                    </w:rPr>
                    <w:t>65</w:t>
                  </w:r>
                </w:p>
              </w:tc>
              <w:tc>
                <w:tcPr>
                  <w:tcW w:w="1156" w:type="dxa"/>
                  <w:shd w:val="clear" w:color="auto" w:fill="FFFFFF"/>
                  <w:vAlign w:val="center"/>
                </w:tcPr>
                <w:p w14:paraId="6C8D0AA3">
                  <w:pPr>
                    <w:jc w:val="center"/>
                    <w:rPr>
                      <w:rFonts w:eastAsia="Arial"/>
                      <w:strike w:val="0"/>
                      <w:dstrike w:val="0"/>
                      <w:color w:val="auto"/>
                      <w:szCs w:val="21"/>
                      <w:highlight w:val="none"/>
                    </w:rPr>
                  </w:pPr>
                  <w:r>
                    <w:rPr>
                      <w:rFonts w:eastAsia="Arial"/>
                      <w:strike w:val="0"/>
                      <w:dstrike w:val="0"/>
                      <w:color w:val="auto"/>
                      <w:szCs w:val="21"/>
                      <w:highlight w:val="none"/>
                    </w:rPr>
                    <w:t>达标</w:t>
                  </w:r>
                </w:p>
              </w:tc>
            </w:tr>
            <w:tr w14:paraId="28B1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6" w:hRule="exact"/>
                <w:jc w:val="center"/>
              </w:trPr>
              <w:tc>
                <w:tcPr>
                  <w:tcW w:w="1071" w:type="dxa"/>
                  <w:vMerge w:val="continue"/>
                  <w:shd w:val="clear" w:color="auto" w:fill="FFFFFF"/>
                  <w:vAlign w:val="center"/>
                </w:tcPr>
                <w:p w14:paraId="10C9F578">
                  <w:pPr>
                    <w:jc w:val="center"/>
                    <w:rPr>
                      <w:strike w:val="0"/>
                      <w:dstrike w:val="0"/>
                      <w:color w:val="auto"/>
                      <w:szCs w:val="21"/>
                      <w:highlight w:val="none"/>
                    </w:rPr>
                  </w:pPr>
                </w:p>
              </w:tc>
              <w:tc>
                <w:tcPr>
                  <w:tcW w:w="781" w:type="dxa"/>
                  <w:shd w:val="clear" w:color="auto" w:fill="FFFFFF"/>
                  <w:vAlign w:val="center"/>
                </w:tcPr>
                <w:p w14:paraId="460B8608">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-42</w:t>
                  </w:r>
                </w:p>
              </w:tc>
              <w:tc>
                <w:tcPr>
                  <w:tcW w:w="781" w:type="dxa"/>
                  <w:shd w:val="clear" w:color="auto" w:fill="FFFFFF"/>
                  <w:vAlign w:val="center"/>
                </w:tcPr>
                <w:p w14:paraId="59CF8843">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26</w:t>
                  </w:r>
                </w:p>
              </w:tc>
              <w:tc>
                <w:tcPr>
                  <w:tcW w:w="783" w:type="dxa"/>
                  <w:shd w:val="clear" w:color="auto" w:fill="FFFFFF"/>
                  <w:vAlign w:val="center"/>
                </w:tcPr>
                <w:p w14:paraId="2025C37B">
                  <w:pPr>
                    <w:jc w:val="center"/>
                    <w:rPr>
                      <w:rFonts w:eastAsia="Arial"/>
                      <w:strike w:val="0"/>
                      <w:dstrike w:val="0"/>
                      <w:color w:val="auto"/>
                      <w:szCs w:val="21"/>
                      <w:highlight w:val="none"/>
                    </w:rPr>
                  </w:pPr>
                  <w:r>
                    <w:rPr>
                      <w:rFonts w:eastAsia="Arial"/>
                      <w:strike w:val="0"/>
                      <w:dstrike w:val="0"/>
                      <w:color w:val="auto"/>
                      <w:szCs w:val="21"/>
                      <w:highlight w:val="none"/>
                    </w:rPr>
                    <w:t>1.2</w:t>
                  </w:r>
                </w:p>
              </w:tc>
              <w:tc>
                <w:tcPr>
                  <w:tcW w:w="966" w:type="dxa"/>
                  <w:shd w:val="clear" w:color="auto" w:fill="FFFFFF"/>
                  <w:vAlign w:val="center"/>
                </w:tcPr>
                <w:p w14:paraId="62BF8EED">
                  <w:pPr>
                    <w:jc w:val="center"/>
                    <w:rPr>
                      <w:strike w:val="0"/>
                      <w:dstrike w:val="0"/>
                      <w:color w:val="auto"/>
                      <w:szCs w:val="21"/>
                      <w:highlight w:val="none"/>
                    </w:rPr>
                  </w:pPr>
                  <w:r>
                    <w:rPr>
                      <w:rFonts w:eastAsia="Arial"/>
                      <w:strike w:val="0"/>
                      <w:dstrike w:val="0"/>
                      <w:color w:val="auto"/>
                      <w:szCs w:val="21"/>
                      <w:highlight w:val="none"/>
                    </w:rPr>
                    <w:t>夜间</w:t>
                  </w:r>
                </w:p>
              </w:tc>
              <w:tc>
                <w:tcPr>
                  <w:tcW w:w="1379" w:type="dxa"/>
                  <w:shd w:val="clear" w:color="auto" w:fill="FFFFFF"/>
                  <w:vAlign w:val="center"/>
                </w:tcPr>
                <w:p w14:paraId="2788ADCD">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50.89</w:t>
                  </w:r>
                </w:p>
              </w:tc>
              <w:tc>
                <w:tcPr>
                  <w:tcW w:w="1380" w:type="dxa"/>
                  <w:shd w:val="clear" w:color="auto" w:fill="FFFFFF"/>
                  <w:vAlign w:val="center"/>
                </w:tcPr>
                <w:p w14:paraId="64F0F51C">
                  <w:pPr>
                    <w:jc w:val="center"/>
                    <w:rPr>
                      <w:rFonts w:eastAsia="Arial"/>
                      <w:strike w:val="0"/>
                      <w:dstrike w:val="0"/>
                      <w:color w:val="auto"/>
                      <w:szCs w:val="21"/>
                      <w:highlight w:val="none"/>
                    </w:rPr>
                  </w:pPr>
                  <w:r>
                    <w:rPr>
                      <w:rFonts w:eastAsia="Arial"/>
                      <w:strike w:val="0"/>
                      <w:dstrike w:val="0"/>
                      <w:color w:val="auto"/>
                      <w:szCs w:val="21"/>
                      <w:highlight w:val="none"/>
                    </w:rPr>
                    <w:t>55</w:t>
                  </w:r>
                </w:p>
              </w:tc>
              <w:tc>
                <w:tcPr>
                  <w:tcW w:w="1156" w:type="dxa"/>
                  <w:shd w:val="clear" w:color="auto" w:fill="FFFFFF"/>
                  <w:vAlign w:val="center"/>
                </w:tcPr>
                <w:p w14:paraId="7F39C10B">
                  <w:pPr>
                    <w:jc w:val="center"/>
                    <w:rPr>
                      <w:rFonts w:eastAsia="Arial"/>
                      <w:strike w:val="0"/>
                      <w:dstrike w:val="0"/>
                      <w:color w:val="auto"/>
                      <w:szCs w:val="21"/>
                      <w:highlight w:val="none"/>
                    </w:rPr>
                  </w:pPr>
                  <w:r>
                    <w:rPr>
                      <w:rFonts w:eastAsia="Arial"/>
                      <w:strike w:val="0"/>
                      <w:dstrike w:val="0"/>
                      <w:color w:val="auto"/>
                      <w:szCs w:val="21"/>
                      <w:highlight w:val="none"/>
                    </w:rPr>
                    <w:t>达标</w:t>
                  </w:r>
                </w:p>
              </w:tc>
            </w:tr>
            <w:tr w14:paraId="6E78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exact"/>
                <w:jc w:val="center"/>
              </w:trPr>
              <w:tc>
                <w:tcPr>
                  <w:tcW w:w="1071" w:type="dxa"/>
                  <w:vMerge w:val="restart"/>
                  <w:shd w:val="clear" w:color="auto" w:fill="FFFFFF"/>
                  <w:vAlign w:val="center"/>
                </w:tcPr>
                <w:p w14:paraId="037CA704">
                  <w:pPr>
                    <w:jc w:val="center"/>
                    <w:rPr>
                      <w:strike w:val="0"/>
                      <w:dstrike w:val="0"/>
                      <w:color w:val="auto"/>
                      <w:szCs w:val="21"/>
                      <w:highlight w:val="none"/>
                    </w:rPr>
                  </w:pPr>
                  <w:r>
                    <w:rPr>
                      <w:rFonts w:eastAsia="Arial"/>
                      <w:strike w:val="0"/>
                      <w:dstrike w:val="0"/>
                      <w:color w:val="auto"/>
                      <w:szCs w:val="21"/>
                      <w:highlight w:val="none"/>
                    </w:rPr>
                    <w:t>北侧</w:t>
                  </w:r>
                </w:p>
              </w:tc>
              <w:tc>
                <w:tcPr>
                  <w:tcW w:w="781" w:type="dxa"/>
                  <w:shd w:val="clear" w:color="auto" w:fill="FFFFFF"/>
                  <w:vAlign w:val="center"/>
                </w:tcPr>
                <w:p w14:paraId="571118E1">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37</w:t>
                  </w:r>
                </w:p>
              </w:tc>
              <w:tc>
                <w:tcPr>
                  <w:tcW w:w="781" w:type="dxa"/>
                  <w:shd w:val="clear" w:color="auto" w:fill="FFFFFF"/>
                  <w:vAlign w:val="center"/>
                </w:tcPr>
                <w:p w14:paraId="57E16F28">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48</w:t>
                  </w:r>
                </w:p>
              </w:tc>
              <w:tc>
                <w:tcPr>
                  <w:tcW w:w="783" w:type="dxa"/>
                  <w:shd w:val="clear" w:color="auto" w:fill="FFFFFF"/>
                  <w:vAlign w:val="center"/>
                </w:tcPr>
                <w:p w14:paraId="7FAB2DE9">
                  <w:pPr>
                    <w:jc w:val="center"/>
                    <w:rPr>
                      <w:rFonts w:eastAsia="Arial"/>
                      <w:strike w:val="0"/>
                      <w:dstrike w:val="0"/>
                      <w:color w:val="auto"/>
                      <w:szCs w:val="21"/>
                      <w:highlight w:val="none"/>
                    </w:rPr>
                  </w:pPr>
                  <w:r>
                    <w:rPr>
                      <w:rFonts w:eastAsia="Arial"/>
                      <w:strike w:val="0"/>
                      <w:dstrike w:val="0"/>
                      <w:color w:val="auto"/>
                      <w:szCs w:val="21"/>
                      <w:highlight w:val="none"/>
                    </w:rPr>
                    <w:t>1.2</w:t>
                  </w:r>
                </w:p>
              </w:tc>
              <w:tc>
                <w:tcPr>
                  <w:tcW w:w="966" w:type="dxa"/>
                  <w:shd w:val="clear" w:color="auto" w:fill="FFFFFF"/>
                  <w:vAlign w:val="center"/>
                </w:tcPr>
                <w:p w14:paraId="29772064">
                  <w:pPr>
                    <w:jc w:val="center"/>
                    <w:rPr>
                      <w:strike w:val="0"/>
                      <w:dstrike w:val="0"/>
                      <w:color w:val="auto"/>
                      <w:szCs w:val="21"/>
                      <w:highlight w:val="none"/>
                    </w:rPr>
                  </w:pPr>
                  <w:r>
                    <w:rPr>
                      <w:rFonts w:eastAsia="Arial"/>
                      <w:strike w:val="0"/>
                      <w:dstrike w:val="0"/>
                      <w:color w:val="auto"/>
                      <w:szCs w:val="21"/>
                      <w:highlight w:val="none"/>
                    </w:rPr>
                    <w:t>昼间</w:t>
                  </w:r>
                </w:p>
              </w:tc>
              <w:tc>
                <w:tcPr>
                  <w:tcW w:w="1379" w:type="dxa"/>
                  <w:shd w:val="clear" w:color="auto" w:fill="FFFFFF"/>
                  <w:vAlign w:val="center"/>
                </w:tcPr>
                <w:p w14:paraId="22375E17">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46.51</w:t>
                  </w:r>
                </w:p>
              </w:tc>
              <w:tc>
                <w:tcPr>
                  <w:tcW w:w="1380" w:type="dxa"/>
                  <w:shd w:val="clear" w:color="auto" w:fill="FFFFFF"/>
                  <w:vAlign w:val="center"/>
                </w:tcPr>
                <w:p w14:paraId="44622248">
                  <w:pPr>
                    <w:jc w:val="center"/>
                    <w:rPr>
                      <w:rFonts w:eastAsia="Arial"/>
                      <w:strike w:val="0"/>
                      <w:dstrike w:val="0"/>
                      <w:color w:val="auto"/>
                      <w:szCs w:val="21"/>
                      <w:highlight w:val="none"/>
                    </w:rPr>
                  </w:pPr>
                  <w:r>
                    <w:rPr>
                      <w:rFonts w:eastAsia="Arial"/>
                      <w:strike w:val="0"/>
                      <w:dstrike w:val="0"/>
                      <w:color w:val="auto"/>
                      <w:szCs w:val="21"/>
                      <w:highlight w:val="none"/>
                    </w:rPr>
                    <w:t>65</w:t>
                  </w:r>
                </w:p>
              </w:tc>
              <w:tc>
                <w:tcPr>
                  <w:tcW w:w="1156" w:type="dxa"/>
                  <w:shd w:val="clear" w:color="auto" w:fill="FFFFFF"/>
                  <w:vAlign w:val="center"/>
                </w:tcPr>
                <w:p w14:paraId="3FC8122E">
                  <w:pPr>
                    <w:jc w:val="center"/>
                    <w:rPr>
                      <w:rFonts w:eastAsia="Arial"/>
                      <w:strike w:val="0"/>
                      <w:dstrike w:val="0"/>
                      <w:color w:val="auto"/>
                      <w:szCs w:val="21"/>
                      <w:highlight w:val="none"/>
                    </w:rPr>
                  </w:pPr>
                  <w:r>
                    <w:rPr>
                      <w:rFonts w:eastAsia="Arial"/>
                      <w:strike w:val="0"/>
                      <w:dstrike w:val="0"/>
                      <w:color w:val="auto"/>
                      <w:szCs w:val="21"/>
                      <w:highlight w:val="none"/>
                    </w:rPr>
                    <w:t>达标</w:t>
                  </w:r>
                </w:p>
              </w:tc>
            </w:tr>
            <w:tr w14:paraId="637C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6" w:hRule="exact"/>
                <w:jc w:val="center"/>
              </w:trPr>
              <w:tc>
                <w:tcPr>
                  <w:tcW w:w="1071" w:type="dxa"/>
                  <w:vMerge w:val="continue"/>
                  <w:shd w:val="clear" w:color="auto" w:fill="FFFFFF"/>
                  <w:vAlign w:val="center"/>
                </w:tcPr>
                <w:p w14:paraId="414A25F0">
                  <w:pPr>
                    <w:jc w:val="center"/>
                    <w:rPr>
                      <w:strike w:val="0"/>
                      <w:dstrike w:val="0"/>
                      <w:color w:val="auto"/>
                      <w:szCs w:val="21"/>
                      <w:highlight w:val="none"/>
                    </w:rPr>
                  </w:pPr>
                </w:p>
              </w:tc>
              <w:tc>
                <w:tcPr>
                  <w:tcW w:w="781" w:type="dxa"/>
                  <w:shd w:val="clear" w:color="auto" w:fill="FFFFFF"/>
                  <w:vAlign w:val="center"/>
                </w:tcPr>
                <w:p w14:paraId="198BC000">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37</w:t>
                  </w:r>
                </w:p>
              </w:tc>
              <w:tc>
                <w:tcPr>
                  <w:tcW w:w="781" w:type="dxa"/>
                  <w:shd w:val="clear" w:color="auto" w:fill="FFFFFF"/>
                  <w:vAlign w:val="center"/>
                </w:tcPr>
                <w:p w14:paraId="6BDF902B">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48</w:t>
                  </w:r>
                </w:p>
              </w:tc>
              <w:tc>
                <w:tcPr>
                  <w:tcW w:w="783" w:type="dxa"/>
                  <w:shd w:val="clear" w:color="auto" w:fill="FFFFFF"/>
                  <w:vAlign w:val="center"/>
                </w:tcPr>
                <w:p w14:paraId="6F290F5E">
                  <w:pPr>
                    <w:jc w:val="center"/>
                    <w:rPr>
                      <w:rFonts w:eastAsia="Arial"/>
                      <w:strike w:val="0"/>
                      <w:dstrike w:val="0"/>
                      <w:color w:val="auto"/>
                      <w:szCs w:val="21"/>
                      <w:highlight w:val="none"/>
                    </w:rPr>
                  </w:pPr>
                  <w:r>
                    <w:rPr>
                      <w:rFonts w:eastAsia="Arial"/>
                      <w:strike w:val="0"/>
                      <w:dstrike w:val="0"/>
                      <w:color w:val="auto"/>
                      <w:szCs w:val="21"/>
                      <w:highlight w:val="none"/>
                    </w:rPr>
                    <w:t>1.2</w:t>
                  </w:r>
                </w:p>
              </w:tc>
              <w:tc>
                <w:tcPr>
                  <w:tcW w:w="966" w:type="dxa"/>
                  <w:shd w:val="clear" w:color="auto" w:fill="FFFFFF"/>
                  <w:vAlign w:val="center"/>
                </w:tcPr>
                <w:p w14:paraId="58858C90">
                  <w:pPr>
                    <w:jc w:val="center"/>
                    <w:rPr>
                      <w:strike w:val="0"/>
                      <w:dstrike w:val="0"/>
                      <w:color w:val="auto"/>
                      <w:szCs w:val="21"/>
                      <w:highlight w:val="none"/>
                    </w:rPr>
                  </w:pPr>
                  <w:r>
                    <w:rPr>
                      <w:rFonts w:eastAsia="Arial"/>
                      <w:strike w:val="0"/>
                      <w:dstrike w:val="0"/>
                      <w:color w:val="auto"/>
                      <w:szCs w:val="21"/>
                      <w:highlight w:val="none"/>
                    </w:rPr>
                    <w:t>夜间</w:t>
                  </w:r>
                </w:p>
              </w:tc>
              <w:tc>
                <w:tcPr>
                  <w:tcW w:w="1379" w:type="dxa"/>
                  <w:shd w:val="clear" w:color="auto" w:fill="FFFFFF"/>
                  <w:vAlign w:val="center"/>
                </w:tcPr>
                <w:p w14:paraId="60B82876">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46.51</w:t>
                  </w:r>
                </w:p>
              </w:tc>
              <w:tc>
                <w:tcPr>
                  <w:tcW w:w="1380" w:type="dxa"/>
                  <w:shd w:val="clear" w:color="auto" w:fill="FFFFFF"/>
                  <w:vAlign w:val="center"/>
                </w:tcPr>
                <w:p w14:paraId="5E9D5D3D">
                  <w:pPr>
                    <w:jc w:val="center"/>
                    <w:rPr>
                      <w:rFonts w:eastAsia="Arial"/>
                      <w:strike w:val="0"/>
                      <w:dstrike w:val="0"/>
                      <w:color w:val="auto"/>
                      <w:szCs w:val="21"/>
                      <w:highlight w:val="none"/>
                    </w:rPr>
                  </w:pPr>
                  <w:r>
                    <w:rPr>
                      <w:rFonts w:eastAsia="Arial"/>
                      <w:strike w:val="0"/>
                      <w:dstrike w:val="0"/>
                      <w:color w:val="auto"/>
                      <w:szCs w:val="21"/>
                      <w:highlight w:val="none"/>
                    </w:rPr>
                    <w:t>55</w:t>
                  </w:r>
                </w:p>
              </w:tc>
              <w:tc>
                <w:tcPr>
                  <w:tcW w:w="1156" w:type="dxa"/>
                  <w:shd w:val="clear" w:color="auto" w:fill="FFFFFF"/>
                  <w:vAlign w:val="center"/>
                </w:tcPr>
                <w:p w14:paraId="58AB171A">
                  <w:pPr>
                    <w:jc w:val="center"/>
                    <w:rPr>
                      <w:rFonts w:eastAsia="Arial"/>
                      <w:strike w:val="0"/>
                      <w:dstrike w:val="0"/>
                      <w:color w:val="auto"/>
                      <w:szCs w:val="21"/>
                      <w:highlight w:val="none"/>
                    </w:rPr>
                  </w:pPr>
                  <w:r>
                    <w:rPr>
                      <w:rFonts w:eastAsia="Arial"/>
                      <w:strike w:val="0"/>
                      <w:dstrike w:val="0"/>
                      <w:color w:val="auto"/>
                      <w:szCs w:val="21"/>
                      <w:highlight w:val="none"/>
                    </w:rPr>
                    <w:t>达标</w:t>
                  </w:r>
                </w:p>
              </w:tc>
            </w:tr>
          </w:tbl>
          <w:p w14:paraId="0BD89EDC">
            <w:pPr>
              <w:rPr>
                <w:bCs/>
                <w:strike w:val="0"/>
                <w:dstrike w:val="0"/>
                <w:color w:val="auto"/>
                <w:szCs w:val="21"/>
                <w:highlight w:val="none"/>
              </w:rPr>
            </w:pPr>
            <w:r>
              <w:rPr>
                <w:bCs/>
                <w:strike w:val="0"/>
                <w:dstrike w:val="0"/>
                <w:color w:val="auto"/>
                <w:szCs w:val="21"/>
                <w:highlight w:val="none"/>
              </w:rPr>
              <w:t>注：表中坐标以厂界中心（106.481071,29.936271）为坐标原点，正东向为X轴正方向，正北向为Y轴正方向。</w:t>
            </w:r>
          </w:p>
          <w:p w14:paraId="2CB60FFA">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根据表4.2-1</w:t>
            </w:r>
            <w:r>
              <w:rPr>
                <w:rFonts w:hint="eastAsia"/>
                <w:strike w:val="0"/>
                <w:dstrike w:val="0"/>
                <w:color w:val="auto"/>
                <w:sz w:val="24"/>
                <w:highlight w:val="none"/>
                <w:lang w:val="en-US" w:eastAsia="zh-CN"/>
              </w:rPr>
              <w:t>7</w:t>
            </w:r>
            <w:r>
              <w:rPr>
                <w:strike w:val="0"/>
                <w:dstrike w:val="0"/>
                <w:color w:val="auto"/>
                <w:sz w:val="24"/>
                <w:highlight w:val="none"/>
              </w:rPr>
              <w:t>预测结果可知，在采取相应的噪声防治措施，企业厂界</w:t>
            </w:r>
            <w:r>
              <w:rPr>
                <w:rFonts w:hint="eastAsia"/>
                <w:strike w:val="0"/>
                <w:dstrike w:val="0"/>
                <w:color w:val="auto"/>
                <w:sz w:val="24"/>
                <w:highlight w:val="none"/>
              </w:rPr>
              <w:t>南、北、西侧</w:t>
            </w:r>
            <w:r>
              <w:rPr>
                <w:strike w:val="0"/>
                <w:dstrike w:val="0"/>
                <w:color w:val="auto"/>
                <w:sz w:val="24"/>
                <w:highlight w:val="none"/>
              </w:rPr>
              <w:t>噪声预测值昼间、夜间均能满足《工业企业厂界环境噪声排放标准》（GB12348-2008）3类标准要求</w:t>
            </w:r>
            <w:r>
              <w:rPr>
                <w:rFonts w:hint="eastAsia"/>
                <w:strike w:val="0"/>
                <w:dstrike w:val="0"/>
                <w:color w:val="auto"/>
                <w:sz w:val="24"/>
                <w:highlight w:val="none"/>
              </w:rPr>
              <w:t>，厂界东侧</w:t>
            </w:r>
            <w:r>
              <w:rPr>
                <w:strike w:val="0"/>
                <w:dstrike w:val="0"/>
                <w:color w:val="auto"/>
                <w:sz w:val="24"/>
                <w:highlight w:val="none"/>
              </w:rPr>
              <w:t>噪声预测值昼间、夜间能满足《工业企业厂界环境噪声排放标准》（GB12348-2008）</w:t>
            </w:r>
            <w:r>
              <w:rPr>
                <w:rFonts w:hint="eastAsia"/>
                <w:strike w:val="0"/>
                <w:dstrike w:val="0"/>
                <w:color w:val="auto"/>
                <w:sz w:val="24"/>
                <w:highlight w:val="none"/>
              </w:rPr>
              <w:t>4</w:t>
            </w:r>
            <w:r>
              <w:rPr>
                <w:strike w:val="0"/>
                <w:dstrike w:val="0"/>
                <w:color w:val="auto"/>
                <w:sz w:val="24"/>
                <w:highlight w:val="none"/>
              </w:rPr>
              <w:t>类标准要求。</w:t>
            </w:r>
          </w:p>
          <w:p w14:paraId="4AC88263">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项目50m范围内无声环境敏感目标，周边主要分布以工业企业为主，不会产生扰民现象。</w:t>
            </w:r>
          </w:p>
          <w:p w14:paraId="272BBB3F">
            <w:pPr>
              <w:pStyle w:val="9"/>
              <w:spacing w:line="360" w:lineRule="auto"/>
              <w:ind w:firstLine="480" w:firstLineChars="200"/>
              <w:jc w:val="both"/>
              <w:rPr>
                <w:strike w:val="0"/>
                <w:dstrike w:val="0"/>
                <w:color w:val="auto"/>
                <w:highlight w:val="none"/>
              </w:rPr>
            </w:pPr>
            <w:r>
              <w:rPr>
                <w:strike w:val="0"/>
                <w:dstrike w:val="0"/>
                <w:color w:val="auto"/>
                <w:highlight w:val="none"/>
              </w:rPr>
              <w:t>综上可知，采取评价提出的噪声污染防治措施后，项目对周边声环境影响小，环境可接受。</w:t>
            </w:r>
          </w:p>
          <w:p w14:paraId="6BEFBBB8">
            <w:pPr>
              <w:adjustRightInd w:val="0"/>
              <w:snapToGrid w:val="0"/>
              <w:spacing w:line="360" w:lineRule="auto"/>
              <w:rPr>
                <w:b/>
                <w:strike w:val="0"/>
                <w:dstrike w:val="0"/>
                <w:color w:val="auto"/>
                <w:sz w:val="24"/>
                <w:highlight w:val="none"/>
              </w:rPr>
            </w:pPr>
            <w:r>
              <w:rPr>
                <w:b/>
                <w:bCs/>
                <w:strike w:val="0"/>
                <w:dstrike w:val="0"/>
                <w:color w:val="auto"/>
                <w:kern w:val="0"/>
                <w:sz w:val="24"/>
                <w:highlight w:val="none"/>
              </w:rPr>
              <w:t xml:space="preserve">4.2.3.4 </w:t>
            </w:r>
            <w:r>
              <w:rPr>
                <w:b/>
                <w:strike w:val="0"/>
                <w:dstrike w:val="0"/>
                <w:color w:val="auto"/>
                <w:sz w:val="24"/>
                <w:highlight w:val="none"/>
              </w:rPr>
              <w:t>噪声监测计划</w:t>
            </w:r>
          </w:p>
          <w:p w14:paraId="5CC34E02">
            <w:pPr>
              <w:adjustRightInd w:val="0"/>
              <w:snapToGrid w:val="0"/>
              <w:spacing w:line="360" w:lineRule="auto"/>
              <w:ind w:firstLine="480" w:firstLineChars="200"/>
              <w:rPr>
                <w:b/>
                <w:strike w:val="0"/>
                <w:dstrike w:val="0"/>
                <w:color w:val="auto"/>
                <w:sz w:val="24"/>
                <w:highlight w:val="none"/>
              </w:rPr>
            </w:pPr>
            <w:r>
              <w:rPr>
                <w:strike w:val="0"/>
                <w:dstrike w:val="0"/>
                <w:color w:val="auto"/>
                <w:sz w:val="24"/>
                <w:highlight w:val="none"/>
              </w:rPr>
              <w:t>根据</w:t>
            </w:r>
            <w:r>
              <w:rPr>
                <w:rFonts w:hint="eastAsia"/>
                <w:strike w:val="0"/>
                <w:dstrike w:val="0"/>
                <w:color w:val="auto"/>
                <w:sz w:val="24"/>
                <w:highlight w:val="none"/>
              </w:rPr>
              <w:t>《排污许可证申请与核发技术规范 工业噪声》（HJ 1301-2023）</w:t>
            </w:r>
            <w:r>
              <w:rPr>
                <w:strike w:val="0"/>
                <w:dstrike w:val="0"/>
                <w:color w:val="auto"/>
                <w:sz w:val="24"/>
                <w:highlight w:val="none"/>
              </w:rPr>
              <w:t>，本项目的噪声监测计划见表4.2-1</w:t>
            </w:r>
            <w:r>
              <w:rPr>
                <w:rFonts w:hint="eastAsia"/>
                <w:strike w:val="0"/>
                <w:dstrike w:val="0"/>
                <w:color w:val="auto"/>
                <w:sz w:val="24"/>
                <w:highlight w:val="none"/>
                <w:lang w:val="en-US" w:eastAsia="zh-CN"/>
              </w:rPr>
              <w:t>8</w:t>
            </w:r>
            <w:r>
              <w:rPr>
                <w:strike w:val="0"/>
                <w:dstrike w:val="0"/>
                <w:color w:val="auto"/>
                <w:sz w:val="24"/>
                <w:highlight w:val="none"/>
              </w:rPr>
              <w:t>。</w:t>
            </w:r>
          </w:p>
          <w:p w14:paraId="210FBA33">
            <w:pPr>
              <w:adjustRightInd w:val="0"/>
              <w:snapToGrid w:val="0"/>
              <w:jc w:val="center"/>
              <w:rPr>
                <w:b/>
                <w:strike w:val="0"/>
                <w:dstrike w:val="0"/>
                <w:color w:val="auto"/>
                <w:sz w:val="24"/>
                <w:highlight w:val="none"/>
              </w:rPr>
            </w:pPr>
            <w:r>
              <w:rPr>
                <w:b/>
                <w:strike w:val="0"/>
                <w:dstrike w:val="0"/>
                <w:color w:val="auto"/>
                <w:sz w:val="24"/>
                <w:highlight w:val="none"/>
              </w:rPr>
              <w:t>表4.2-1</w:t>
            </w:r>
            <w:r>
              <w:rPr>
                <w:rFonts w:hint="eastAsia"/>
                <w:b/>
                <w:strike w:val="0"/>
                <w:dstrike w:val="0"/>
                <w:color w:val="auto"/>
                <w:sz w:val="24"/>
                <w:highlight w:val="none"/>
                <w:lang w:val="en-US" w:eastAsia="zh-CN"/>
              </w:rPr>
              <w:t>8</w:t>
            </w:r>
            <w:r>
              <w:rPr>
                <w:b/>
                <w:strike w:val="0"/>
                <w:dstrike w:val="0"/>
                <w:color w:val="auto"/>
                <w:sz w:val="24"/>
                <w:highlight w:val="none"/>
              </w:rPr>
              <w:t xml:space="preserve">  本项目噪声监测计划表</w:t>
            </w:r>
          </w:p>
          <w:tbl>
            <w:tblPr>
              <w:tblStyle w:val="22"/>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975"/>
              <w:gridCol w:w="1642"/>
              <w:gridCol w:w="3500"/>
            </w:tblGrid>
            <w:tr w14:paraId="19F8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01" w:type="dxa"/>
                  <w:vAlign w:val="center"/>
                </w:tcPr>
                <w:p w14:paraId="26D54E9C">
                  <w:pPr>
                    <w:adjustRightInd w:val="0"/>
                    <w:snapToGrid w:val="0"/>
                    <w:jc w:val="center"/>
                    <w:rPr>
                      <w:b/>
                      <w:strike w:val="0"/>
                      <w:dstrike w:val="0"/>
                      <w:color w:val="auto"/>
                      <w:szCs w:val="21"/>
                      <w:highlight w:val="none"/>
                    </w:rPr>
                  </w:pPr>
                  <w:r>
                    <w:rPr>
                      <w:b/>
                      <w:strike w:val="0"/>
                      <w:dstrike w:val="0"/>
                      <w:color w:val="auto"/>
                      <w:szCs w:val="21"/>
                      <w:highlight w:val="none"/>
                    </w:rPr>
                    <w:t>监测点位</w:t>
                  </w:r>
                </w:p>
              </w:tc>
              <w:tc>
                <w:tcPr>
                  <w:tcW w:w="1975" w:type="dxa"/>
                  <w:vAlign w:val="center"/>
                </w:tcPr>
                <w:p w14:paraId="0D480570">
                  <w:pPr>
                    <w:adjustRightInd w:val="0"/>
                    <w:snapToGrid w:val="0"/>
                    <w:jc w:val="center"/>
                    <w:rPr>
                      <w:b/>
                      <w:strike w:val="0"/>
                      <w:dstrike w:val="0"/>
                      <w:color w:val="auto"/>
                      <w:szCs w:val="21"/>
                      <w:highlight w:val="none"/>
                    </w:rPr>
                  </w:pPr>
                  <w:r>
                    <w:rPr>
                      <w:b/>
                      <w:strike w:val="0"/>
                      <w:dstrike w:val="0"/>
                      <w:color w:val="auto"/>
                      <w:szCs w:val="21"/>
                      <w:highlight w:val="none"/>
                    </w:rPr>
                    <w:t>监测指标</w:t>
                  </w:r>
                </w:p>
              </w:tc>
              <w:tc>
                <w:tcPr>
                  <w:tcW w:w="1642" w:type="dxa"/>
                  <w:vAlign w:val="center"/>
                </w:tcPr>
                <w:p w14:paraId="622F39B4">
                  <w:pPr>
                    <w:adjustRightInd w:val="0"/>
                    <w:snapToGrid w:val="0"/>
                    <w:jc w:val="center"/>
                    <w:rPr>
                      <w:b/>
                      <w:strike w:val="0"/>
                      <w:dstrike w:val="0"/>
                      <w:color w:val="auto"/>
                      <w:szCs w:val="21"/>
                      <w:highlight w:val="none"/>
                    </w:rPr>
                  </w:pPr>
                  <w:r>
                    <w:rPr>
                      <w:b/>
                      <w:strike w:val="0"/>
                      <w:dstrike w:val="0"/>
                      <w:color w:val="auto"/>
                      <w:szCs w:val="21"/>
                      <w:highlight w:val="none"/>
                    </w:rPr>
                    <w:t>最低监测频次</w:t>
                  </w:r>
                </w:p>
              </w:tc>
              <w:tc>
                <w:tcPr>
                  <w:tcW w:w="3500" w:type="dxa"/>
                  <w:vAlign w:val="center"/>
                </w:tcPr>
                <w:p w14:paraId="69767EE0">
                  <w:pPr>
                    <w:adjustRightInd w:val="0"/>
                    <w:snapToGrid w:val="0"/>
                    <w:jc w:val="center"/>
                    <w:rPr>
                      <w:b/>
                      <w:strike w:val="0"/>
                      <w:dstrike w:val="0"/>
                      <w:color w:val="auto"/>
                      <w:szCs w:val="21"/>
                      <w:highlight w:val="none"/>
                    </w:rPr>
                  </w:pPr>
                  <w:r>
                    <w:rPr>
                      <w:b/>
                      <w:strike w:val="0"/>
                      <w:dstrike w:val="0"/>
                      <w:color w:val="auto"/>
                      <w:szCs w:val="21"/>
                      <w:highlight w:val="none"/>
                    </w:rPr>
                    <w:t>执行标准</w:t>
                  </w:r>
                </w:p>
              </w:tc>
            </w:tr>
            <w:tr w14:paraId="4D2D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1" w:type="dxa"/>
                  <w:vAlign w:val="center"/>
                </w:tcPr>
                <w:p w14:paraId="70C5B399">
                  <w:pPr>
                    <w:adjustRightInd w:val="0"/>
                    <w:snapToGrid w:val="0"/>
                    <w:jc w:val="center"/>
                    <w:rPr>
                      <w:strike w:val="0"/>
                      <w:dstrike w:val="0"/>
                      <w:color w:val="auto"/>
                      <w:szCs w:val="21"/>
                      <w:highlight w:val="none"/>
                    </w:rPr>
                  </w:pPr>
                  <w:r>
                    <w:rPr>
                      <w:strike w:val="0"/>
                      <w:dstrike w:val="0"/>
                      <w:color w:val="auto"/>
                      <w:szCs w:val="21"/>
                      <w:highlight w:val="none"/>
                    </w:rPr>
                    <w:t>厂界</w:t>
                  </w:r>
                </w:p>
              </w:tc>
              <w:tc>
                <w:tcPr>
                  <w:tcW w:w="1975" w:type="dxa"/>
                  <w:vAlign w:val="center"/>
                </w:tcPr>
                <w:p w14:paraId="229B59D0">
                  <w:pPr>
                    <w:adjustRightInd w:val="0"/>
                    <w:snapToGrid w:val="0"/>
                    <w:jc w:val="center"/>
                    <w:rPr>
                      <w:strike w:val="0"/>
                      <w:dstrike w:val="0"/>
                      <w:color w:val="auto"/>
                      <w:szCs w:val="21"/>
                      <w:highlight w:val="none"/>
                    </w:rPr>
                  </w:pPr>
                  <w:r>
                    <w:rPr>
                      <w:strike w:val="0"/>
                      <w:dstrike w:val="0"/>
                      <w:color w:val="auto"/>
                      <w:szCs w:val="21"/>
                      <w:highlight w:val="none"/>
                    </w:rPr>
                    <w:t>等效A声级</w:t>
                  </w:r>
                </w:p>
              </w:tc>
              <w:tc>
                <w:tcPr>
                  <w:tcW w:w="1642" w:type="dxa"/>
                  <w:vAlign w:val="center"/>
                </w:tcPr>
                <w:p w14:paraId="46DE0FBA">
                  <w:pPr>
                    <w:adjustRightInd w:val="0"/>
                    <w:snapToGrid w:val="0"/>
                    <w:jc w:val="center"/>
                    <w:rPr>
                      <w:strike w:val="0"/>
                      <w:dstrike w:val="0"/>
                      <w:color w:val="auto"/>
                      <w:szCs w:val="21"/>
                      <w:highlight w:val="none"/>
                    </w:rPr>
                  </w:pPr>
                  <w:r>
                    <w:rPr>
                      <w:strike w:val="0"/>
                      <w:dstrike w:val="0"/>
                      <w:color w:val="auto"/>
                      <w:szCs w:val="21"/>
                      <w:highlight w:val="none"/>
                    </w:rPr>
                    <w:t>每季度一次</w:t>
                  </w:r>
                </w:p>
              </w:tc>
              <w:tc>
                <w:tcPr>
                  <w:tcW w:w="3500" w:type="dxa"/>
                  <w:vAlign w:val="center"/>
                </w:tcPr>
                <w:p w14:paraId="27C63B6C">
                  <w:pPr>
                    <w:adjustRightInd w:val="0"/>
                    <w:snapToGrid w:val="0"/>
                    <w:rPr>
                      <w:strike w:val="0"/>
                      <w:dstrike w:val="0"/>
                      <w:color w:val="auto"/>
                      <w:szCs w:val="21"/>
                      <w:highlight w:val="none"/>
                    </w:rPr>
                  </w:pPr>
                  <w:r>
                    <w:rPr>
                      <w:rFonts w:hint="eastAsia"/>
                      <w:strike w:val="0"/>
                      <w:dstrike w:val="0"/>
                      <w:color w:val="auto"/>
                      <w:szCs w:val="21"/>
                      <w:highlight w:val="none"/>
                    </w:rPr>
                    <w:t>厂界</w:t>
                  </w:r>
                  <w:r>
                    <w:rPr>
                      <w:rFonts w:hint="eastAsia"/>
                      <w:strike w:val="0"/>
                      <w:dstrike w:val="0"/>
                      <w:color w:val="auto"/>
                      <w:szCs w:val="21"/>
                      <w:highlight w:val="none"/>
                      <w:lang w:val="en-US" w:eastAsia="zh-CN"/>
                    </w:rPr>
                    <w:t>东侧</w:t>
                  </w:r>
                  <w:r>
                    <w:rPr>
                      <w:rFonts w:hint="eastAsia"/>
                      <w:strike w:val="0"/>
                      <w:dstrike w:val="0"/>
                      <w:color w:val="auto"/>
                      <w:szCs w:val="21"/>
                      <w:highlight w:val="none"/>
                    </w:rPr>
                    <w:t>临中微大道一侧：</w:t>
                  </w:r>
                  <w:r>
                    <w:rPr>
                      <w:strike w:val="0"/>
                      <w:dstrike w:val="0"/>
                      <w:color w:val="auto"/>
                      <w:szCs w:val="21"/>
                      <w:highlight w:val="none"/>
                    </w:rPr>
                    <w:t>《工业企业厂界环境噪声排放标准》（GB12348-2008）</w:t>
                  </w:r>
                  <w:r>
                    <w:rPr>
                      <w:rFonts w:hint="eastAsia"/>
                      <w:strike w:val="0"/>
                      <w:dstrike w:val="0"/>
                      <w:color w:val="auto"/>
                      <w:szCs w:val="21"/>
                      <w:highlight w:val="none"/>
                    </w:rPr>
                    <w:t>4</w:t>
                  </w:r>
                  <w:r>
                    <w:rPr>
                      <w:strike w:val="0"/>
                      <w:dstrike w:val="0"/>
                      <w:color w:val="auto"/>
                      <w:szCs w:val="21"/>
                      <w:highlight w:val="none"/>
                    </w:rPr>
                    <w:t>类标准</w:t>
                  </w:r>
                </w:p>
                <w:p w14:paraId="03D5A075">
                  <w:pPr>
                    <w:adjustRightInd w:val="0"/>
                    <w:snapToGrid w:val="0"/>
                    <w:rPr>
                      <w:strike w:val="0"/>
                      <w:dstrike w:val="0"/>
                      <w:color w:val="auto"/>
                      <w:szCs w:val="21"/>
                      <w:highlight w:val="none"/>
                    </w:rPr>
                  </w:pPr>
                  <w:r>
                    <w:rPr>
                      <w:rFonts w:hint="eastAsia"/>
                      <w:strike w:val="0"/>
                      <w:dstrike w:val="0"/>
                      <w:color w:val="auto"/>
                      <w:szCs w:val="21"/>
                      <w:highlight w:val="none"/>
                    </w:rPr>
                    <w:t>厂界南、北、西侧：《</w:t>
                  </w:r>
                  <w:r>
                    <w:rPr>
                      <w:strike w:val="0"/>
                      <w:dstrike w:val="0"/>
                      <w:color w:val="auto"/>
                      <w:szCs w:val="21"/>
                      <w:highlight w:val="none"/>
                    </w:rPr>
                    <w:t>工业企业厂界环境噪声排放标准》（GB12348-2008）3类标准</w:t>
                  </w:r>
                </w:p>
              </w:tc>
            </w:tr>
          </w:tbl>
          <w:p w14:paraId="73DB0FAC">
            <w:pPr>
              <w:adjustRightInd w:val="0"/>
              <w:snapToGrid w:val="0"/>
              <w:spacing w:line="360" w:lineRule="auto"/>
              <w:rPr>
                <w:b/>
                <w:bCs/>
                <w:strike w:val="0"/>
                <w:dstrike w:val="0"/>
                <w:color w:val="auto"/>
                <w:spacing w:val="-10"/>
                <w:sz w:val="24"/>
                <w:highlight w:val="none"/>
              </w:rPr>
            </w:pPr>
            <w:r>
              <w:rPr>
                <w:b/>
                <w:bCs/>
                <w:strike w:val="0"/>
                <w:dstrike w:val="0"/>
                <w:color w:val="auto"/>
                <w:kern w:val="0"/>
                <w:sz w:val="24"/>
                <w:highlight w:val="none"/>
              </w:rPr>
              <w:t xml:space="preserve">4.2.4 </w:t>
            </w:r>
            <w:r>
              <w:rPr>
                <w:b/>
                <w:bCs/>
                <w:strike w:val="0"/>
                <w:dstrike w:val="0"/>
                <w:color w:val="auto"/>
                <w:spacing w:val="-10"/>
                <w:sz w:val="24"/>
                <w:highlight w:val="none"/>
              </w:rPr>
              <w:t>固体废物</w:t>
            </w:r>
          </w:p>
          <w:p w14:paraId="512053EC">
            <w:pPr>
              <w:pStyle w:val="7"/>
              <w:ind w:firstLine="0"/>
              <w:rPr>
                <w:rFonts w:ascii="Times New Roman" w:hAnsi="Times New Roman"/>
                <w:strike w:val="0"/>
                <w:dstrike w:val="0"/>
                <w:color w:val="auto"/>
                <w:highlight w:val="none"/>
              </w:rPr>
            </w:pPr>
            <w:r>
              <w:rPr>
                <w:rFonts w:ascii="Times New Roman" w:hAnsi="Times New Roman"/>
                <w:b/>
                <w:bCs/>
                <w:strike w:val="0"/>
                <w:dstrike w:val="0"/>
                <w:color w:val="auto"/>
                <w:spacing w:val="-10"/>
                <w:szCs w:val="24"/>
                <w:highlight w:val="none"/>
              </w:rPr>
              <w:t>4.2.4.1 本项目固体废物产生及处置情况核算</w:t>
            </w:r>
          </w:p>
          <w:p w14:paraId="33367778">
            <w:pPr>
              <w:spacing w:line="360" w:lineRule="auto"/>
              <w:ind w:firstLine="480" w:firstLineChars="200"/>
              <w:rPr>
                <w:strike w:val="0"/>
                <w:dstrike w:val="0"/>
                <w:color w:val="auto"/>
                <w:highlight w:val="none"/>
              </w:rPr>
            </w:pPr>
            <w:r>
              <w:rPr>
                <w:bCs/>
                <w:strike w:val="0"/>
                <w:dstrike w:val="0"/>
                <w:color w:val="auto"/>
                <w:sz w:val="24"/>
                <w:highlight w:val="none"/>
              </w:rPr>
              <w:t>本项目固体废物包括一般工业固废、危险废物、生活垃圾。一般工业固废包括</w:t>
            </w:r>
            <w:r>
              <w:rPr>
                <w:strike w:val="0"/>
                <w:dstrike w:val="0"/>
                <w:color w:val="auto"/>
                <w:sz w:val="24"/>
                <w:highlight w:val="none"/>
              </w:rPr>
              <w:t>过滤</w:t>
            </w:r>
            <w:r>
              <w:rPr>
                <w:strike w:val="0"/>
                <w:dstrike w:val="0"/>
                <w:color w:val="auto"/>
                <w:kern w:val="0"/>
                <w:sz w:val="24"/>
                <w:highlight w:val="none"/>
              </w:rPr>
              <w:t>杂质</w:t>
            </w:r>
            <w:r>
              <w:rPr>
                <w:strike w:val="0"/>
                <w:dstrike w:val="0"/>
                <w:color w:val="auto"/>
                <w:sz w:val="24"/>
                <w:highlight w:val="none"/>
              </w:rPr>
              <w:t>、</w:t>
            </w:r>
            <w:r>
              <w:rPr>
                <w:rStyle w:val="29"/>
                <w:strike w:val="0"/>
                <w:dstrike w:val="0"/>
                <w:color w:val="auto"/>
                <w:kern w:val="0"/>
                <w:sz w:val="24"/>
                <w:highlight w:val="none"/>
              </w:rPr>
              <w:t>生化池污泥；危险废物包括</w:t>
            </w:r>
            <w:r>
              <w:rPr>
                <w:rFonts w:hint="eastAsia"/>
                <w:strike w:val="0"/>
                <w:dstrike w:val="0"/>
                <w:color w:val="auto"/>
                <w:sz w:val="24"/>
                <w:highlight w:val="none"/>
              </w:rPr>
              <w:t>清罐废物、检修废物、空压机油/水混合物（空压机）、废空压机油、废油桶、含油污泥、含油棉纱手套</w:t>
            </w:r>
            <w:r>
              <w:rPr>
                <w:rFonts w:hint="eastAsia"/>
                <w:strike w:val="0"/>
                <w:dstrike w:val="0"/>
                <w:color w:val="auto"/>
                <w:sz w:val="24"/>
                <w:highlight w:val="none"/>
                <w:lang w:eastAsia="zh-CN"/>
              </w:rPr>
              <w:t>、</w:t>
            </w:r>
            <w:r>
              <w:rPr>
                <w:rFonts w:hint="eastAsia"/>
                <w:strike w:val="0"/>
                <w:dstrike w:val="0"/>
                <w:color w:val="auto"/>
                <w:sz w:val="24"/>
                <w:highlight w:val="none"/>
                <w:lang w:val="en-US" w:eastAsia="zh-CN"/>
              </w:rPr>
              <w:t>废旧滤芯</w:t>
            </w:r>
            <w:r>
              <w:rPr>
                <w:strike w:val="0"/>
                <w:dstrike w:val="0"/>
                <w:color w:val="auto"/>
                <w:kern w:val="0"/>
                <w:sz w:val="24"/>
                <w:highlight w:val="none"/>
              </w:rPr>
              <w:t>。</w:t>
            </w:r>
          </w:p>
          <w:p w14:paraId="0D188FC1">
            <w:pPr>
              <w:pStyle w:val="7"/>
              <w:ind w:firstLine="482" w:firstLineChars="200"/>
              <w:rPr>
                <w:rFonts w:ascii="Times New Roman" w:hAnsi="Times New Roman"/>
                <w:b/>
                <w:bCs/>
                <w:strike w:val="0"/>
                <w:dstrike w:val="0"/>
                <w:color w:val="auto"/>
                <w:highlight w:val="none"/>
              </w:rPr>
            </w:pPr>
            <w:r>
              <w:rPr>
                <w:rFonts w:ascii="Times New Roman" w:hAnsi="Times New Roman"/>
                <w:b/>
                <w:bCs/>
                <w:strike w:val="0"/>
                <w:dstrike w:val="0"/>
                <w:color w:val="auto"/>
                <w:highlight w:val="none"/>
              </w:rPr>
              <w:t>（1）一般工业固废</w:t>
            </w:r>
          </w:p>
          <w:p w14:paraId="0FFBCB9F">
            <w:pPr>
              <w:keepNext/>
              <w:keepLines/>
              <w:spacing w:line="360" w:lineRule="auto"/>
              <w:ind w:firstLine="480" w:firstLineChars="200"/>
              <w:jc w:val="left"/>
              <w:rPr>
                <w:strike w:val="0"/>
                <w:dstrike w:val="0"/>
                <w:color w:val="auto"/>
                <w:sz w:val="24"/>
                <w:highlight w:val="none"/>
              </w:rPr>
            </w:pPr>
            <w:r>
              <w:rPr>
                <w:strike w:val="0"/>
                <w:dstrike w:val="0"/>
                <w:color w:val="auto"/>
                <w:sz w:val="24"/>
                <w:highlight w:val="none"/>
              </w:rPr>
              <w:t>（一）过滤</w:t>
            </w:r>
            <w:r>
              <w:rPr>
                <w:strike w:val="0"/>
                <w:dstrike w:val="0"/>
                <w:color w:val="auto"/>
                <w:kern w:val="0"/>
                <w:sz w:val="24"/>
                <w:highlight w:val="none"/>
              </w:rPr>
              <w:t>杂质</w:t>
            </w:r>
            <w:r>
              <w:rPr>
                <w:strike w:val="0"/>
                <w:dstrike w:val="0"/>
                <w:color w:val="auto"/>
                <w:sz w:val="24"/>
                <w:highlight w:val="none"/>
              </w:rPr>
              <w:t>S3（SW59，900-009-S59）：本项目LNG气化站在调压撬的过滤工段之后设置排污管，排污管收集过滤天然气时产生的杂质。排污管连接排污井；LNG气化站内的LNG沸点为-160℃，泄漏后立即气化，形成气体，杂质进入排污井后未有天然气沾染，故为一般固废，产生的过滤杂质约0.001t/a。该废物经排污井收集后由环卫部门清运。</w:t>
            </w:r>
          </w:p>
          <w:p w14:paraId="320F07AA">
            <w:pPr>
              <w:keepNext/>
              <w:keepLines/>
              <w:spacing w:line="360" w:lineRule="auto"/>
              <w:ind w:firstLine="480" w:firstLineChars="200"/>
              <w:rPr>
                <w:strike w:val="0"/>
                <w:dstrike w:val="0"/>
                <w:color w:val="auto"/>
                <w:sz w:val="24"/>
                <w:highlight w:val="none"/>
              </w:rPr>
            </w:pPr>
            <w:r>
              <w:rPr>
                <w:strike w:val="0"/>
                <w:dstrike w:val="0"/>
                <w:color w:val="auto"/>
                <w:sz w:val="24"/>
                <w:highlight w:val="none"/>
              </w:rPr>
              <w:t>（二）</w:t>
            </w:r>
            <w:r>
              <w:rPr>
                <w:rStyle w:val="29"/>
                <w:strike w:val="0"/>
                <w:dstrike w:val="0"/>
                <w:color w:val="auto"/>
                <w:kern w:val="0"/>
                <w:sz w:val="24"/>
                <w:highlight w:val="none"/>
              </w:rPr>
              <w:t>生化池污泥</w:t>
            </w:r>
            <w:r>
              <w:rPr>
                <w:rFonts w:hint="eastAsia"/>
                <w:strike w:val="0"/>
                <w:dstrike w:val="0"/>
                <w:color w:val="auto"/>
                <w:sz w:val="24"/>
                <w:highlight w:val="none"/>
              </w:rPr>
              <w:t>S9</w:t>
            </w:r>
            <w:r>
              <w:rPr>
                <w:strike w:val="0"/>
                <w:dstrike w:val="0"/>
                <w:color w:val="auto"/>
                <w:sz w:val="24"/>
                <w:highlight w:val="none"/>
              </w:rPr>
              <w:t>（SW64，900-002-S64）：运营过程中生化池将会产生一定量的污泥，污泥主要来自于废水中的固体沉淀物。生化池污泥产生量约0.50t/a。生化池污泥</w:t>
            </w:r>
            <w:r>
              <w:rPr>
                <w:rFonts w:hint="eastAsia"/>
                <w:strike w:val="0"/>
                <w:dstrike w:val="0"/>
                <w:color w:val="auto"/>
                <w:sz w:val="24"/>
                <w:highlight w:val="none"/>
              </w:rPr>
              <w:t>委托专业单位定期清掏处置</w:t>
            </w:r>
            <w:r>
              <w:rPr>
                <w:strike w:val="0"/>
                <w:dstrike w:val="0"/>
                <w:color w:val="auto"/>
                <w:sz w:val="24"/>
                <w:highlight w:val="none"/>
              </w:rPr>
              <w:t>。</w:t>
            </w:r>
          </w:p>
          <w:p w14:paraId="25462985">
            <w:pPr>
              <w:pStyle w:val="7"/>
              <w:ind w:firstLine="482" w:firstLineChars="200"/>
              <w:rPr>
                <w:rFonts w:ascii="Times New Roman" w:hAnsi="Times New Roman"/>
                <w:b/>
                <w:bCs/>
                <w:strike w:val="0"/>
                <w:dstrike w:val="0"/>
                <w:color w:val="auto"/>
                <w:szCs w:val="24"/>
                <w:highlight w:val="none"/>
              </w:rPr>
            </w:pPr>
            <w:r>
              <w:rPr>
                <w:rFonts w:ascii="Times New Roman" w:hAnsi="Times New Roman"/>
                <w:b/>
                <w:bCs/>
                <w:strike w:val="0"/>
                <w:dstrike w:val="0"/>
                <w:color w:val="auto"/>
                <w:szCs w:val="24"/>
                <w:highlight w:val="none"/>
              </w:rPr>
              <w:t>（2）危险废物</w:t>
            </w:r>
          </w:p>
          <w:p w14:paraId="00D9FF22">
            <w:pPr>
              <w:spacing w:line="360" w:lineRule="auto"/>
              <w:ind w:firstLine="480" w:firstLineChars="200"/>
              <w:rPr>
                <w:strike w:val="0"/>
                <w:dstrike w:val="0"/>
                <w:color w:val="auto"/>
                <w:sz w:val="24"/>
                <w:highlight w:val="none"/>
              </w:rPr>
            </w:pPr>
            <w:r>
              <w:rPr>
                <w:strike w:val="0"/>
                <w:dstrike w:val="0"/>
                <w:color w:val="auto"/>
                <w:sz w:val="24"/>
                <w:highlight w:val="none"/>
              </w:rPr>
              <w:t>（一）清罐废物S1（</w:t>
            </w:r>
            <w:r>
              <w:rPr>
                <w:strike w:val="0"/>
                <w:dstrike w:val="0"/>
                <w:color w:val="auto"/>
                <w:kern w:val="0"/>
                <w:sz w:val="24"/>
                <w:highlight w:val="none"/>
              </w:rPr>
              <w:t>HW08，</w:t>
            </w:r>
            <w:r>
              <w:rPr>
                <w:rFonts w:eastAsia="TimesNewRomanPSMT"/>
                <w:strike w:val="0"/>
                <w:dstrike w:val="0"/>
                <w:color w:val="auto"/>
                <w:sz w:val="24"/>
                <w:highlight w:val="none"/>
              </w:rPr>
              <w:t>900-249-08</w:t>
            </w:r>
            <w:r>
              <w:rPr>
                <w:strike w:val="0"/>
                <w:dstrike w:val="0"/>
                <w:color w:val="auto"/>
                <w:sz w:val="24"/>
                <w:highlight w:val="none"/>
              </w:rPr>
              <w:t>）：储油罐清罐过程（每</w:t>
            </w:r>
            <w:r>
              <w:rPr>
                <w:rFonts w:eastAsia="TimesNewRomanPSMT"/>
                <w:strike w:val="0"/>
                <w:dstrike w:val="0"/>
                <w:color w:val="auto"/>
                <w:sz w:val="24"/>
                <w:highlight w:val="none"/>
              </w:rPr>
              <w:t>5</w:t>
            </w:r>
            <w:r>
              <w:rPr>
                <w:strike w:val="0"/>
                <w:dstrike w:val="0"/>
                <w:color w:val="auto"/>
                <w:sz w:val="24"/>
                <w:highlight w:val="none"/>
              </w:rPr>
              <w:t>年一次）中产生的清罐废物主要由废油、含油废渣和清洗废液构成，清洗废液由于含油类物质浓度较高，现场无法进行处理或回用，应与清罐废渣一并作为危险废物进行处理。根据类比计算，项目清罐废物产生量估计约</w:t>
            </w:r>
            <w:r>
              <w:rPr>
                <w:rFonts w:eastAsia="TimesNewRomanPSMT"/>
                <w:strike w:val="0"/>
                <w:dstrike w:val="0"/>
                <w:color w:val="auto"/>
                <w:sz w:val="24"/>
                <w:highlight w:val="none"/>
              </w:rPr>
              <w:t>0.5t/</w:t>
            </w:r>
            <w:r>
              <w:rPr>
                <w:strike w:val="0"/>
                <w:dstrike w:val="0"/>
                <w:color w:val="auto"/>
                <w:sz w:val="24"/>
                <w:highlight w:val="none"/>
              </w:rPr>
              <w:t>次</w:t>
            </w:r>
            <w:r>
              <w:rPr>
                <w:rFonts w:eastAsia="TimesNewRomanPSMT"/>
                <w:strike w:val="0"/>
                <w:dstrike w:val="0"/>
                <w:color w:val="auto"/>
                <w:sz w:val="24"/>
                <w:highlight w:val="none"/>
              </w:rPr>
              <w:t>•</w:t>
            </w:r>
            <w:r>
              <w:rPr>
                <w:strike w:val="0"/>
                <w:dstrike w:val="0"/>
                <w:color w:val="auto"/>
                <w:sz w:val="24"/>
                <w:highlight w:val="none"/>
              </w:rPr>
              <w:t>罐，项目共设</w:t>
            </w:r>
            <w:r>
              <w:rPr>
                <w:rFonts w:eastAsia="TimesNewRomanPSMT"/>
                <w:strike w:val="0"/>
                <w:dstrike w:val="0"/>
                <w:color w:val="auto"/>
                <w:sz w:val="24"/>
                <w:highlight w:val="none"/>
              </w:rPr>
              <w:t>4</w:t>
            </w:r>
            <w:r>
              <w:rPr>
                <w:strike w:val="0"/>
                <w:dstrike w:val="0"/>
                <w:color w:val="auto"/>
                <w:sz w:val="24"/>
                <w:highlight w:val="none"/>
              </w:rPr>
              <w:t>个储油罐，清罐废物合计</w:t>
            </w:r>
            <w:r>
              <w:rPr>
                <w:rFonts w:eastAsia="TimesNewRomanPSMT"/>
                <w:strike w:val="0"/>
                <w:dstrike w:val="0"/>
                <w:color w:val="auto"/>
                <w:sz w:val="24"/>
                <w:highlight w:val="none"/>
              </w:rPr>
              <w:t>2.0t/</w:t>
            </w:r>
            <w:r>
              <w:rPr>
                <w:strike w:val="0"/>
                <w:dstrike w:val="0"/>
                <w:color w:val="auto"/>
                <w:sz w:val="24"/>
                <w:highlight w:val="none"/>
              </w:rPr>
              <w:t>次</w:t>
            </w:r>
            <w:r>
              <w:rPr>
                <w:rFonts w:eastAsia="TimesNewRomanPSMT"/>
                <w:strike w:val="0"/>
                <w:dstrike w:val="0"/>
                <w:color w:val="auto"/>
                <w:sz w:val="24"/>
                <w:highlight w:val="none"/>
              </w:rPr>
              <w:t>•5</w:t>
            </w:r>
            <w:r>
              <w:rPr>
                <w:strike w:val="0"/>
                <w:dstrike w:val="0"/>
                <w:color w:val="auto"/>
                <w:sz w:val="24"/>
                <w:highlight w:val="none"/>
              </w:rPr>
              <w:t>年，平均为</w:t>
            </w:r>
            <w:r>
              <w:rPr>
                <w:rFonts w:eastAsia="TimesNewRomanPSMT"/>
                <w:strike w:val="0"/>
                <w:dstrike w:val="0"/>
                <w:color w:val="auto"/>
                <w:sz w:val="24"/>
                <w:highlight w:val="none"/>
              </w:rPr>
              <w:t>0.4t/a</w:t>
            </w:r>
            <w:r>
              <w:rPr>
                <w:strike w:val="0"/>
                <w:dstrike w:val="0"/>
                <w:color w:val="auto"/>
                <w:sz w:val="24"/>
                <w:highlight w:val="none"/>
              </w:rPr>
              <w:t>。</w:t>
            </w:r>
            <w:r>
              <w:rPr>
                <w:bCs/>
                <w:strike w:val="0"/>
                <w:dstrike w:val="0"/>
                <w:color w:val="auto"/>
                <w:spacing w:val="-10"/>
                <w:sz w:val="24"/>
                <w:highlight w:val="none"/>
              </w:rPr>
              <w:t>分类收集暂存于</w:t>
            </w:r>
            <w:r>
              <w:rPr>
                <w:rFonts w:hint="eastAsia"/>
                <w:bCs/>
                <w:strike w:val="0"/>
                <w:dstrike w:val="0"/>
                <w:color w:val="auto"/>
                <w:spacing w:val="-10"/>
                <w:sz w:val="24"/>
                <w:highlight w:val="none"/>
              </w:rPr>
              <w:t>危废贮存点</w:t>
            </w:r>
            <w:r>
              <w:rPr>
                <w:bCs/>
                <w:strike w:val="0"/>
                <w:dstrike w:val="0"/>
                <w:color w:val="auto"/>
                <w:spacing w:val="-10"/>
                <w:sz w:val="24"/>
                <w:highlight w:val="none"/>
              </w:rPr>
              <w:t>内，</w:t>
            </w:r>
            <w:r>
              <w:rPr>
                <w:rFonts w:hint="eastAsia"/>
                <w:strike w:val="0"/>
                <w:dstrike w:val="0"/>
                <w:color w:val="auto"/>
                <w:sz w:val="24"/>
                <w:highlight w:val="none"/>
                <w:lang w:bidi="ar"/>
              </w:rPr>
              <w:t>交有危险废物处置资质的单位收运处置</w:t>
            </w:r>
            <w:r>
              <w:rPr>
                <w:bCs/>
                <w:strike w:val="0"/>
                <w:dstrike w:val="0"/>
                <w:color w:val="auto"/>
                <w:spacing w:val="-10"/>
                <w:sz w:val="24"/>
                <w:highlight w:val="none"/>
              </w:rPr>
              <w:t>。</w:t>
            </w:r>
          </w:p>
          <w:p w14:paraId="3DF1F6C3">
            <w:pPr>
              <w:spacing w:line="360" w:lineRule="auto"/>
              <w:ind w:firstLine="480" w:firstLineChars="200"/>
              <w:rPr>
                <w:bCs/>
                <w:strike w:val="0"/>
                <w:dstrike w:val="0"/>
                <w:color w:val="auto"/>
                <w:spacing w:val="-10"/>
                <w:sz w:val="24"/>
                <w:highlight w:val="none"/>
              </w:rPr>
            </w:pPr>
            <w:r>
              <w:rPr>
                <w:strike w:val="0"/>
                <w:dstrike w:val="0"/>
                <w:color w:val="auto"/>
                <w:sz w:val="24"/>
                <w:highlight w:val="none"/>
              </w:rPr>
              <w:t>（二）检修废物S2（HW09，</w:t>
            </w:r>
            <w:r>
              <w:rPr>
                <w:rFonts w:eastAsia="TimesNewRomanPSMT"/>
                <w:strike w:val="0"/>
                <w:dstrike w:val="0"/>
                <w:color w:val="auto"/>
                <w:sz w:val="24"/>
                <w:highlight w:val="none"/>
              </w:rPr>
              <w:t>900-007-09</w:t>
            </w:r>
            <w:r>
              <w:rPr>
                <w:strike w:val="0"/>
                <w:dstrike w:val="0"/>
                <w:color w:val="auto"/>
                <w:sz w:val="24"/>
                <w:highlight w:val="none"/>
              </w:rPr>
              <w:t>）：加油机、管道等设备平均每年检修一次，检修过程中产生的油水混合物约为</w:t>
            </w:r>
            <w:r>
              <w:rPr>
                <w:rFonts w:eastAsia="TimesNewRomanPSMT"/>
                <w:strike w:val="0"/>
                <w:dstrike w:val="0"/>
                <w:color w:val="auto"/>
                <w:sz w:val="24"/>
                <w:highlight w:val="none"/>
              </w:rPr>
              <w:t>0.2t/a</w:t>
            </w:r>
            <w:r>
              <w:rPr>
                <w:strike w:val="0"/>
                <w:dstrike w:val="0"/>
                <w:color w:val="auto"/>
                <w:sz w:val="24"/>
                <w:highlight w:val="none"/>
              </w:rPr>
              <w:t>，按危险废物进行管理</w:t>
            </w:r>
            <w:r>
              <w:rPr>
                <w:bCs/>
                <w:strike w:val="0"/>
                <w:dstrike w:val="0"/>
                <w:color w:val="auto"/>
                <w:spacing w:val="-10"/>
                <w:sz w:val="24"/>
                <w:highlight w:val="none"/>
              </w:rPr>
              <w:t>。分类收集暂存于</w:t>
            </w:r>
            <w:r>
              <w:rPr>
                <w:rFonts w:hint="eastAsia"/>
                <w:bCs/>
                <w:strike w:val="0"/>
                <w:dstrike w:val="0"/>
                <w:color w:val="auto"/>
                <w:spacing w:val="-10"/>
                <w:sz w:val="24"/>
                <w:highlight w:val="none"/>
              </w:rPr>
              <w:t>危废贮存点</w:t>
            </w:r>
            <w:r>
              <w:rPr>
                <w:bCs/>
                <w:strike w:val="0"/>
                <w:dstrike w:val="0"/>
                <w:color w:val="auto"/>
                <w:spacing w:val="-10"/>
                <w:sz w:val="24"/>
                <w:highlight w:val="none"/>
              </w:rPr>
              <w:t>内，</w:t>
            </w:r>
            <w:r>
              <w:rPr>
                <w:rFonts w:hint="eastAsia"/>
                <w:strike w:val="0"/>
                <w:dstrike w:val="0"/>
                <w:color w:val="auto"/>
                <w:sz w:val="24"/>
                <w:highlight w:val="none"/>
                <w:lang w:bidi="ar"/>
              </w:rPr>
              <w:t>交有危险废物处置资质的单位收运处置</w:t>
            </w:r>
            <w:r>
              <w:rPr>
                <w:bCs/>
                <w:strike w:val="0"/>
                <w:dstrike w:val="0"/>
                <w:color w:val="auto"/>
                <w:spacing w:val="-10"/>
                <w:sz w:val="24"/>
                <w:highlight w:val="none"/>
              </w:rPr>
              <w:t>。</w:t>
            </w:r>
          </w:p>
          <w:p w14:paraId="3F13C87B">
            <w:pPr>
              <w:spacing w:line="360" w:lineRule="auto"/>
              <w:ind w:firstLine="480" w:firstLineChars="200"/>
              <w:rPr>
                <w:strike w:val="0"/>
                <w:dstrike w:val="0"/>
                <w:color w:val="auto"/>
                <w:sz w:val="24"/>
                <w:szCs w:val="24"/>
                <w:highlight w:val="none"/>
              </w:rPr>
            </w:pPr>
            <w:r>
              <w:rPr>
                <w:strike w:val="0"/>
                <w:dstrike w:val="0"/>
                <w:color w:val="auto"/>
                <w:sz w:val="24"/>
                <w:szCs w:val="24"/>
                <w:highlight w:val="none"/>
              </w:rPr>
              <w:t>（三）废旧滤芯S4（HW</w:t>
            </w:r>
            <w:r>
              <w:rPr>
                <w:rFonts w:hint="eastAsia"/>
                <w:strike w:val="0"/>
                <w:dstrike w:val="0"/>
                <w:color w:val="auto"/>
                <w:sz w:val="24"/>
                <w:szCs w:val="24"/>
                <w:highlight w:val="none"/>
                <w:lang w:val="en-US" w:eastAsia="zh-CN"/>
              </w:rPr>
              <w:t>49</w:t>
            </w:r>
            <w:r>
              <w:rPr>
                <w:strike w:val="0"/>
                <w:dstrike w:val="0"/>
                <w:color w:val="auto"/>
                <w:sz w:val="24"/>
                <w:szCs w:val="24"/>
                <w:highlight w:val="none"/>
              </w:rPr>
              <w:t>，900-</w:t>
            </w:r>
            <w:r>
              <w:rPr>
                <w:rFonts w:hint="eastAsia"/>
                <w:strike w:val="0"/>
                <w:dstrike w:val="0"/>
                <w:color w:val="auto"/>
                <w:sz w:val="24"/>
                <w:szCs w:val="24"/>
                <w:highlight w:val="none"/>
                <w:lang w:val="en-US" w:eastAsia="zh-CN"/>
              </w:rPr>
              <w:t>041</w:t>
            </w:r>
            <w:r>
              <w:rPr>
                <w:strike w:val="0"/>
                <w:dstrike w:val="0"/>
                <w:color w:val="auto"/>
                <w:sz w:val="24"/>
                <w:szCs w:val="24"/>
                <w:highlight w:val="none"/>
              </w:rPr>
              <w:t>-</w:t>
            </w:r>
            <w:bookmarkStart w:id="115" w:name="OfficeAI_Add_1_24"/>
            <w:r>
              <w:rPr>
                <w:rFonts w:hint="eastAsia"/>
                <w:strike w:val="0"/>
                <w:dstrike w:val="0"/>
                <w:color w:val="auto"/>
                <w:sz w:val="24"/>
                <w:szCs w:val="24"/>
                <w:highlight w:val="none"/>
                <w:lang w:val="en-US" w:eastAsia="zh-CN"/>
              </w:rPr>
              <w:t>4</w:t>
            </w:r>
            <w:bookmarkEnd w:id="115"/>
            <w:r>
              <w:rPr>
                <w:rFonts w:hint="eastAsia"/>
                <w:strike w:val="0"/>
                <w:dstrike w:val="0"/>
                <w:color w:val="auto"/>
                <w:sz w:val="24"/>
                <w:szCs w:val="24"/>
                <w:highlight w:val="none"/>
                <w:lang w:val="en-US" w:eastAsia="zh-CN"/>
              </w:rPr>
              <w:t>9</w:t>
            </w:r>
            <w:r>
              <w:rPr>
                <w:strike w:val="0"/>
                <w:dstrike w:val="0"/>
                <w:color w:val="auto"/>
                <w:sz w:val="24"/>
                <w:szCs w:val="24"/>
                <w:highlight w:val="none"/>
              </w:rPr>
              <w:t>）：本项目的LNG气化站有过滤工段，会产生一定量的废旧滤芯，产生量约0.005t/a。</w:t>
            </w:r>
            <w:r>
              <w:rPr>
                <w:bCs/>
                <w:strike w:val="0"/>
                <w:dstrike w:val="0"/>
                <w:color w:val="auto"/>
                <w:spacing w:val="-10"/>
                <w:sz w:val="24"/>
                <w:szCs w:val="24"/>
                <w:highlight w:val="none"/>
              </w:rPr>
              <w:t>分类收集暂存于</w:t>
            </w:r>
            <w:r>
              <w:rPr>
                <w:rFonts w:hint="eastAsia"/>
                <w:bCs/>
                <w:strike w:val="0"/>
                <w:dstrike w:val="0"/>
                <w:color w:val="auto"/>
                <w:spacing w:val="-10"/>
                <w:sz w:val="24"/>
                <w:szCs w:val="24"/>
                <w:highlight w:val="none"/>
              </w:rPr>
              <w:t>危废贮存点</w:t>
            </w:r>
            <w:r>
              <w:rPr>
                <w:bCs/>
                <w:strike w:val="0"/>
                <w:dstrike w:val="0"/>
                <w:color w:val="auto"/>
                <w:spacing w:val="-10"/>
                <w:sz w:val="24"/>
                <w:szCs w:val="24"/>
                <w:highlight w:val="none"/>
              </w:rPr>
              <w:t>内，</w:t>
            </w:r>
            <w:r>
              <w:rPr>
                <w:rFonts w:hint="eastAsia"/>
                <w:strike w:val="0"/>
                <w:dstrike w:val="0"/>
                <w:color w:val="auto"/>
                <w:sz w:val="24"/>
                <w:szCs w:val="24"/>
                <w:highlight w:val="none"/>
                <w:lang w:bidi="ar"/>
              </w:rPr>
              <w:t>交有危险废物处置资质的单位收运处置</w:t>
            </w:r>
            <w:r>
              <w:rPr>
                <w:bCs/>
                <w:strike w:val="0"/>
                <w:dstrike w:val="0"/>
                <w:color w:val="auto"/>
                <w:spacing w:val="-10"/>
                <w:sz w:val="24"/>
                <w:szCs w:val="24"/>
                <w:highlight w:val="none"/>
              </w:rPr>
              <w:t>。</w:t>
            </w:r>
          </w:p>
          <w:p w14:paraId="6CAAD699">
            <w:pPr>
              <w:pStyle w:val="7"/>
              <w:ind w:firstLineChars="200"/>
              <w:rPr>
                <w:rFonts w:ascii="Times New Roman" w:hAnsi="Times New Roman"/>
                <w:bCs/>
                <w:strike w:val="0"/>
                <w:dstrike w:val="0"/>
                <w:color w:val="auto"/>
                <w:spacing w:val="-10"/>
                <w:szCs w:val="24"/>
                <w:highlight w:val="none"/>
              </w:rPr>
            </w:pPr>
            <w:r>
              <w:rPr>
                <w:rFonts w:hint="eastAsia" w:ascii="Times New Roman" w:hAnsi="Times New Roman"/>
                <w:bCs/>
                <w:strike w:val="0"/>
                <w:dstrike w:val="0"/>
                <w:color w:val="auto"/>
                <w:spacing w:val="-10"/>
                <w:szCs w:val="24"/>
                <w:highlight w:val="none"/>
                <w:lang w:eastAsia="zh-CN"/>
              </w:rPr>
              <w:t>（</w:t>
            </w:r>
            <w:r>
              <w:rPr>
                <w:rFonts w:hint="eastAsia" w:ascii="Times New Roman" w:hAnsi="Times New Roman"/>
                <w:bCs/>
                <w:strike w:val="0"/>
                <w:dstrike w:val="0"/>
                <w:color w:val="auto"/>
                <w:spacing w:val="-10"/>
                <w:szCs w:val="24"/>
                <w:highlight w:val="none"/>
                <w:lang w:val="en-US" w:eastAsia="zh-CN"/>
              </w:rPr>
              <w:t>四</w:t>
            </w:r>
            <w:r>
              <w:rPr>
                <w:rFonts w:hint="eastAsia" w:ascii="Times New Roman" w:hAnsi="Times New Roman"/>
                <w:bCs/>
                <w:strike w:val="0"/>
                <w:dstrike w:val="0"/>
                <w:color w:val="auto"/>
                <w:spacing w:val="-10"/>
                <w:szCs w:val="24"/>
                <w:highlight w:val="none"/>
                <w:lang w:eastAsia="zh-CN"/>
              </w:rPr>
              <w:t>）</w:t>
            </w:r>
            <w:r>
              <w:rPr>
                <w:rFonts w:ascii="Times New Roman" w:hAnsi="Times New Roman"/>
                <w:bCs/>
                <w:strike w:val="0"/>
                <w:dstrike w:val="0"/>
                <w:color w:val="auto"/>
                <w:spacing w:val="-10"/>
                <w:szCs w:val="24"/>
                <w:highlight w:val="none"/>
              </w:rPr>
              <w:t>空压机</w:t>
            </w:r>
            <w:r>
              <w:rPr>
                <w:rFonts w:hint="eastAsia" w:ascii="Times New Roman" w:hAnsi="Times New Roman"/>
                <w:bCs/>
                <w:strike w:val="0"/>
                <w:dstrike w:val="0"/>
                <w:color w:val="auto"/>
                <w:spacing w:val="-10"/>
                <w:szCs w:val="24"/>
                <w:highlight w:val="none"/>
              </w:rPr>
              <w:t>油/水混合物（空压机）</w:t>
            </w:r>
            <w:r>
              <w:rPr>
                <w:rFonts w:ascii="Times New Roman" w:hAnsi="Times New Roman"/>
                <w:bCs/>
                <w:strike w:val="0"/>
                <w:dstrike w:val="0"/>
                <w:color w:val="auto"/>
                <w:spacing w:val="-10"/>
                <w:szCs w:val="24"/>
                <w:highlight w:val="none"/>
              </w:rPr>
              <w:t>S5</w:t>
            </w:r>
            <w:r>
              <w:rPr>
                <w:rFonts w:ascii="Times New Roman" w:hAnsi="Times New Roman"/>
                <w:strike w:val="0"/>
                <w:dstrike w:val="0"/>
                <w:color w:val="auto"/>
                <w:kern w:val="0"/>
                <w:szCs w:val="24"/>
                <w:highlight w:val="none"/>
              </w:rPr>
              <w:t>（</w:t>
            </w:r>
            <w:r>
              <w:rPr>
                <w:rFonts w:ascii="Times New Roman" w:hAnsi="Times New Roman"/>
                <w:strike w:val="0"/>
                <w:dstrike w:val="0"/>
                <w:color w:val="auto"/>
                <w:szCs w:val="24"/>
                <w:highlight w:val="none"/>
              </w:rPr>
              <w:t>HW09，</w:t>
            </w:r>
            <w:r>
              <w:rPr>
                <w:rFonts w:hint="eastAsia" w:ascii="Times New Roman" w:hAnsi="Times New Roman"/>
                <w:strike w:val="0"/>
                <w:dstrike w:val="0"/>
                <w:color w:val="auto"/>
                <w:szCs w:val="24"/>
                <w:highlight w:val="none"/>
                <w:lang w:eastAsia="zh-CN"/>
              </w:rPr>
              <w:t>900-007-09</w:t>
            </w:r>
            <w:r>
              <w:rPr>
                <w:rFonts w:ascii="Times New Roman" w:hAnsi="Times New Roman"/>
                <w:strike w:val="0"/>
                <w:dstrike w:val="0"/>
                <w:color w:val="auto"/>
                <w:kern w:val="0"/>
                <w:szCs w:val="24"/>
                <w:highlight w:val="none"/>
              </w:rPr>
              <w:t>）：项目空压机会产生</w:t>
            </w:r>
            <w:r>
              <w:rPr>
                <w:rFonts w:hint="eastAsia" w:ascii="Times New Roman" w:hAnsi="Times New Roman"/>
                <w:strike w:val="0"/>
                <w:dstrike w:val="0"/>
                <w:color w:val="auto"/>
                <w:kern w:val="0"/>
                <w:szCs w:val="24"/>
                <w:highlight w:val="none"/>
              </w:rPr>
              <w:t>油/水混合物（空压机）</w:t>
            </w:r>
            <w:r>
              <w:rPr>
                <w:rFonts w:ascii="Times New Roman" w:hAnsi="Times New Roman"/>
                <w:strike w:val="0"/>
                <w:dstrike w:val="0"/>
                <w:color w:val="auto"/>
                <w:kern w:val="0"/>
                <w:szCs w:val="24"/>
                <w:highlight w:val="none"/>
              </w:rPr>
              <w:t>，约0.3t/a</w:t>
            </w:r>
            <w:r>
              <w:rPr>
                <w:rFonts w:ascii="Times New Roman" w:hAnsi="Times New Roman"/>
                <w:strike w:val="0"/>
                <w:dstrike w:val="0"/>
                <w:color w:val="auto"/>
                <w:szCs w:val="24"/>
                <w:highlight w:val="none"/>
              </w:rPr>
              <w:t>，暂存于</w:t>
            </w:r>
            <w:r>
              <w:rPr>
                <w:rFonts w:hint="eastAsia" w:ascii="Times New Roman" w:hAnsi="Times New Roman"/>
                <w:strike w:val="0"/>
                <w:dstrike w:val="0"/>
                <w:color w:val="auto"/>
                <w:szCs w:val="24"/>
                <w:highlight w:val="none"/>
              </w:rPr>
              <w:t>危废贮存点</w:t>
            </w:r>
            <w:r>
              <w:rPr>
                <w:rFonts w:ascii="Times New Roman" w:hAnsi="Times New Roman"/>
                <w:strike w:val="0"/>
                <w:dstrike w:val="0"/>
                <w:color w:val="auto"/>
                <w:szCs w:val="24"/>
                <w:highlight w:val="none"/>
              </w:rPr>
              <w:t>内，</w:t>
            </w:r>
            <w:r>
              <w:rPr>
                <w:rFonts w:hint="eastAsia" w:ascii="Times New Roman" w:hAnsi="Times New Roman"/>
                <w:strike w:val="0"/>
                <w:dstrike w:val="0"/>
                <w:color w:val="auto"/>
                <w:szCs w:val="24"/>
                <w:highlight w:val="none"/>
              </w:rPr>
              <w:t>交有危险废物处置资质的单位收运处置</w:t>
            </w:r>
            <w:r>
              <w:rPr>
                <w:rFonts w:ascii="Times New Roman" w:hAnsi="Times New Roman"/>
                <w:bCs/>
                <w:strike w:val="0"/>
                <w:dstrike w:val="0"/>
                <w:color w:val="auto"/>
                <w:spacing w:val="-10"/>
                <w:szCs w:val="24"/>
                <w:highlight w:val="none"/>
              </w:rPr>
              <w:t>。</w:t>
            </w:r>
          </w:p>
          <w:p w14:paraId="17E90066">
            <w:pPr>
              <w:pStyle w:val="7"/>
              <w:ind w:firstLineChars="200"/>
              <w:rPr>
                <w:rFonts w:ascii="Times New Roman" w:hAnsi="Times New Roman"/>
                <w:bCs/>
                <w:strike w:val="0"/>
                <w:dstrike w:val="0"/>
                <w:color w:val="auto"/>
                <w:spacing w:val="-10"/>
                <w:szCs w:val="24"/>
                <w:highlight w:val="none"/>
              </w:rPr>
            </w:pPr>
            <w:r>
              <w:rPr>
                <w:rFonts w:ascii="Times New Roman" w:hAnsi="Times New Roman"/>
                <w:strike w:val="0"/>
                <w:dstrike w:val="0"/>
                <w:color w:val="auto"/>
                <w:szCs w:val="24"/>
                <w:highlight w:val="none"/>
              </w:rPr>
              <w:t>（</w:t>
            </w:r>
            <w:r>
              <w:rPr>
                <w:rFonts w:hint="eastAsia" w:ascii="Times New Roman" w:hAnsi="Times New Roman"/>
                <w:strike w:val="0"/>
                <w:dstrike w:val="0"/>
                <w:color w:val="auto"/>
                <w:szCs w:val="24"/>
                <w:highlight w:val="none"/>
                <w:lang w:val="en-US" w:eastAsia="zh-CN"/>
              </w:rPr>
              <w:t>五</w:t>
            </w:r>
            <w:r>
              <w:rPr>
                <w:rFonts w:ascii="Times New Roman" w:hAnsi="Times New Roman"/>
                <w:strike w:val="0"/>
                <w:dstrike w:val="0"/>
                <w:color w:val="auto"/>
                <w:szCs w:val="24"/>
                <w:highlight w:val="none"/>
              </w:rPr>
              <w:t>）废空压机油S6（HW08，900-249-08）：项目在机械维修和设备维护过程中会产生废空压机油。设备所用空压机油每年更换一次，更换量为0.08t/次。故废空压机油产生量约0.08t/a，分类收集暂存于</w:t>
            </w:r>
            <w:r>
              <w:rPr>
                <w:rFonts w:hint="eastAsia" w:ascii="Times New Roman" w:hAnsi="Times New Roman"/>
                <w:strike w:val="0"/>
                <w:dstrike w:val="0"/>
                <w:color w:val="auto"/>
                <w:szCs w:val="24"/>
                <w:highlight w:val="none"/>
              </w:rPr>
              <w:t>危废贮存点</w:t>
            </w:r>
            <w:r>
              <w:rPr>
                <w:rFonts w:ascii="Times New Roman" w:hAnsi="Times New Roman"/>
                <w:strike w:val="0"/>
                <w:dstrike w:val="0"/>
                <w:color w:val="auto"/>
                <w:szCs w:val="24"/>
                <w:highlight w:val="none"/>
              </w:rPr>
              <w:t>内，</w:t>
            </w:r>
            <w:r>
              <w:rPr>
                <w:rFonts w:hint="eastAsia" w:ascii="Times New Roman" w:hAnsi="Times New Roman"/>
                <w:strike w:val="0"/>
                <w:dstrike w:val="0"/>
                <w:color w:val="auto"/>
                <w:szCs w:val="24"/>
                <w:highlight w:val="none"/>
              </w:rPr>
              <w:t>交有危险废物处置资质的单位收运处置</w:t>
            </w:r>
            <w:r>
              <w:rPr>
                <w:rFonts w:ascii="Times New Roman" w:hAnsi="Times New Roman"/>
                <w:strike w:val="0"/>
                <w:dstrike w:val="0"/>
                <w:color w:val="auto"/>
                <w:szCs w:val="24"/>
                <w:highlight w:val="none"/>
              </w:rPr>
              <w:t>。</w:t>
            </w:r>
          </w:p>
          <w:p w14:paraId="520D5C0C">
            <w:pPr>
              <w:pStyle w:val="7"/>
              <w:ind w:firstLine="440" w:firstLineChars="200"/>
              <w:rPr>
                <w:rFonts w:ascii="Times New Roman" w:hAnsi="Times New Roman"/>
                <w:bCs/>
                <w:strike w:val="0"/>
                <w:dstrike w:val="0"/>
                <w:color w:val="auto"/>
                <w:spacing w:val="-10"/>
                <w:szCs w:val="24"/>
                <w:highlight w:val="none"/>
              </w:rPr>
            </w:pPr>
            <w:r>
              <w:rPr>
                <w:rFonts w:ascii="Times New Roman" w:hAnsi="Times New Roman"/>
                <w:bCs/>
                <w:strike w:val="0"/>
                <w:dstrike w:val="0"/>
                <w:color w:val="auto"/>
                <w:spacing w:val="-10"/>
                <w:szCs w:val="24"/>
                <w:highlight w:val="none"/>
              </w:rPr>
              <w:t>（</w:t>
            </w:r>
            <w:r>
              <w:rPr>
                <w:rFonts w:hint="eastAsia" w:ascii="Times New Roman" w:hAnsi="Times New Roman"/>
                <w:bCs/>
                <w:strike w:val="0"/>
                <w:dstrike w:val="0"/>
                <w:color w:val="auto"/>
                <w:spacing w:val="-10"/>
                <w:szCs w:val="24"/>
                <w:highlight w:val="none"/>
                <w:lang w:val="en-US" w:eastAsia="zh-CN"/>
              </w:rPr>
              <w:t>六</w:t>
            </w:r>
            <w:r>
              <w:rPr>
                <w:rFonts w:ascii="Times New Roman" w:hAnsi="Times New Roman"/>
                <w:bCs/>
                <w:strike w:val="0"/>
                <w:dstrike w:val="0"/>
                <w:color w:val="auto"/>
                <w:spacing w:val="-10"/>
                <w:szCs w:val="24"/>
                <w:highlight w:val="none"/>
              </w:rPr>
              <w:t>）</w:t>
            </w:r>
            <w:r>
              <w:rPr>
                <w:rFonts w:hint="eastAsia" w:ascii="Times New Roman" w:hAnsi="Times New Roman"/>
                <w:strike w:val="0"/>
                <w:dstrike w:val="0"/>
                <w:color w:val="auto"/>
                <w:szCs w:val="24"/>
                <w:highlight w:val="none"/>
              </w:rPr>
              <w:t>废油桶</w:t>
            </w:r>
            <w:r>
              <w:rPr>
                <w:rFonts w:ascii="Times New Roman" w:hAnsi="Times New Roman"/>
                <w:strike w:val="0"/>
                <w:dstrike w:val="0"/>
                <w:color w:val="auto"/>
                <w:szCs w:val="24"/>
                <w:highlight w:val="none"/>
              </w:rPr>
              <w:t>S</w:t>
            </w:r>
            <w:r>
              <w:rPr>
                <w:rFonts w:hint="eastAsia" w:ascii="Times New Roman" w:hAnsi="Times New Roman"/>
                <w:strike w:val="0"/>
                <w:dstrike w:val="0"/>
                <w:color w:val="auto"/>
                <w:szCs w:val="24"/>
                <w:highlight w:val="none"/>
              </w:rPr>
              <w:t>7</w:t>
            </w:r>
            <w:r>
              <w:rPr>
                <w:rFonts w:ascii="Times New Roman" w:hAnsi="Times New Roman"/>
                <w:strike w:val="0"/>
                <w:dstrike w:val="0"/>
                <w:color w:val="auto"/>
                <w:szCs w:val="24"/>
                <w:highlight w:val="none"/>
              </w:rPr>
              <w:t>（HW08，900-249-08）：项目在机械维修和设备维护过程中会产生废</w:t>
            </w:r>
            <w:r>
              <w:rPr>
                <w:rFonts w:hint="eastAsia" w:ascii="Times New Roman" w:hAnsi="Times New Roman"/>
                <w:strike w:val="0"/>
                <w:dstrike w:val="0"/>
                <w:color w:val="auto"/>
                <w:szCs w:val="24"/>
                <w:highlight w:val="none"/>
              </w:rPr>
              <w:t>油桶，</w:t>
            </w:r>
            <w:r>
              <w:rPr>
                <w:rFonts w:ascii="Times New Roman" w:hAnsi="Times New Roman"/>
                <w:strike w:val="0"/>
                <w:dstrike w:val="0"/>
                <w:color w:val="auto"/>
                <w:szCs w:val="24"/>
                <w:highlight w:val="none"/>
              </w:rPr>
              <w:t>产生量约0.0</w:t>
            </w:r>
            <w:r>
              <w:rPr>
                <w:rFonts w:hint="eastAsia" w:ascii="Times New Roman" w:hAnsi="Times New Roman"/>
                <w:strike w:val="0"/>
                <w:dstrike w:val="0"/>
                <w:color w:val="auto"/>
                <w:szCs w:val="24"/>
                <w:highlight w:val="none"/>
              </w:rPr>
              <w:t>02</w:t>
            </w:r>
            <w:r>
              <w:rPr>
                <w:rFonts w:ascii="Times New Roman" w:hAnsi="Times New Roman"/>
                <w:strike w:val="0"/>
                <w:dstrike w:val="0"/>
                <w:color w:val="auto"/>
                <w:szCs w:val="24"/>
                <w:highlight w:val="none"/>
              </w:rPr>
              <w:t>t/a，分类收集暂存于</w:t>
            </w:r>
            <w:r>
              <w:rPr>
                <w:rFonts w:hint="eastAsia" w:ascii="Times New Roman" w:hAnsi="Times New Roman"/>
                <w:strike w:val="0"/>
                <w:dstrike w:val="0"/>
                <w:color w:val="auto"/>
                <w:szCs w:val="24"/>
                <w:highlight w:val="none"/>
              </w:rPr>
              <w:t>危废贮存点</w:t>
            </w:r>
            <w:r>
              <w:rPr>
                <w:rFonts w:ascii="Times New Roman" w:hAnsi="Times New Roman"/>
                <w:strike w:val="0"/>
                <w:dstrike w:val="0"/>
                <w:color w:val="auto"/>
                <w:szCs w:val="24"/>
                <w:highlight w:val="none"/>
              </w:rPr>
              <w:t>内，</w:t>
            </w:r>
            <w:r>
              <w:rPr>
                <w:rFonts w:hint="eastAsia" w:ascii="Times New Roman" w:hAnsi="Times New Roman"/>
                <w:strike w:val="0"/>
                <w:dstrike w:val="0"/>
                <w:color w:val="auto"/>
                <w:szCs w:val="24"/>
                <w:highlight w:val="none"/>
              </w:rPr>
              <w:t>交有危险废物处置资质的单位收运处置</w:t>
            </w:r>
            <w:r>
              <w:rPr>
                <w:rFonts w:ascii="Times New Roman" w:hAnsi="Times New Roman"/>
                <w:strike w:val="0"/>
                <w:dstrike w:val="0"/>
                <w:color w:val="auto"/>
                <w:szCs w:val="24"/>
                <w:highlight w:val="none"/>
              </w:rPr>
              <w:t>。</w:t>
            </w:r>
          </w:p>
          <w:p w14:paraId="2A8F673D">
            <w:pPr>
              <w:spacing w:line="360" w:lineRule="auto"/>
              <w:ind w:firstLine="480" w:firstLineChars="200"/>
              <w:rPr>
                <w:strike w:val="0"/>
                <w:dstrike w:val="0"/>
                <w:color w:val="auto"/>
                <w:sz w:val="24"/>
                <w:highlight w:val="none"/>
              </w:rPr>
            </w:pPr>
            <w:r>
              <w:rPr>
                <w:strike w:val="0"/>
                <w:dstrike w:val="0"/>
                <w:color w:val="auto"/>
                <w:sz w:val="24"/>
                <w:highlight w:val="none"/>
              </w:rPr>
              <w:t>（</w:t>
            </w:r>
            <w:r>
              <w:rPr>
                <w:rFonts w:hint="eastAsia"/>
                <w:strike w:val="0"/>
                <w:dstrike w:val="0"/>
                <w:color w:val="auto"/>
                <w:sz w:val="24"/>
                <w:highlight w:val="none"/>
                <w:lang w:val="en-US" w:eastAsia="zh-CN"/>
              </w:rPr>
              <w:t>七</w:t>
            </w:r>
            <w:r>
              <w:rPr>
                <w:strike w:val="0"/>
                <w:dstrike w:val="0"/>
                <w:color w:val="auto"/>
                <w:sz w:val="24"/>
                <w:highlight w:val="none"/>
              </w:rPr>
              <w:t>）</w:t>
            </w:r>
            <w:r>
              <w:rPr>
                <w:bCs/>
                <w:strike w:val="0"/>
                <w:dstrike w:val="0"/>
                <w:color w:val="auto"/>
                <w:spacing w:val="-10"/>
                <w:sz w:val="24"/>
                <w:highlight w:val="none"/>
              </w:rPr>
              <w:t>含油污泥</w:t>
            </w:r>
            <w:r>
              <w:rPr>
                <w:rFonts w:hint="eastAsia"/>
                <w:bCs/>
                <w:strike w:val="0"/>
                <w:dstrike w:val="0"/>
                <w:color w:val="auto"/>
                <w:spacing w:val="-10"/>
                <w:sz w:val="24"/>
                <w:highlight w:val="none"/>
              </w:rPr>
              <w:t>S8</w:t>
            </w:r>
            <w:r>
              <w:rPr>
                <w:strike w:val="0"/>
                <w:dstrike w:val="0"/>
                <w:color w:val="auto"/>
                <w:sz w:val="24"/>
                <w:highlight w:val="none"/>
              </w:rPr>
              <w:t>（HW08，900-210-08）：本项目三段式隔油池的废水处理工艺为“隔油沉淀</w:t>
            </w:r>
            <w:r>
              <w:rPr>
                <w:rFonts w:hint="eastAsia"/>
                <w:strike w:val="0"/>
                <w:dstrike w:val="0"/>
                <w:color w:val="auto"/>
                <w:sz w:val="24"/>
                <w:highlight w:val="none"/>
              </w:rPr>
              <w:t>”</w:t>
            </w:r>
            <w:r>
              <w:rPr>
                <w:strike w:val="0"/>
                <w:dstrike w:val="0"/>
                <w:color w:val="auto"/>
                <w:sz w:val="24"/>
                <w:highlight w:val="none"/>
              </w:rPr>
              <w:t>，处理过程中会有含油污泥产生。经核算，</w:t>
            </w:r>
            <w:r>
              <w:rPr>
                <w:strike w:val="0"/>
                <w:dstrike w:val="0"/>
                <w:color w:val="auto"/>
                <w:sz w:val="24"/>
                <w:highlight w:val="none"/>
                <w:lang w:bidi="ar"/>
              </w:rPr>
              <w:t>含油污泥</w:t>
            </w:r>
            <w:r>
              <w:rPr>
                <w:strike w:val="0"/>
                <w:dstrike w:val="0"/>
                <w:color w:val="auto"/>
                <w:sz w:val="24"/>
                <w:highlight w:val="none"/>
              </w:rPr>
              <w:t>产生量约0.05t/a。含油污泥定期清掏，且清掏后的含油污泥暂存于</w:t>
            </w:r>
            <w:r>
              <w:rPr>
                <w:rFonts w:hint="eastAsia"/>
                <w:strike w:val="0"/>
                <w:dstrike w:val="0"/>
                <w:color w:val="auto"/>
                <w:sz w:val="24"/>
                <w:highlight w:val="none"/>
              </w:rPr>
              <w:t>危废贮存点</w:t>
            </w:r>
            <w:r>
              <w:rPr>
                <w:strike w:val="0"/>
                <w:dstrike w:val="0"/>
                <w:color w:val="auto"/>
                <w:sz w:val="24"/>
                <w:highlight w:val="none"/>
              </w:rPr>
              <w:t>内，</w:t>
            </w:r>
            <w:r>
              <w:rPr>
                <w:rFonts w:hint="eastAsia"/>
                <w:strike w:val="0"/>
                <w:dstrike w:val="0"/>
                <w:color w:val="auto"/>
                <w:sz w:val="24"/>
                <w:highlight w:val="none"/>
              </w:rPr>
              <w:t>交有危险废物处置资质的单位收运处置</w:t>
            </w:r>
            <w:r>
              <w:rPr>
                <w:strike w:val="0"/>
                <w:dstrike w:val="0"/>
                <w:color w:val="auto"/>
                <w:sz w:val="24"/>
                <w:highlight w:val="none"/>
              </w:rPr>
              <w:t>。</w:t>
            </w:r>
          </w:p>
          <w:p w14:paraId="36F0AD73">
            <w:pPr>
              <w:spacing w:line="360" w:lineRule="auto"/>
              <w:ind w:firstLine="480" w:firstLineChars="200"/>
              <w:rPr>
                <w:strike w:val="0"/>
                <w:dstrike w:val="0"/>
                <w:color w:val="auto"/>
                <w:sz w:val="24"/>
                <w:highlight w:val="none"/>
              </w:rPr>
            </w:pPr>
            <w:r>
              <w:rPr>
                <w:strike w:val="0"/>
                <w:dstrike w:val="0"/>
                <w:color w:val="auto"/>
                <w:sz w:val="24"/>
                <w:highlight w:val="none"/>
              </w:rPr>
              <w:t>（</w:t>
            </w:r>
            <w:r>
              <w:rPr>
                <w:rFonts w:hint="eastAsia"/>
                <w:strike w:val="0"/>
                <w:dstrike w:val="0"/>
                <w:color w:val="auto"/>
                <w:sz w:val="24"/>
                <w:highlight w:val="none"/>
                <w:lang w:val="en-US" w:eastAsia="zh-CN"/>
              </w:rPr>
              <w:t>八</w:t>
            </w:r>
            <w:r>
              <w:rPr>
                <w:strike w:val="0"/>
                <w:dstrike w:val="0"/>
                <w:color w:val="auto"/>
                <w:sz w:val="24"/>
                <w:highlight w:val="none"/>
              </w:rPr>
              <w:t>）含油棉纱手套</w:t>
            </w:r>
            <w:r>
              <w:rPr>
                <w:rFonts w:hint="eastAsia"/>
                <w:strike w:val="0"/>
                <w:dstrike w:val="0"/>
                <w:color w:val="auto"/>
                <w:kern w:val="0"/>
                <w:sz w:val="24"/>
                <w:highlight w:val="none"/>
              </w:rPr>
              <w:t>S10</w:t>
            </w:r>
            <w:r>
              <w:rPr>
                <w:strike w:val="0"/>
                <w:dstrike w:val="0"/>
                <w:color w:val="auto"/>
                <w:sz w:val="24"/>
                <w:highlight w:val="none"/>
              </w:rPr>
              <w:t>（HW49，900-041-49）：设备维修过程中及劳保过程中产生的含油废棉纱手套，产生量约0.02t/a，暂存于</w:t>
            </w:r>
            <w:r>
              <w:rPr>
                <w:rFonts w:hint="eastAsia"/>
                <w:strike w:val="0"/>
                <w:dstrike w:val="0"/>
                <w:color w:val="auto"/>
                <w:sz w:val="24"/>
                <w:highlight w:val="none"/>
              </w:rPr>
              <w:t>危废贮存点</w:t>
            </w:r>
            <w:r>
              <w:rPr>
                <w:strike w:val="0"/>
                <w:dstrike w:val="0"/>
                <w:color w:val="auto"/>
                <w:sz w:val="24"/>
                <w:highlight w:val="none"/>
              </w:rPr>
              <w:t>内，</w:t>
            </w:r>
            <w:r>
              <w:rPr>
                <w:rFonts w:hint="eastAsia"/>
                <w:strike w:val="0"/>
                <w:dstrike w:val="0"/>
                <w:color w:val="auto"/>
                <w:sz w:val="24"/>
                <w:highlight w:val="none"/>
              </w:rPr>
              <w:t>交有危险废物处置资质的单位收运处置</w:t>
            </w:r>
            <w:r>
              <w:rPr>
                <w:strike w:val="0"/>
                <w:dstrike w:val="0"/>
                <w:color w:val="auto"/>
                <w:sz w:val="24"/>
                <w:highlight w:val="none"/>
              </w:rPr>
              <w:t>。</w:t>
            </w:r>
          </w:p>
          <w:p w14:paraId="1D59D3E3">
            <w:pPr>
              <w:pStyle w:val="7"/>
              <w:ind w:firstLine="482" w:firstLineChars="200"/>
              <w:rPr>
                <w:rFonts w:ascii="Times New Roman" w:hAnsi="Times New Roman"/>
                <w:b/>
                <w:bCs/>
                <w:strike w:val="0"/>
                <w:dstrike w:val="0"/>
                <w:color w:val="auto"/>
                <w:szCs w:val="24"/>
                <w:highlight w:val="none"/>
              </w:rPr>
            </w:pPr>
            <w:r>
              <w:rPr>
                <w:rFonts w:ascii="Times New Roman" w:hAnsi="Times New Roman"/>
                <w:b/>
                <w:bCs/>
                <w:strike w:val="0"/>
                <w:dstrike w:val="0"/>
                <w:color w:val="auto"/>
                <w:szCs w:val="24"/>
                <w:highlight w:val="none"/>
              </w:rPr>
              <w:t>（3）生活垃圾</w:t>
            </w:r>
            <w:r>
              <w:rPr>
                <w:rFonts w:hint="eastAsia" w:ascii="Times New Roman" w:hAnsi="Times New Roman"/>
                <w:b/>
                <w:bCs/>
                <w:strike w:val="0"/>
                <w:dstrike w:val="0"/>
                <w:color w:val="auto"/>
                <w:szCs w:val="24"/>
                <w:highlight w:val="none"/>
              </w:rPr>
              <w:t>S11</w:t>
            </w:r>
          </w:p>
          <w:p w14:paraId="7544A5BE">
            <w:pPr>
              <w:pStyle w:val="7"/>
              <w:ind w:firstLineChars="200"/>
              <w:rPr>
                <w:rFonts w:ascii="Times New Roman" w:hAnsi="Times New Roman"/>
                <w:strike w:val="0"/>
                <w:dstrike w:val="0"/>
                <w:color w:val="auto"/>
                <w:szCs w:val="24"/>
                <w:highlight w:val="none"/>
              </w:rPr>
            </w:pPr>
            <w:r>
              <w:rPr>
                <w:rFonts w:ascii="Times New Roman" w:hAnsi="Times New Roman"/>
                <w:strike w:val="0"/>
                <w:dstrike w:val="0"/>
                <w:color w:val="auto"/>
                <w:kern w:val="0"/>
                <w:szCs w:val="24"/>
                <w:highlight w:val="none"/>
                <w:lang w:bidi="ar"/>
              </w:rPr>
              <w:t>本项目定员12人，办公生活垃圾产生量取1kg/</w:t>
            </w:r>
            <w:bookmarkStart w:id="116" w:name="OfficeAI_Add_0_23"/>
            <w:r>
              <w:rPr>
                <w:rFonts w:hint="eastAsia" w:ascii="Times New Roman" w:hAnsi="Times New Roman"/>
                <w:strike w:val="0"/>
                <w:dstrike w:val="0"/>
                <w:color w:val="auto"/>
                <w:kern w:val="0"/>
                <w:szCs w:val="24"/>
                <w:highlight w:val="none"/>
                <w:lang w:eastAsia="zh-CN" w:bidi="ar"/>
              </w:rPr>
              <w:t>（</w:t>
            </w:r>
            <w:bookmarkEnd w:id="116"/>
            <w:r>
              <w:rPr>
                <w:rFonts w:ascii="Times New Roman" w:hAnsi="Times New Roman"/>
                <w:strike w:val="0"/>
                <w:dstrike w:val="0"/>
                <w:color w:val="auto"/>
                <w:kern w:val="0"/>
                <w:szCs w:val="24"/>
                <w:highlight w:val="none"/>
                <w:lang w:bidi="ar"/>
              </w:rPr>
              <w:t>d•人</w:t>
            </w:r>
            <w:bookmarkStart w:id="117" w:name="OfficeAI_Add_0_27"/>
            <w:r>
              <w:rPr>
                <w:rFonts w:hint="eastAsia" w:ascii="Times New Roman" w:hAnsi="Times New Roman"/>
                <w:strike w:val="0"/>
                <w:dstrike w:val="0"/>
                <w:color w:val="auto"/>
                <w:kern w:val="0"/>
                <w:szCs w:val="24"/>
                <w:highlight w:val="none"/>
                <w:lang w:eastAsia="zh-CN" w:bidi="ar"/>
              </w:rPr>
              <w:t>）</w:t>
            </w:r>
            <w:bookmarkEnd w:id="117"/>
            <w:r>
              <w:rPr>
                <w:rFonts w:ascii="Times New Roman" w:hAnsi="Times New Roman"/>
                <w:strike w:val="0"/>
                <w:dstrike w:val="0"/>
                <w:color w:val="auto"/>
                <w:kern w:val="0"/>
                <w:szCs w:val="24"/>
                <w:highlight w:val="none"/>
                <w:lang w:bidi="ar"/>
              </w:rPr>
              <w:t>，</w:t>
            </w:r>
            <w:r>
              <w:rPr>
                <w:rFonts w:ascii="Times New Roman" w:hAnsi="Times New Roman"/>
                <w:strike w:val="0"/>
                <w:dstrike w:val="0"/>
                <w:color w:val="auto"/>
                <w:szCs w:val="24"/>
                <w:highlight w:val="none"/>
              </w:rPr>
              <w:t>项目办公生活垃圾产生量为4.38t/a，办公生活</w:t>
            </w:r>
            <w:bookmarkStart w:id="118" w:name="OfficeAI_Add_0_53"/>
            <w:r>
              <w:rPr>
                <w:rFonts w:hint="eastAsia" w:ascii="Times New Roman" w:hAnsi="Times New Roman"/>
                <w:strike w:val="0"/>
                <w:dstrike w:val="0"/>
                <w:color w:val="auto"/>
                <w:szCs w:val="24"/>
                <w:highlight w:val="none"/>
                <w:lang w:eastAsia="zh-CN"/>
              </w:rPr>
              <w:t>垃圾</w:t>
            </w:r>
            <w:bookmarkEnd w:id="118"/>
            <w:r>
              <w:rPr>
                <w:rFonts w:ascii="Times New Roman" w:hAnsi="Times New Roman"/>
                <w:strike w:val="0"/>
                <w:dstrike w:val="0"/>
                <w:color w:val="auto"/>
                <w:szCs w:val="24"/>
                <w:highlight w:val="none"/>
              </w:rPr>
              <w:t>由垃圾桶收集后，定期交由环卫部门统一处置。</w:t>
            </w:r>
          </w:p>
          <w:p w14:paraId="75AE3429">
            <w:pPr>
              <w:spacing w:line="360" w:lineRule="auto"/>
              <w:ind w:firstLine="480" w:firstLineChars="200"/>
              <w:rPr>
                <w:b/>
                <w:bCs/>
                <w:strike w:val="0"/>
                <w:dstrike w:val="0"/>
                <w:color w:val="auto"/>
                <w:sz w:val="24"/>
                <w:highlight w:val="none"/>
              </w:rPr>
            </w:pPr>
            <w:r>
              <w:rPr>
                <w:strike w:val="0"/>
                <w:dstrike w:val="0"/>
                <w:color w:val="auto"/>
                <w:sz w:val="24"/>
                <w:highlight w:val="none"/>
              </w:rPr>
              <w:t>本项目固体废物产生及处置见表4.2-</w:t>
            </w:r>
            <w:r>
              <w:rPr>
                <w:rFonts w:hint="eastAsia"/>
                <w:strike w:val="0"/>
                <w:dstrike w:val="0"/>
                <w:color w:val="auto"/>
                <w:sz w:val="24"/>
                <w:highlight w:val="none"/>
                <w:lang w:val="en-US" w:eastAsia="zh-CN"/>
              </w:rPr>
              <w:t>19</w:t>
            </w:r>
            <w:r>
              <w:rPr>
                <w:strike w:val="0"/>
                <w:dstrike w:val="0"/>
                <w:color w:val="auto"/>
                <w:sz w:val="24"/>
                <w:highlight w:val="none"/>
              </w:rPr>
              <w:t>。</w:t>
            </w:r>
          </w:p>
          <w:p w14:paraId="7006AEE1">
            <w:pPr>
              <w:jc w:val="center"/>
              <w:rPr>
                <w:b/>
                <w:bCs/>
                <w:strike w:val="0"/>
                <w:dstrike w:val="0"/>
                <w:color w:val="auto"/>
                <w:sz w:val="24"/>
                <w:highlight w:val="none"/>
              </w:rPr>
            </w:pPr>
            <w:r>
              <w:rPr>
                <w:b/>
                <w:bCs/>
                <w:strike w:val="0"/>
                <w:dstrike w:val="0"/>
                <w:color w:val="auto"/>
                <w:sz w:val="24"/>
                <w:highlight w:val="none"/>
              </w:rPr>
              <w:t>表4.2-</w:t>
            </w:r>
            <w:r>
              <w:rPr>
                <w:rFonts w:hint="eastAsia"/>
                <w:b/>
                <w:bCs/>
                <w:strike w:val="0"/>
                <w:dstrike w:val="0"/>
                <w:color w:val="auto"/>
                <w:sz w:val="24"/>
                <w:highlight w:val="none"/>
                <w:lang w:val="en-US" w:eastAsia="zh-CN"/>
              </w:rPr>
              <w:t>19</w:t>
            </w:r>
            <w:r>
              <w:rPr>
                <w:b/>
                <w:bCs/>
                <w:strike w:val="0"/>
                <w:dstrike w:val="0"/>
                <w:color w:val="auto"/>
                <w:sz w:val="24"/>
                <w:highlight w:val="none"/>
              </w:rPr>
              <w:t xml:space="preserve">  本项目固体废物产生及处置一览表</w:t>
            </w:r>
          </w:p>
          <w:tbl>
            <w:tblPr>
              <w:tblStyle w:val="22"/>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411"/>
              <w:gridCol w:w="1336"/>
              <w:gridCol w:w="722"/>
              <w:gridCol w:w="859"/>
              <w:gridCol w:w="1558"/>
              <w:gridCol w:w="802"/>
            </w:tblGrid>
            <w:tr w14:paraId="2D41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29" w:type="dxa"/>
                  <w:vMerge w:val="restart"/>
                  <w:vAlign w:val="center"/>
                </w:tcPr>
                <w:p w14:paraId="7B0EC11E">
                  <w:pPr>
                    <w:adjustRightInd w:val="0"/>
                    <w:snapToGrid w:val="0"/>
                    <w:jc w:val="center"/>
                    <w:rPr>
                      <w:b/>
                      <w:bCs/>
                      <w:strike w:val="0"/>
                      <w:dstrike w:val="0"/>
                      <w:color w:val="auto"/>
                      <w:spacing w:val="-10"/>
                      <w:szCs w:val="21"/>
                      <w:highlight w:val="none"/>
                    </w:rPr>
                  </w:pPr>
                  <w:r>
                    <w:rPr>
                      <w:b/>
                      <w:bCs/>
                      <w:strike w:val="0"/>
                      <w:dstrike w:val="0"/>
                      <w:color w:val="auto"/>
                      <w:spacing w:val="-10"/>
                      <w:szCs w:val="21"/>
                      <w:highlight w:val="none"/>
                    </w:rPr>
                    <w:t>产生源</w:t>
                  </w:r>
                </w:p>
              </w:tc>
              <w:tc>
                <w:tcPr>
                  <w:tcW w:w="1411" w:type="dxa"/>
                  <w:vMerge w:val="restart"/>
                  <w:vAlign w:val="center"/>
                </w:tcPr>
                <w:p w14:paraId="1DECA78B">
                  <w:pPr>
                    <w:adjustRightInd w:val="0"/>
                    <w:snapToGrid w:val="0"/>
                    <w:jc w:val="center"/>
                    <w:rPr>
                      <w:b/>
                      <w:bCs/>
                      <w:strike w:val="0"/>
                      <w:dstrike w:val="0"/>
                      <w:color w:val="auto"/>
                      <w:spacing w:val="-10"/>
                      <w:szCs w:val="21"/>
                      <w:highlight w:val="none"/>
                    </w:rPr>
                  </w:pPr>
                  <w:r>
                    <w:rPr>
                      <w:b/>
                      <w:bCs/>
                      <w:strike w:val="0"/>
                      <w:dstrike w:val="0"/>
                      <w:color w:val="auto"/>
                      <w:spacing w:val="-10"/>
                      <w:szCs w:val="21"/>
                      <w:highlight w:val="none"/>
                    </w:rPr>
                    <w:t>固体废物名称</w:t>
                  </w:r>
                </w:p>
              </w:tc>
              <w:tc>
                <w:tcPr>
                  <w:tcW w:w="1336" w:type="dxa"/>
                  <w:vMerge w:val="restart"/>
                  <w:vAlign w:val="center"/>
                </w:tcPr>
                <w:p w14:paraId="272853F0">
                  <w:pPr>
                    <w:widowControl/>
                    <w:jc w:val="center"/>
                    <w:textAlignment w:val="center"/>
                    <w:rPr>
                      <w:b/>
                      <w:bCs/>
                      <w:strike w:val="0"/>
                      <w:dstrike w:val="0"/>
                      <w:color w:val="auto"/>
                      <w:spacing w:val="-10"/>
                      <w:szCs w:val="21"/>
                      <w:highlight w:val="none"/>
                    </w:rPr>
                  </w:pPr>
                  <w:r>
                    <w:rPr>
                      <w:b/>
                      <w:strike w:val="0"/>
                      <w:dstrike w:val="0"/>
                      <w:color w:val="auto"/>
                      <w:kern w:val="0"/>
                      <w:szCs w:val="21"/>
                      <w:highlight w:val="none"/>
                    </w:rPr>
                    <w:t>固体废物代码</w:t>
                  </w:r>
                </w:p>
              </w:tc>
              <w:tc>
                <w:tcPr>
                  <w:tcW w:w="722" w:type="dxa"/>
                  <w:vMerge w:val="restart"/>
                  <w:vAlign w:val="center"/>
                </w:tcPr>
                <w:p w14:paraId="2DA1A472">
                  <w:pPr>
                    <w:adjustRightInd w:val="0"/>
                    <w:snapToGrid w:val="0"/>
                    <w:jc w:val="center"/>
                    <w:rPr>
                      <w:b/>
                      <w:bCs/>
                      <w:strike w:val="0"/>
                      <w:dstrike w:val="0"/>
                      <w:color w:val="auto"/>
                      <w:spacing w:val="-10"/>
                      <w:szCs w:val="21"/>
                      <w:highlight w:val="none"/>
                    </w:rPr>
                  </w:pPr>
                  <w:r>
                    <w:rPr>
                      <w:b/>
                      <w:bCs/>
                      <w:strike w:val="0"/>
                      <w:dstrike w:val="0"/>
                      <w:color w:val="auto"/>
                      <w:spacing w:val="-10"/>
                      <w:szCs w:val="21"/>
                      <w:highlight w:val="none"/>
                    </w:rPr>
                    <w:t>固废属性</w:t>
                  </w:r>
                </w:p>
              </w:tc>
              <w:tc>
                <w:tcPr>
                  <w:tcW w:w="859" w:type="dxa"/>
                  <w:vMerge w:val="restart"/>
                  <w:vAlign w:val="center"/>
                </w:tcPr>
                <w:p w14:paraId="06BB8918">
                  <w:pPr>
                    <w:adjustRightInd w:val="0"/>
                    <w:snapToGrid w:val="0"/>
                    <w:jc w:val="center"/>
                    <w:rPr>
                      <w:b/>
                      <w:bCs/>
                      <w:strike w:val="0"/>
                      <w:dstrike w:val="0"/>
                      <w:color w:val="auto"/>
                      <w:spacing w:val="-10"/>
                      <w:szCs w:val="21"/>
                      <w:highlight w:val="none"/>
                    </w:rPr>
                  </w:pPr>
                  <w:r>
                    <w:rPr>
                      <w:b/>
                      <w:bCs/>
                      <w:strike w:val="0"/>
                      <w:dstrike w:val="0"/>
                      <w:color w:val="auto"/>
                      <w:spacing w:val="-10"/>
                      <w:szCs w:val="21"/>
                      <w:highlight w:val="none"/>
                    </w:rPr>
                    <w:t>产生量（t/a）</w:t>
                  </w:r>
                </w:p>
              </w:tc>
              <w:tc>
                <w:tcPr>
                  <w:tcW w:w="2360" w:type="dxa"/>
                  <w:gridSpan w:val="2"/>
                  <w:vAlign w:val="center"/>
                </w:tcPr>
                <w:p w14:paraId="54EDC62C">
                  <w:pPr>
                    <w:adjustRightInd w:val="0"/>
                    <w:snapToGrid w:val="0"/>
                    <w:jc w:val="center"/>
                    <w:rPr>
                      <w:b/>
                      <w:bCs/>
                      <w:strike w:val="0"/>
                      <w:dstrike w:val="0"/>
                      <w:color w:val="auto"/>
                      <w:spacing w:val="-10"/>
                      <w:szCs w:val="21"/>
                      <w:highlight w:val="none"/>
                    </w:rPr>
                  </w:pPr>
                  <w:r>
                    <w:rPr>
                      <w:b/>
                      <w:bCs/>
                      <w:strike w:val="0"/>
                      <w:dstrike w:val="0"/>
                      <w:color w:val="auto"/>
                      <w:spacing w:val="-10"/>
                      <w:szCs w:val="21"/>
                      <w:highlight w:val="none"/>
                    </w:rPr>
                    <w:t>处理措施</w:t>
                  </w:r>
                </w:p>
              </w:tc>
            </w:tr>
            <w:tr w14:paraId="3E30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vMerge w:val="continue"/>
                  <w:vAlign w:val="center"/>
                </w:tcPr>
                <w:p w14:paraId="3956DF99">
                  <w:pPr>
                    <w:pStyle w:val="7"/>
                    <w:spacing w:line="240" w:lineRule="auto"/>
                    <w:ind w:firstLine="0"/>
                    <w:jc w:val="center"/>
                    <w:rPr>
                      <w:rFonts w:ascii="Times New Roman" w:hAnsi="Times New Roman"/>
                      <w:strike w:val="0"/>
                      <w:dstrike w:val="0"/>
                      <w:color w:val="auto"/>
                      <w:sz w:val="21"/>
                      <w:highlight w:val="none"/>
                    </w:rPr>
                  </w:pPr>
                </w:p>
              </w:tc>
              <w:tc>
                <w:tcPr>
                  <w:tcW w:w="1411" w:type="dxa"/>
                  <w:vMerge w:val="continue"/>
                  <w:vAlign w:val="center"/>
                </w:tcPr>
                <w:p w14:paraId="4BD7C940">
                  <w:pPr>
                    <w:pStyle w:val="7"/>
                    <w:spacing w:line="240" w:lineRule="auto"/>
                    <w:ind w:firstLine="0"/>
                    <w:jc w:val="center"/>
                    <w:rPr>
                      <w:rFonts w:ascii="Times New Roman" w:hAnsi="Times New Roman"/>
                      <w:strike w:val="0"/>
                      <w:dstrike w:val="0"/>
                      <w:color w:val="auto"/>
                      <w:sz w:val="21"/>
                      <w:highlight w:val="none"/>
                    </w:rPr>
                  </w:pPr>
                </w:p>
              </w:tc>
              <w:tc>
                <w:tcPr>
                  <w:tcW w:w="1336" w:type="dxa"/>
                  <w:vMerge w:val="continue"/>
                  <w:vAlign w:val="center"/>
                </w:tcPr>
                <w:p w14:paraId="002DBEDA">
                  <w:pPr>
                    <w:pStyle w:val="7"/>
                    <w:spacing w:line="240" w:lineRule="auto"/>
                    <w:ind w:firstLine="0"/>
                    <w:jc w:val="center"/>
                    <w:rPr>
                      <w:rFonts w:ascii="Times New Roman" w:hAnsi="Times New Roman"/>
                      <w:strike w:val="0"/>
                      <w:dstrike w:val="0"/>
                      <w:color w:val="auto"/>
                      <w:sz w:val="21"/>
                      <w:highlight w:val="none"/>
                    </w:rPr>
                  </w:pPr>
                </w:p>
              </w:tc>
              <w:tc>
                <w:tcPr>
                  <w:tcW w:w="722" w:type="dxa"/>
                  <w:vMerge w:val="continue"/>
                  <w:vAlign w:val="center"/>
                </w:tcPr>
                <w:p w14:paraId="721FEECF">
                  <w:pPr>
                    <w:pStyle w:val="7"/>
                    <w:spacing w:line="240" w:lineRule="auto"/>
                    <w:ind w:firstLine="0"/>
                    <w:jc w:val="center"/>
                    <w:rPr>
                      <w:rFonts w:ascii="Times New Roman" w:hAnsi="Times New Roman"/>
                      <w:strike w:val="0"/>
                      <w:dstrike w:val="0"/>
                      <w:color w:val="auto"/>
                      <w:sz w:val="21"/>
                      <w:highlight w:val="none"/>
                    </w:rPr>
                  </w:pPr>
                </w:p>
              </w:tc>
              <w:tc>
                <w:tcPr>
                  <w:tcW w:w="859" w:type="dxa"/>
                  <w:vMerge w:val="continue"/>
                  <w:vAlign w:val="center"/>
                </w:tcPr>
                <w:p w14:paraId="137F2F0B">
                  <w:pPr>
                    <w:adjustRightInd w:val="0"/>
                    <w:snapToGrid w:val="0"/>
                    <w:jc w:val="center"/>
                    <w:rPr>
                      <w:b/>
                      <w:bCs/>
                      <w:strike w:val="0"/>
                      <w:dstrike w:val="0"/>
                      <w:color w:val="auto"/>
                      <w:spacing w:val="-10"/>
                      <w:szCs w:val="21"/>
                      <w:highlight w:val="none"/>
                    </w:rPr>
                  </w:pPr>
                </w:p>
              </w:tc>
              <w:tc>
                <w:tcPr>
                  <w:tcW w:w="1558" w:type="dxa"/>
                  <w:vAlign w:val="center"/>
                </w:tcPr>
                <w:p w14:paraId="4DC503E7">
                  <w:pPr>
                    <w:adjustRightInd w:val="0"/>
                    <w:snapToGrid w:val="0"/>
                    <w:jc w:val="center"/>
                    <w:rPr>
                      <w:b/>
                      <w:bCs/>
                      <w:strike w:val="0"/>
                      <w:dstrike w:val="0"/>
                      <w:color w:val="auto"/>
                      <w:spacing w:val="-10"/>
                      <w:szCs w:val="21"/>
                      <w:highlight w:val="none"/>
                    </w:rPr>
                  </w:pPr>
                  <w:r>
                    <w:rPr>
                      <w:b/>
                      <w:bCs/>
                      <w:strike w:val="0"/>
                      <w:dstrike w:val="0"/>
                      <w:color w:val="auto"/>
                      <w:spacing w:val="-10"/>
                      <w:szCs w:val="21"/>
                      <w:highlight w:val="none"/>
                    </w:rPr>
                    <w:t>去向</w:t>
                  </w:r>
                </w:p>
              </w:tc>
              <w:tc>
                <w:tcPr>
                  <w:tcW w:w="802" w:type="dxa"/>
                  <w:vAlign w:val="center"/>
                </w:tcPr>
                <w:p w14:paraId="3F695E49">
                  <w:pPr>
                    <w:adjustRightInd w:val="0"/>
                    <w:snapToGrid w:val="0"/>
                    <w:jc w:val="center"/>
                    <w:rPr>
                      <w:b/>
                      <w:bCs/>
                      <w:strike w:val="0"/>
                      <w:dstrike w:val="0"/>
                      <w:color w:val="auto"/>
                      <w:spacing w:val="-10"/>
                      <w:szCs w:val="21"/>
                      <w:highlight w:val="none"/>
                    </w:rPr>
                  </w:pPr>
                  <w:r>
                    <w:rPr>
                      <w:b/>
                      <w:bCs/>
                      <w:strike w:val="0"/>
                      <w:dstrike w:val="0"/>
                      <w:color w:val="auto"/>
                      <w:spacing w:val="-10"/>
                      <w:szCs w:val="21"/>
                      <w:highlight w:val="none"/>
                    </w:rPr>
                    <w:t>处置量（t/a）</w:t>
                  </w:r>
                </w:p>
              </w:tc>
            </w:tr>
            <w:tr w14:paraId="01B9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5389A5B6">
                  <w:pPr>
                    <w:widowControl/>
                    <w:jc w:val="center"/>
                    <w:rPr>
                      <w:strike w:val="0"/>
                      <w:dstrike w:val="0"/>
                      <w:color w:val="auto"/>
                      <w:kern w:val="0"/>
                      <w:szCs w:val="21"/>
                      <w:highlight w:val="none"/>
                    </w:rPr>
                  </w:pPr>
                  <w:r>
                    <w:rPr>
                      <w:strike w:val="0"/>
                      <w:dstrike w:val="0"/>
                      <w:color w:val="auto"/>
                      <w:szCs w:val="21"/>
                      <w:highlight w:val="none"/>
                    </w:rPr>
                    <w:t>LNG调压撬过滤工段</w:t>
                  </w:r>
                </w:p>
              </w:tc>
              <w:tc>
                <w:tcPr>
                  <w:tcW w:w="1411" w:type="dxa"/>
                  <w:shd w:val="clear" w:color="auto" w:fill="auto"/>
                  <w:vAlign w:val="center"/>
                </w:tcPr>
                <w:p w14:paraId="3ED3F046">
                  <w:pPr>
                    <w:widowControl/>
                    <w:jc w:val="center"/>
                    <w:rPr>
                      <w:strike w:val="0"/>
                      <w:dstrike w:val="0"/>
                      <w:color w:val="auto"/>
                      <w:kern w:val="0"/>
                      <w:szCs w:val="21"/>
                      <w:highlight w:val="none"/>
                    </w:rPr>
                  </w:pPr>
                  <w:r>
                    <w:rPr>
                      <w:strike w:val="0"/>
                      <w:dstrike w:val="0"/>
                      <w:color w:val="auto"/>
                      <w:szCs w:val="21"/>
                      <w:highlight w:val="none"/>
                    </w:rPr>
                    <w:t>过滤</w:t>
                  </w:r>
                  <w:r>
                    <w:rPr>
                      <w:strike w:val="0"/>
                      <w:dstrike w:val="0"/>
                      <w:color w:val="auto"/>
                      <w:kern w:val="0"/>
                      <w:szCs w:val="21"/>
                      <w:highlight w:val="none"/>
                    </w:rPr>
                    <w:t>杂质</w:t>
                  </w:r>
                </w:p>
              </w:tc>
              <w:tc>
                <w:tcPr>
                  <w:tcW w:w="1336" w:type="dxa"/>
                  <w:vAlign w:val="center"/>
                </w:tcPr>
                <w:p w14:paraId="1E232F77">
                  <w:pPr>
                    <w:adjustRightInd w:val="0"/>
                    <w:snapToGrid w:val="0"/>
                    <w:jc w:val="center"/>
                    <w:rPr>
                      <w:strike w:val="0"/>
                      <w:dstrike w:val="0"/>
                      <w:color w:val="auto"/>
                      <w:szCs w:val="21"/>
                      <w:highlight w:val="none"/>
                    </w:rPr>
                  </w:pPr>
                  <w:r>
                    <w:rPr>
                      <w:strike w:val="0"/>
                      <w:dstrike w:val="0"/>
                      <w:color w:val="auto"/>
                      <w:szCs w:val="21"/>
                      <w:highlight w:val="none"/>
                    </w:rPr>
                    <w:t>SW59，900-009-S59</w:t>
                  </w:r>
                </w:p>
              </w:tc>
              <w:tc>
                <w:tcPr>
                  <w:tcW w:w="722" w:type="dxa"/>
                  <w:vMerge w:val="restart"/>
                  <w:vAlign w:val="center"/>
                </w:tcPr>
                <w:p w14:paraId="00FEE2A1">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一般工业固废</w:t>
                  </w:r>
                </w:p>
              </w:tc>
              <w:tc>
                <w:tcPr>
                  <w:tcW w:w="859" w:type="dxa"/>
                  <w:vAlign w:val="center"/>
                </w:tcPr>
                <w:p w14:paraId="09FBF171">
                  <w:pPr>
                    <w:adjustRightInd w:val="0"/>
                    <w:snapToGrid w:val="0"/>
                    <w:jc w:val="center"/>
                    <w:rPr>
                      <w:strike w:val="0"/>
                      <w:dstrike w:val="0"/>
                      <w:color w:val="auto"/>
                      <w:szCs w:val="21"/>
                      <w:highlight w:val="none"/>
                    </w:rPr>
                  </w:pPr>
                  <w:r>
                    <w:rPr>
                      <w:strike w:val="0"/>
                      <w:dstrike w:val="0"/>
                      <w:color w:val="auto"/>
                      <w:szCs w:val="21"/>
                      <w:highlight w:val="none"/>
                    </w:rPr>
                    <w:t>0.001</w:t>
                  </w:r>
                </w:p>
              </w:tc>
              <w:tc>
                <w:tcPr>
                  <w:tcW w:w="1558" w:type="dxa"/>
                  <w:vAlign w:val="center"/>
                </w:tcPr>
                <w:p w14:paraId="50814E77">
                  <w:pPr>
                    <w:widowControl/>
                    <w:jc w:val="center"/>
                    <w:rPr>
                      <w:strike w:val="0"/>
                      <w:dstrike w:val="0"/>
                      <w:color w:val="auto"/>
                      <w:szCs w:val="21"/>
                      <w:highlight w:val="none"/>
                    </w:rPr>
                  </w:pPr>
                  <w:r>
                    <w:rPr>
                      <w:strike w:val="0"/>
                      <w:dstrike w:val="0"/>
                      <w:color w:val="auto"/>
                      <w:szCs w:val="21"/>
                      <w:highlight w:val="none"/>
                    </w:rPr>
                    <w:t>收集后由环卫部门清运</w:t>
                  </w:r>
                </w:p>
              </w:tc>
              <w:tc>
                <w:tcPr>
                  <w:tcW w:w="802" w:type="dxa"/>
                  <w:shd w:val="clear" w:color="auto" w:fill="auto"/>
                  <w:vAlign w:val="center"/>
                </w:tcPr>
                <w:p w14:paraId="5B119F96">
                  <w:pPr>
                    <w:adjustRightInd w:val="0"/>
                    <w:snapToGrid w:val="0"/>
                    <w:jc w:val="center"/>
                    <w:rPr>
                      <w:strike w:val="0"/>
                      <w:dstrike w:val="0"/>
                      <w:color w:val="auto"/>
                      <w:szCs w:val="21"/>
                      <w:highlight w:val="none"/>
                    </w:rPr>
                  </w:pPr>
                  <w:r>
                    <w:rPr>
                      <w:strike w:val="0"/>
                      <w:dstrike w:val="0"/>
                      <w:color w:val="auto"/>
                      <w:szCs w:val="21"/>
                      <w:highlight w:val="none"/>
                    </w:rPr>
                    <w:t>0.001</w:t>
                  </w:r>
                </w:p>
              </w:tc>
            </w:tr>
            <w:tr w14:paraId="11FB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3D68967C">
                  <w:pPr>
                    <w:widowControl/>
                    <w:jc w:val="center"/>
                    <w:rPr>
                      <w:strike w:val="0"/>
                      <w:dstrike w:val="0"/>
                      <w:color w:val="auto"/>
                      <w:kern w:val="0"/>
                      <w:szCs w:val="21"/>
                      <w:highlight w:val="none"/>
                    </w:rPr>
                  </w:pPr>
                  <w:r>
                    <w:rPr>
                      <w:strike w:val="0"/>
                      <w:dstrike w:val="0"/>
                      <w:color w:val="auto"/>
                      <w:kern w:val="0"/>
                      <w:szCs w:val="21"/>
                      <w:highlight w:val="none"/>
                    </w:rPr>
                    <w:t>废水处理</w:t>
                  </w:r>
                </w:p>
              </w:tc>
              <w:tc>
                <w:tcPr>
                  <w:tcW w:w="1411" w:type="dxa"/>
                  <w:shd w:val="clear" w:color="auto" w:fill="auto"/>
                  <w:vAlign w:val="center"/>
                </w:tcPr>
                <w:p w14:paraId="14656E3E">
                  <w:pPr>
                    <w:widowControl/>
                    <w:jc w:val="center"/>
                    <w:rPr>
                      <w:strike w:val="0"/>
                      <w:dstrike w:val="0"/>
                      <w:color w:val="auto"/>
                      <w:kern w:val="0"/>
                      <w:szCs w:val="21"/>
                      <w:highlight w:val="none"/>
                    </w:rPr>
                  </w:pPr>
                  <w:r>
                    <w:rPr>
                      <w:rStyle w:val="29"/>
                      <w:strike w:val="0"/>
                      <w:dstrike w:val="0"/>
                      <w:color w:val="auto"/>
                      <w:kern w:val="0"/>
                      <w:szCs w:val="21"/>
                      <w:highlight w:val="none"/>
                    </w:rPr>
                    <w:t>生化池污泥</w:t>
                  </w:r>
                </w:p>
              </w:tc>
              <w:tc>
                <w:tcPr>
                  <w:tcW w:w="1336" w:type="dxa"/>
                  <w:vAlign w:val="center"/>
                </w:tcPr>
                <w:p w14:paraId="10C3830D">
                  <w:pPr>
                    <w:adjustRightInd w:val="0"/>
                    <w:snapToGrid w:val="0"/>
                    <w:jc w:val="center"/>
                    <w:rPr>
                      <w:strike w:val="0"/>
                      <w:dstrike w:val="0"/>
                      <w:color w:val="auto"/>
                      <w:szCs w:val="21"/>
                      <w:highlight w:val="none"/>
                    </w:rPr>
                  </w:pPr>
                  <w:r>
                    <w:rPr>
                      <w:strike w:val="0"/>
                      <w:dstrike w:val="0"/>
                      <w:color w:val="auto"/>
                      <w:szCs w:val="21"/>
                      <w:highlight w:val="none"/>
                    </w:rPr>
                    <w:t>SW64，900-002-S64</w:t>
                  </w:r>
                </w:p>
              </w:tc>
              <w:tc>
                <w:tcPr>
                  <w:tcW w:w="722" w:type="dxa"/>
                  <w:vMerge w:val="continue"/>
                  <w:vAlign w:val="center"/>
                </w:tcPr>
                <w:p w14:paraId="462DD23E">
                  <w:pPr>
                    <w:adjustRightInd w:val="0"/>
                    <w:snapToGrid w:val="0"/>
                    <w:jc w:val="center"/>
                    <w:rPr>
                      <w:bCs/>
                      <w:strike w:val="0"/>
                      <w:dstrike w:val="0"/>
                      <w:color w:val="auto"/>
                      <w:spacing w:val="-10"/>
                      <w:szCs w:val="21"/>
                      <w:highlight w:val="none"/>
                    </w:rPr>
                  </w:pPr>
                </w:p>
              </w:tc>
              <w:tc>
                <w:tcPr>
                  <w:tcW w:w="859" w:type="dxa"/>
                  <w:vAlign w:val="center"/>
                </w:tcPr>
                <w:p w14:paraId="56401E64">
                  <w:pPr>
                    <w:adjustRightInd w:val="0"/>
                    <w:snapToGrid w:val="0"/>
                    <w:jc w:val="center"/>
                    <w:rPr>
                      <w:strike w:val="0"/>
                      <w:dstrike w:val="0"/>
                      <w:color w:val="auto"/>
                      <w:szCs w:val="21"/>
                      <w:highlight w:val="none"/>
                    </w:rPr>
                  </w:pPr>
                  <w:r>
                    <w:rPr>
                      <w:strike w:val="0"/>
                      <w:dstrike w:val="0"/>
                      <w:color w:val="auto"/>
                      <w:szCs w:val="21"/>
                      <w:highlight w:val="none"/>
                    </w:rPr>
                    <w:t>0.50</w:t>
                  </w:r>
                </w:p>
              </w:tc>
              <w:tc>
                <w:tcPr>
                  <w:tcW w:w="1558" w:type="dxa"/>
                  <w:vAlign w:val="center"/>
                </w:tcPr>
                <w:p w14:paraId="4F433417">
                  <w:pPr>
                    <w:widowControl/>
                    <w:jc w:val="center"/>
                    <w:rPr>
                      <w:strike w:val="0"/>
                      <w:dstrike w:val="0"/>
                      <w:color w:val="auto"/>
                      <w:szCs w:val="21"/>
                      <w:highlight w:val="none"/>
                    </w:rPr>
                  </w:pPr>
                  <w:r>
                    <w:rPr>
                      <w:rFonts w:hint="eastAsia"/>
                      <w:strike w:val="0"/>
                      <w:dstrike w:val="0"/>
                      <w:color w:val="auto"/>
                      <w:szCs w:val="21"/>
                      <w:highlight w:val="none"/>
                    </w:rPr>
                    <w:t>委托专业单位定期清掏处置</w:t>
                  </w:r>
                </w:p>
              </w:tc>
              <w:tc>
                <w:tcPr>
                  <w:tcW w:w="802" w:type="dxa"/>
                  <w:shd w:val="clear" w:color="auto" w:fill="auto"/>
                  <w:vAlign w:val="center"/>
                </w:tcPr>
                <w:p w14:paraId="23FE4ECE">
                  <w:pPr>
                    <w:adjustRightInd w:val="0"/>
                    <w:snapToGrid w:val="0"/>
                    <w:jc w:val="center"/>
                    <w:rPr>
                      <w:strike w:val="0"/>
                      <w:dstrike w:val="0"/>
                      <w:color w:val="auto"/>
                      <w:szCs w:val="21"/>
                      <w:highlight w:val="none"/>
                    </w:rPr>
                  </w:pPr>
                  <w:r>
                    <w:rPr>
                      <w:strike w:val="0"/>
                      <w:dstrike w:val="0"/>
                      <w:color w:val="auto"/>
                      <w:szCs w:val="21"/>
                      <w:highlight w:val="none"/>
                    </w:rPr>
                    <w:t>0.50</w:t>
                  </w:r>
                </w:p>
              </w:tc>
            </w:tr>
            <w:tr w14:paraId="681F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20065CC2">
                  <w:pPr>
                    <w:widowControl/>
                    <w:jc w:val="center"/>
                    <w:rPr>
                      <w:strike w:val="0"/>
                      <w:dstrike w:val="0"/>
                      <w:color w:val="auto"/>
                      <w:kern w:val="0"/>
                      <w:szCs w:val="21"/>
                      <w:highlight w:val="none"/>
                    </w:rPr>
                  </w:pPr>
                  <w:r>
                    <w:rPr>
                      <w:strike w:val="0"/>
                      <w:dstrike w:val="0"/>
                      <w:color w:val="auto"/>
                      <w:kern w:val="0"/>
                      <w:szCs w:val="21"/>
                      <w:highlight w:val="none"/>
                    </w:rPr>
                    <w:t>储油罐清罐</w:t>
                  </w:r>
                </w:p>
              </w:tc>
              <w:tc>
                <w:tcPr>
                  <w:tcW w:w="1411" w:type="dxa"/>
                  <w:shd w:val="clear" w:color="auto" w:fill="auto"/>
                  <w:vAlign w:val="center"/>
                </w:tcPr>
                <w:p w14:paraId="046654A1">
                  <w:pPr>
                    <w:widowControl/>
                    <w:jc w:val="center"/>
                    <w:rPr>
                      <w:strike w:val="0"/>
                      <w:dstrike w:val="0"/>
                      <w:color w:val="auto"/>
                      <w:kern w:val="0"/>
                      <w:szCs w:val="21"/>
                      <w:highlight w:val="none"/>
                    </w:rPr>
                  </w:pPr>
                  <w:r>
                    <w:rPr>
                      <w:strike w:val="0"/>
                      <w:dstrike w:val="0"/>
                      <w:color w:val="auto"/>
                      <w:szCs w:val="21"/>
                      <w:highlight w:val="none"/>
                    </w:rPr>
                    <w:t>清罐废物</w:t>
                  </w:r>
                </w:p>
              </w:tc>
              <w:tc>
                <w:tcPr>
                  <w:tcW w:w="1336" w:type="dxa"/>
                  <w:vAlign w:val="center"/>
                </w:tcPr>
                <w:p w14:paraId="163BA5F6">
                  <w:pPr>
                    <w:adjustRightInd w:val="0"/>
                    <w:snapToGrid w:val="0"/>
                    <w:jc w:val="center"/>
                    <w:rPr>
                      <w:strike w:val="0"/>
                      <w:dstrike w:val="0"/>
                      <w:color w:val="auto"/>
                      <w:szCs w:val="21"/>
                      <w:highlight w:val="none"/>
                    </w:rPr>
                  </w:pPr>
                  <w:r>
                    <w:rPr>
                      <w:strike w:val="0"/>
                      <w:dstrike w:val="0"/>
                      <w:color w:val="auto"/>
                      <w:kern w:val="0"/>
                      <w:szCs w:val="21"/>
                      <w:highlight w:val="none"/>
                    </w:rPr>
                    <w:t>HW08，</w:t>
                  </w:r>
                  <w:r>
                    <w:rPr>
                      <w:rFonts w:eastAsia="TimesNewRomanPSMT"/>
                      <w:strike w:val="0"/>
                      <w:dstrike w:val="0"/>
                      <w:color w:val="auto"/>
                      <w:szCs w:val="21"/>
                      <w:highlight w:val="none"/>
                    </w:rPr>
                    <w:t>900-249-08</w:t>
                  </w:r>
                </w:p>
              </w:tc>
              <w:tc>
                <w:tcPr>
                  <w:tcW w:w="722" w:type="dxa"/>
                  <w:vMerge w:val="restart"/>
                  <w:vAlign w:val="center"/>
                </w:tcPr>
                <w:p w14:paraId="5DB7CC62">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危险废物</w:t>
                  </w:r>
                </w:p>
              </w:tc>
              <w:tc>
                <w:tcPr>
                  <w:tcW w:w="859" w:type="dxa"/>
                  <w:vAlign w:val="center"/>
                </w:tcPr>
                <w:p w14:paraId="3488B410">
                  <w:pPr>
                    <w:adjustRightInd w:val="0"/>
                    <w:snapToGrid w:val="0"/>
                    <w:jc w:val="center"/>
                    <w:rPr>
                      <w:strike w:val="0"/>
                      <w:dstrike w:val="0"/>
                      <w:color w:val="auto"/>
                      <w:szCs w:val="21"/>
                      <w:highlight w:val="none"/>
                    </w:rPr>
                  </w:pPr>
                  <w:r>
                    <w:rPr>
                      <w:strike w:val="0"/>
                      <w:dstrike w:val="0"/>
                      <w:color w:val="auto"/>
                      <w:szCs w:val="21"/>
                      <w:highlight w:val="none"/>
                    </w:rPr>
                    <w:t>0.4</w:t>
                  </w:r>
                </w:p>
              </w:tc>
              <w:tc>
                <w:tcPr>
                  <w:tcW w:w="1558" w:type="dxa"/>
                  <w:vMerge w:val="restart"/>
                  <w:vAlign w:val="center"/>
                </w:tcPr>
                <w:p w14:paraId="62AECDF7">
                  <w:pPr>
                    <w:pStyle w:val="7"/>
                    <w:spacing w:line="240" w:lineRule="auto"/>
                    <w:ind w:firstLine="0"/>
                    <w:jc w:val="center"/>
                    <w:rPr>
                      <w:rFonts w:ascii="Times New Roman" w:hAnsi="Times New Roman"/>
                      <w:strike w:val="0"/>
                      <w:dstrike w:val="0"/>
                      <w:color w:val="auto"/>
                      <w:sz w:val="21"/>
                      <w:highlight w:val="none"/>
                    </w:rPr>
                  </w:pPr>
                  <w:r>
                    <w:rPr>
                      <w:rFonts w:hint="eastAsia" w:ascii="Times New Roman" w:hAnsi="Times New Roman"/>
                      <w:strike w:val="0"/>
                      <w:dstrike w:val="0"/>
                      <w:color w:val="auto"/>
                      <w:sz w:val="21"/>
                      <w:highlight w:val="none"/>
                    </w:rPr>
                    <w:t>交有危险废物处置资质的单位收运处置</w:t>
                  </w:r>
                </w:p>
              </w:tc>
              <w:tc>
                <w:tcPr>
                  <w:tcW w:w="802" w:type="dxa"/>
                  <w:shd w:val="clear" w:color="auto" w:fill="auto"/>
                  <w:vAlign w:val="center"/>
                </w:tcPr>
                <w:p w14:paraId="1CE1B5BD">
                  <w:pPr>
                    <w:adjustRightInd w:val="0"/>
                    <w:snapToGrid w:val="0"/>
                    <w:jc w:val="center"/>
                    <w:rPr>
                      <w:strike w:val="0"/>
                      <w:dstrike w:val="0"/>
                      <w:color w:val="auto"/>
                      <w:szCs w:val="21"/>
                      <w:highlight w:val="none"/>
                    </w:rPr>
                  </w:pPr>
                  <w:r>
                    <w:rPr>
                      <w:strike w:val="0"/>
                      <w:dstrike w:val="0"/>
                      <w:color w:val="auto"/>
                      <w:szCs w:val="21"/>
                      <w:highlight w:val="none"/>
                    </w:rPr>
                    <w:t>0.4</w:t>
                  </w:r>
                </w:p>
              </w:tc>
            </w:tr>
            <w:tr w14:paraId="7435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2BC39900">
                  <w:pPr>
                    <w:widowControl/>
                    <w:jc w:val="center"/>
                    <w:rPr>
                      <w:strike w:val="0"/>
                      <w:dstrike w:val="0"/>
                      <w:color w:val="auto"/>
                      <w:szCs w:val="21"/>
                      <w:highlight w:val="none"/>
                    </w:rPr>
                  </w:pPr>
                  <w:r>
                    <w:rPr>
                      <w:strike w:val="0"/>
                      <w:dstrike w:val="0"/>
                      <w:color w:val="auto"/>
                      <w:szCs w:val="21"/>
                      <w:highlight w:val="none"/>
                    </w:rPr>
                    <w:t>设备检修</w:t>
                  </w:r>
                </w:p>
              </w:tc>
              <w:tc>
                <w:tcPr>
                  <w:tcW w:w="1411" w:type="dxa"/>
                  <w:shd w:val="clear" w:color="auto" w:fill="auto"/>
                  <w:vAlign w:val="center"/>
                </w:tcPr>
                <w:p w14:paraId="3AD1A621">
                  <w:pPr>
                    <w:widowControl/>
                    <w:jc w:val="center"/>
                    <w:rPr>
                      <w:strike w:val="0"/>
                      <w:dstrike w:val="0"/>
                      <w:color w:val="auto"/>
                      <w:szCs w:val="21"/>
                      <w:highlight w:val="none"/>
                    </w:rPr>
                  </w:pPr>
                  <w:r>
                    <w:rPr>
                      <w:strike w:val="0"/>
                      <w:dstrike w:val="0"/>
                      <w:color w:val="auto"/>
                      <w:szCs w:val="21"/>
                      <w:highlight w:val="none"/>
                    </w:rPr>
                    <w:t>检修废物</w:t>
                  </w:r>
                </w:p>
              </w:tc>
              <w:tc>
                <w:tcPr>
                  <w:tcW w:w="1336" w:type="dxa"/>
                  <w:vAlign w:val="center"/>
                </w:tcPr>
                <w:p w14:paraId="1D1C0481">
                  <w:pPr>
                    <w:adjustRightInd w:val="0"/>
                    <w:snapToGrid w:val="0"/>
                    <w:jc w:val="center"/>
                    <w:rPr>
                      <w:strike w:val="0"/>
                      <w:dstrike w:val="0"/>
                      <w:color w:val="auto"/>
                      <w:szCs w:val="21"/>
                      <w:highlight w:val="none"/>
                    </w:rPr>
                  </w:pPr>
                  <w:r>
                    <w:rPr>
                      <w:strike w:val="0"/>
                      <w:dstrike w:val="0"/>
                      <w:color w:val="auto"/>
                      <w:szCs w:val="21"/>
                      <w:highlight w:val="none"/>
                    </w:rPr>
                    <w:t>HW09，</w:t>
                  </w:r>
                  <w:r>
                    <w:rPr>
                      <w:rFonts w:eastAsia="TimesNewRomanPSMT"/>
                      <w:strike w:val="0"/>
                      <w:dstrike w:val="0"/>
                      <w:color w:val="auto"/>
                      <w:szCs w:val="21"/>
                      <w:highlight w:val="none"/>
                    </w:rPr>
                    <w:t>900-007-09</w:t>
                  </w:r>
                </w:p>
              </w:tc>
              <w:tc>
                <w:tcPr>
                  <w:tcW w:w="722" w:type="dxa"/>
                  <w:vMerge w:val="continue"/>
                  <w:vAlign w:val="center"/>
                </w:tcPr>
                <w:p w14:paraId="2A4F6E82">
                  <w:pPr>
                    <w:pStyle w:val="7"/>
                    <w:spacing w:line="240" w:lineRule="auto"/>
                    <w:ind w:firstLine="0"/>
                    <w:jc w:val="center"/>
                    <w:rPr>
                      <w:rFonts w:ascii="Times New Roman" w:hAnsi="Times New Roman"/>
                      <w:strike w:val="0"/>
                      <w:dstrike w:val="0"/>
                      <w:color w:val="auto"/>
                      <w:sz w:val="21"/>
                      <w:highlight w:val="none"/>
                    </w:rPr>
                  </w:pPr>
                </w:p>
              </w:tc>
              <w:tc>
                <w:tcPr>
                  <w:tcW w:w="859" w:type="dxa"/>
                  <w:vAlign w:val="center"/>
                </w:tcPr>
                <w:p w14:paraId="6A704B5E">
                  <w:pPr>
                    <w:adjustRightInd w:val="0"/>
                    <w:snapToGrid w:val="0"/>
                    <w:jc w:val="center"/>
                    <w:rPr>
                      <w:strike w:val="0"/>
                      <w:dstrike w:val="0"/>
                      <w:color w:val="auto"/>
                      <w:szCs w:val="21"/>
                      <w:highlight w:val="none"/>
                    </w:rPr>
                  </w:pPr>
                  <w:r>
                    <w:rPr>
                      <w:strike w:val="0"/>
                      <w:dstrike w:val="0"/>
                      <w:color w:val="auto"/>
                      <w:szCs w:val="21"/>
                      <w:highlight w:val="none"/>
                    </w:rPr>
                    <w:t>0.2</w:t>
                  </w:r>
                </w:p>
              </w:tc>
              <w:tc>
                <w:tcPr>
                  <w:tcW w:w="1558" w:type="dxa"/>
                  <w:vMerge w:val="continue"/>
                  <w:vAlign w:val="center"/>
                </w:tcPr>
                <w:p w14:paraId="1D03432C">
                  <w:pPr>
                    <w:pStyle w:val="7"/>
                    <w:spacing w:line="240" w:lineRule="auto"/>
                    <w:ind w:firstLine="0"/>
                    <w:jc w:val="center"/>
                    <w:rPr>
                      <w:rFonts w:ascii="Times New Roman" w:hAnsi="Times New Roman"/>
                      <w:strike w:val="0"/>
                      <w:dstrike w:val="0"/>
                      <w:color w:val="auto"/>
                      <w:sz w:val="21"/>
                      <w:highlight w:val="none"/>
                    </w:rPr>
                  </w:pPr>
                </w:p>
              </w:tc>
              <w:tc>
                <w:tcPr>
                  <w:tcW w:w="802" w:type="dxa"/>
                  <w:shd w:val="clear" w:color="auto" w:fill="auto"/>
                  <w:vAlign w:val="center"/>
                </w:tcPr>
                <w:p w14:paraId="2EDDCE10">
                  <w:pPr>
                    <w:adjustRightInd w:val="0"/>
                    <w:snapToGrid w:val="0"/>
                    <w:jc w:val="center"/>
                    <w:rPr>
                      <w:strike w:val="0"/>
                      <w:dstrike w:val="0"/>
                      <w:color w:val="auto"/>
                      <w:szCs w:val="21"/>
                      <w:highlight w:val="none"/>
                    </w:rPr>
                  </w:pPr>
                  <w:r>
                    <w:rPr>
                      <w:strike w:val="0"/>
                      <w:dstrike w:val="0"/>
                      <w:color w:val="auto"/>
                      <w:szCs w:val="21"/>
                      <w:highlight w:val="none"/>
                    </w:rPr>
                    <w:t>0.2</w:t>
                  </w:r>
                </w:p>
              </w:tc>
            </w:tr>
            <w:tr w14:paraId="262D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37ED358F">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sz w:val="21"/>
                      <w:szCs w:val="21"/>
                      <w:highlight w:val="none"/>
                    </w:rPr>
                    <w:t>LNG调压撬过滤工段</w:t>
                  </w:r>
                </w:p>
              </w:tc>
              <w:tc>
                <w:tcPr>
                  <w:tcW w:w="1411" w:type="dxa"/>
                  <w:shd w:val="clear" w:color="auto" w:fill="auto"/>
                  <w:vAlign w:val="center"/>
                </w:tcPr>
                <w:p w14:paraId="2990222F">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sz w:val="21"/>
                      <w:szCs w:val="21"/>
                      <w:highlight w:val="none"/>
                    </w:rPr>
                    <w:t>废旧滤芯</w:t>
                  </w:r>
                </w:p>
              </w:tc>
              <w:tc>
                <w:tcPr>
                  <w:tcW w:w="1336" w:type="dxa"/>
                  <w:shd w:val="clear" w:color="auto" w:fill="auto"/>
                  <w:vAlign w:val="center"/>
                </w:tcPr>
                <w:p w14:paraId="6900904E">
                  <w:pPr>
                    <w:adjustRightInd w:val="0"/>
                    <w:snapToGrid w:val="0"/>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HW</w:t>
                  </w:r>
                  <w:r>
                    <w:rPr>
                      <w:rFonts w:hint="eastAsia"/>
                      <w:strike w:val="0"/>
                      <w:dstrike w:val="0"/>
                      <w:color w:val="auto"/>
                      <w:sz w:val="21"/>
                      <w:szCs w:val="21"/>
                      <w:highlight w:val="none"/>
                      <w:lang w:val="en-US" w:eastAsia="zh-CN"/>
                    </w:rPr>
                    <w:t>49</w:t>
                  </w:r>
                  <w:r>
                    <w:rPr>
                      <w:strike w:val="0"/>
                      <w:dstrike w:val="0"/>
                      <w:color w:val="auto"/>
                      <w:sz w:val="21"/>
                      <w:szCs w:val="21"/>
                      <w:highlight w:val="none"/>
                    </w:rPr>
                    <w:t>，</w:t>
                  </w:r>
                  <w:r>
                    <w:rPr>
                      <w:rFonts w:hint="eastAsia"/>
                      <w:strike w:val="0"/>
                      <w:dstrike w:val="0"/>
                      <w:color w:val="auto"/>
                      <w:sz w:val="21"/>
                      <w:szCs w:val="21"/>
                      <w:highlight w:val="none"/>
                      <w:lang w:eastAsia="zh-CN"/>
                    </w:rPr>
                    <w:t>900-041-49</w:t>
                  </w:r>
                </w:p>
              </w:tc>
              <w:tc>
                <w:tcPr>
                  <w:tcW w:w="722" w:type="dxa"/>
                  <w:vMerge w:val="continue"/>
                  <w:shd w:val="clear" w:color="auto" w:fill="auto"/>
                  <w:vAlign w:val="center"/>
                </w:tcPr>
                <w:p w14:paraId="2B1DAD5C">
                  <w:pPr>
                    <w:adjustRightInd w:val="0"/>
                    <w:snapToGrid w:val="0"/>
                    <w:jc w:val="center"/>
                    <w:rPr>
                      <w:rFonts w:ascii="Times New Roman" w:hAnsi="Times New Roman" w:eastAsia="宋体" w:cs="Times New Roman"/>
                      <w:bCs/>
                      <w:strike w:val="0"/>
                      <w:dstrike w:val="0"/>
                      <w:color w:val="auto"/>
                      <w:spacing w:val="-10"/>
                      <w:kern w:val="2"/>
                      <w:sz w:val="21"/>
                      <w:szCs w:val="21"/>
                      <w:highlight w:val="none"/>
                      <w:lang w:val="en-US" w:eastAsia="zh-CN" w:bidi="ar-SA"/>
                    </w:rPr>
                  </w:pPr>
                </w:p>
              </w:tc>
              <w:tc>
                <w:tcPr>
                  <w:tcW w:w="859" w:type="dxa"/>
                  <w:shd w:val="clear" w:color="auto" w:fill="auto"/>
                  <w:vAlign w:val="center"/>
                </w:tcPr>
                <w:p w14:paraId="4172CB9B">
                  <w:pPr>
                    <w:adjustRightInd w:val="0"/>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0.005</w:t>
                  </w:r>
                </w:p>
              </w:tc>
              <w:tc>
                <w:tcPr>
                  <w:tcW w:w="1558" w:type="dxa"/>
                  <w:vMerge w:val="continue"/>
                  <w:shd w:val="clear" w:color="auto" w:fill="auto"/>
                  <w:vAlign w:val="center"/>
                </w:tcPr>
                <w:p w14:paraId="4C9C9B8B">
                  <w:pPr>
                    <w:widowControl/>
                    <w:jc w:val="center"/>
                    <w:rPr>
                      <w:rFonts w:ascii="Times New Roman" w:hAnsi="Times New Roman" w:eastAsia="宋体" w:cs="Times New Roman"/>
                      <w:strike w:val="0"/>
                      <w:dstrike w:val="0"/>
                      <w:color w:val="auto"/>
                      <w:kern w:val="2"/>
                      <w:sz w:val="21"/>
                      <w:szCs w:val="21"/>
                      <w:highlight w:val="none"/>
                      <w:lang w:val="en-US" w:eastAsia="zh-CN" w:bidi="ar-SA"/>
                    </w:rPr>
                  </w:pPr>
                </w:p>
              </w:tc>
              <w:tc>
                <w:tcPr>
                  <w:tcW w:w="802" w:type="dxa"/>
                  <w:shd w:val="clear" w:color="auto" w:fill="auto"/>
                  <w:vAlign w:val="center"/>
                </w:tcPr>
                <w:p w14:paraId="5003BF26">
                  <w:pPr>
                    <w:adjustRightInd w:val="0"/>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0.005</w:t>
                  </w:r>
                </w:p>
              </w:tc>
            </w:tr>
            <w:tr w14:paraId="0028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0B9CA076">
                  <w:pPr>
                    <w:widowControl/>
                    <w:jc w:val="center"/>
                    <w:rPr>
                      <w:strike w:val="0"/>
                      <w:dstrike w:val="0"/>
                      <w:color w:val="auto"/>
                      <w:kern w:val="0"/>
                      <w:szCs w:val="21"/>
                      <w:highlight w:val="none"/>
                    </w:rPr>
                  </w:pPr>
                  <w:r>
                    <w:rPr>
                      <w:strike w:val="0"/>
                      <w:dstrike w:val="0"/>
                      <w:color w:val="auto"/>
                      <w:kern w:val="0"/>
                      <w:szCs w:val="21"/>
                      <w:highlight w:val="none"/>
                    </w:rPr>
                    <w:t>空压系统</w:t>
                  </w:r>
                </w:p>
              </w:tc>
              <w:tc>
                <w:tcPr>
                  <w:tcW w:w="1411" w:type="dxa"/>
                  <w:shd w:val="clear" w:color="auto" w:fill="auto"/>
                  <w:vAlign w:val="center"/>
                </w:tcPr>
                <w:p w14:paraId="046D3B6A">
                  <w:pPr>
                    <w:widowControl/>
                    <w:jc w:val="center"/>
                    <w:rPr>
                      <w:strike w:val="0"/>
                      <w:dstrike w:val="0"/>
                      <w:color w:val="auto"/>
                      <w:kern w:val="0"/>
                      <w:szCs w:val="21"/>
                      <w:highlight w:val="none"/>
                    </w:rPr>
                  </w:pPr>
                  <w:r>
                    <w:rPr>
                      <w:strike w:val="0"/>
                      <w:dstrike w:val="0"/>
                      <w:color w:val="auto"/>
                      <w:kern w:val="0"/>
                      <w:szCs w:val="21"/>
                      <w:highlight w:val="none"/>
                    </w:rPr>
                    <w:t>空压机</w:t>
                  </w:r>
                  <w:r>
                    <w:rPr>
                      <w:rFonts w:hint="eastAsia"/>
                      <w:strike w:val="0"/>
                      <w:dstrike w:val="0"/>
                      <w:color w:val="auto"/>
                      <w:kern w:val="0"/>
                      <w:szCs w:val="21"/>
                      <w:highlight w:val="none"/>
                    </w:rPr>
                    <w:t>油/水混合物（空压机）</w:t>
                  </w:r>
                </w:p>
              </w:tc>
              <w:tc>
                <w:tcPr>
                  <w:tcW w:w="1336" w:type="dxa"/>
                  <w:vAlign w:val="center"/>
                </w:tcPr>
                <w:p w14:paraId="7CFBAC87">
                  <w:pPr>
                    <w:adjustRightInd w:val="0"/>
                    <w:snapToGrid w:val="0"/>
                    <w:jc w:val="center"/>
                    <w:rPr>
                      <w:strike w:val="0"/>
                      <w:dstrike w:val="0"/>
                      <w:color w:val="auto"/>
                      <w:szCs w:val="21"/>
                      <w:highlight w:val="none"/>
                    </w:rPr>
                  </w:pPr>
                  <w:r>
                    <w:rPr>
                      <w:strike w:val="0"/>
                      <w:dstrike w:val="0"/>
                      <w:color w:val="auto"/>
                      <w:szCs w:val="21"/>
                      <w:highlight w:val="none"/>
                    </w:rPr>
                    <w:t>HW09，</w:t>
                  </w:r>
                  <w:r>
                    <w:rPr>
                      <w:rFonts w:hint="eastAsia"/>
                      <w:strike w:val="0"/>
                      <w:dstrike w:val="0"/>
                      <w:color w:val="auto"/>
                      <w:szCs w:val="21"/>
                      <w:highlight w:val="none"/>
                      <w:lang w:eastAsia="zh-CN"/>
                    </w:rPr>
                    <w:t>900-007-09</w:t>
                  </w:r>
                </w:p>
              </w:tc>
              <w:tc>
                <w:tcPr>
                  <w:tcW w:w="722" w:type="dxa"/>
                  <w:vMerge w:val="continue"/>
                  <w:vAlign w:val="center"/>
                </w:tcPr>
                <w:p w14:paraId="001C7E16">
                  <w:pPr>
                    <w:pStyle w:val="7"/>
                    <w:spacing w:line="240" w:lineRule="auto"/>
                    <w:ind w:firstLine="0"/>
                    <w:jc w:val="center"/>
                    <w:rPr>
                      <w:rFonts w:ascii="Times New Roman" w:hAnsi="Times New Roman"/>
                      <w:strike w:val="0"/>
                      <w:dstrike w:val="0"/>
                      <w:color w:val="auto"/>
                      <w:sz w:val="21"/>
                      <w:highlight w:val="none"/>
                    </w:rPr>
                  </w:pPr>
                </w:p>
              </w:tc>
              <w:tc>
                <w:tcPr>
                  <w:tcW w:w="859" w:type="dxa"/>
                  <w:vAlign w:val="center"/>
                </w:tcPr>
                <w:p w14:paraId="47133AA0">
                  <w:pPr>
                    <w:adjustRightInd w:val="0"/>
                    <w:snapToGrid w:val="0"/>
                    <w:jc w:val="center"/>
                    <w:rPr>
                      <w:strike w:val="0"/>
                      <w:dstrike w:val="0"/>
                      <w:color w:val="auto"/>
                      <w:szCs w:val="21"/>
                      <w:highlight w:val="none"/>
                    </w:rPr>
                  </w:pPr>
                  <w:r>
                    <w:rPr>
                      <w:strike w:val="0"/>
                      <w:dstrike w:val="0"/>
                      <w:color w:val="auto"/>
                      <w:szCs w:val="21"/>
                      <w:highlight w:val="none"/>
                    </w:rPr>
                    <w:t>0.3</w:t>
                  </w:r>
                </w:p>
              </w:tc>
              <w:tc>
                <w:tcPr>
                  <w:tcW w:w="1558" w:type="dxa"/>
                  <w:vMerge w:val="continue"/>
                  <w:vAlign w:val="center"/>
                </w:tcPr>
                <w:p w14:paraId="321ED829">
                  <w:pPr>
                    <w:adjustRightInd w:val="0"/>
                    <w:snapToGrid w:val="0"/>
                    <w:jc w:val="center"/>
                    <w:rPr>
                      <w:bCs/>
                      <w:strike w:val="0"/>
                      <w:dstrike w:val="0"/>
                      <w:color w:val="auto"/>
                      <w:spacing w:val="-10"/>
                      <w:szCs w:val="21"/>
                      <w:highlight w:val="none"/>
                    </w:rPr>
                  </w:pPr>
                </w:p>
              </w:tc>
              <w:tc>
                <w:tcPr>
                  <w:tcW w:w="802" w:type="dxa"/>
                  <w:shd w:val="clear" w:color="auto" w:fill="auto"/>
                  <w:vAlign w:val="center"/>
                </w:tcPr>
                <w:p w14:paraId="3D2453AB">
                  <w:pPr>
                    <w:adjustRightInd w:val="0"/>
                    <w:snapToGrid w:val="0"/>
                    <w:jc w:val="center"/>
                    <w:rPr>
                      <w:strike w:val="0"/>
                      <w:dstrike w:val="0"/>
                      <w:color w:val="auto"/>
                      <w:szCs w:val="21"/>
                      <w:highlight w:val="none"/>
                    </w:rPr>
                  </w:pPr>
                  <w:r>
                    <w:rPr>
                      <w:strike w:val="0"/>
                      <w:dstrike w:val="0"/>
                      <w:color w:val="auto"/>
                      <w:szCs w:val="21"/>
                      <w:highlight w:val="none"/>
                    </w:rPr>
                    <w:t>0.3</w:t>
                  </w:r>
                </w:p>
              </w:tc>
            </w:tr>
            <w:tr w14:paraId="0A6D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681A1CBA">
                  <w:pPr>
                    <w:widowControl/>
                    <w:jc w:val="center"/>
                    <w:rPr>
                      <w:strike w:val="0"/>
                      <w:dstrike w:val="0"/>
                      <w:color w:val="auto"/>
                      <w:kern w:val="0"/>
                      <w:szCs w:val="21"/>
                      <w:highlight w:val="none"/>
                    </w:rPr>
                  </w:pPr>
                  <w:r>
                    <w:rPr>
                      <w:strike w:val="0"/>
                      <w:dstrike w:val="0"/>
                      <w:color w:val="auto"/>
                      <w:kern w:val="0"/>
                      <w:szCs w:val="21"/>
                      <w:highlight w:val="none"/>
                    </w:rPr>
                    <w:t>空压机保养</w:t>
                  </w:r>
                </w:p>
              </w:tc>
              <w:tc>
                <w:tcPr>
                  <w:tcW w:w="1411" w:type="dxa"/>
                  <w:shd w:val="clear" w:color="auto" w:fill="auto"/>
                  <w:vAlign w:val="center"/>
                </w:tcPr>
                <w:p w14:paraId="68206C01">
                  <w:pPr>
                    <w:widowControl/>
                    <w:jc w:val="center"/>
                    <w:rPr>
                      <w:strike w:val="0"/>
                      <w:dstrike w:val="0"/>
                      <w:color w:val="auto"/>
                      <w:kern w:val="0"/>
                      <w:szCs w:val="21"/>
                      <w:highlight w:val="none"/>
                    </w:rPr>
                  </w:pPr>
                  <w:r>
                    <w:rPr>
                      <w:strike w:val="0"/>
                      <w:dstrike w:val="0"/>
                      <w:color w:val="auto"/>
                      <w:kern w:val="0"/>
                      <w:szCs w:val="21"/>
                      <w:highlight w:val="none"/>
                    </w:rPr>
                    <w:t>废空压机油</w:t>
                  </w:r>
                </w:p>
              </w:tc>
              <w:tc>
                <w:tcPr>
                  <w:tcW w:w="1336" w:type="dxa"/>
                  <w:vAlign w:val="center"/>
                </w:tcPr>
                <w:p w14:paraId="547E0E94">
                  <w:pPr>
                    <w:adjustRightInd w:val="0"/>
                    <w:snapToGrid w:val="0"/>
                    <w:jc w:val="center"/>
                    <w:rPr>
                      <w:bCs/>
                      <w:strike w:val="0"/>
                      <w:dstrike w:val="0"/>
                      <w:color w:val="auto"/>
                      <w:spacing w:val="-10"/>
                      <w:szCs w:val="21"/>
                      <w:highlight w:val="none"/>
                    </w:rPr>
                  </w:pPr>
                  <w:r>
                    <w:rPr>
                      <w:strike w:val="0"/>
                      <w:dstrike w:val="0"/>
                      <w:color w:val="auto"/>
                      <w:szCs w:val="21"/>
                      <w:highlight w:val="none"/>
                    </w:rPr>
                    <w:t>HW08，900-249-08</w:t>
                  </w:r>
                </w:p>
              </w:tc>
              <w:tc>
                <w:tcPr>
                  <w:tcW w:w="722" w:type="dxa"/>
                  <w:vMerge w:val="continue"/>
                  <w:vAlign w:val="center"/>
                </w:tcPr>
                <w:p w14:paraId="70EF63CF">
                  <w:pPr>
                    <w:pStyle w:val="7"/>
                    <w:spacing w:line="240" w:lineRule="auto"/>
                    <w:ind w:firstLine="0"/>
                    <w:jc w:val="center"/>
                    <w:rPr>
                      <w:rFonts w:ascii="Times New Roman" w:hAnsi="Times New Roman"/>
                      <w:strike w:val="0"/>
                      <w:dstrike w:val="0"/>
                      <w:color w:val="auto"/>
                      <w:sz w:val="21"/>
                      <w:highlight w:val="none"/>
                    </w:rPr>
                  </w:pPr>
                </w:p>
              </w:tc>
              <w:tc>
                <w:tcPr>
                  <w:tcW w:w="859" w:type="dxa"/>
                  <w:vAlign w:val="center"/>
                </w:tcPr>
                <w:p w14:paraId="5F3D7EE7">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0.08</w:t>
                  </w:r>
                </w:p>
              </w:tc>
              <w:tc>
                <w:tcPr>
                  <w:tcW w:w="1558" w:type="dxa"/>
                  <w:vMerge w:val="continue"/>
                  <w:vAlign w:val="center"/>
                </w:tcPr>
                <w:p w14:paraId="4CE8B614">
                  <w:pPr>
                    <w:pStyle w:val="7"/>
                    <w:spacing w:line="240" w:lineRule="auto"/>
                    <w:ind w:firstLine="0"/>
                    <w:jc w:val="center"/>
                    <w:rPr>
                      <w:rFonts w:ascii="Times New Roman" w:hAnsi="Times New Roman"/>
                      <w:strike w:val="0"/>
                      <w:dstrike w:val="0"/>
                      <w:color w:val="auto"/>
                      <w:sz w:val="21"/>
                      <w:highlight w:val="none"/>
                    </w:rPr>
                  </w:pPr>
                </w:p>
              </w:tc>
              <w:tc>
                <w:tcPr>
                  <w:tcW w:w="802" w:type="dxa"/>
                  <w:shd w:val="clear" w:color="auto" w:fill="auto"/>
                  <w:vAlign w:val="center"/>
                </w:tcPr>
                <w:p w14:paraId="1FD9993D">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0.08</w:t>
                  </w:r>
                </w:p>
              </w:tc>
            </w:tr>
            <w:tr w14:paraId="7AAA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421DE12E">
                  <w:pPr>
                    <w:widowControl/>
                    <w:jc w:val="center"/>
                    <w:rPr>
                      <w:strike w:val="0"/>
                      <w:dstrike w:val="0"/>
                      <w:color w:val="auto"/>
                      <w:kern w:val="0"/>
                      <w:szCs w:val="21"/>
                      <w:highlight w:val="none"/>
                    </w:rPr>
                  </w:pPr>
                  <w:r>
                    <w:rPr>
                      <w:rFonts w:hint="eastAsia"/>
                      <w:strike w:val="0"/>
                      <w:dstrike w:val="0"/>
                      <w:color w:val="auto"/>
                      <w:kern w:val="0"/>
                      <w:szCs w:val="21"/>
                      <w:highlight w:val="none"/>
                    </w:rPr>
                    <w:t>设备维修保养</w:t>
                  </w:r>
                </w:p>
              </w:tc>
              <w:tc>
                <w:tcPr>
                  <w:tcW w:w="1411" w:type="dxa"/>
                  <w:shd w:val="clear" w:color="auto" w:fill="auto"/>
                  <w:vAlign w:val="center"/>
                </w:tcPr>
                <w:p w14:paraId="5CB1806A">
                  <w:pPr>
                    <w:widowControl/>
                    <w:jc w:val="center"/>
                    <w:rPr>
                      <w:strike w:val="0"/>
                      <w:dstrike w:val="0"/>
                      <w:color w:val="auto"/>
                      <w:kern w:val="0"/>
                      <w:szCs w:val="21"/>
                      <w:highlight w:val="none"/>
                    </w:rPr>
                  </w:pPr>
                  <w:r>
                    <w:rPr>
                      <w:rFonts w:hint="eastAsia"/>
                      <w:strike w:val="0"/>
                      <w:dstrike w:val="0"/>
                      <w:color w:val="auto"/>
                      <w:kern w:val="0"/>
                      <w:szCs w:val="21"/>
                      <w:highlight w:val="none"/>
                    </w:rPr>
                    <w:t>废油桶</w:t>
                  </w:r>
                </w:p>
              </w:tc>
              <w:tc>
                <w:tcPr>
                  <w:tcW w:w="1336" w:type="dxa"/>
                  <w:vAlign w:val="center"/>
                </w:tcPr>
                <w:p w14:paraId="55024148">
                  <w:pPr>
                    <w:adjustRightInd w:val="0"/>
                    <w:snapToGrid w:val="0"/>
                    <w:jc w:val="center"/>
                    <w:rPr>
                      <w:strike w:val="0"/>
                      <w:dstrike w:val="0"/>
                      <w:color w:val="auto"/>
                      <w:szCs w:val="21"/>
                      <w:highlight w:val="none"/>
                    </w:rPr>
                  </w:pPr>
                  <w:r>
                    <w:rPr>
                      <w:rFonts w:hint="eastAsia"/>
                      <w:bCs/>
                      <w:strike w:val="0"/>
                      <w:dstrike w:val="0"/>
                      <w:color w:val="auto"/>
                      <w:szCs w:val="21"/>
                      <w:highlight w:val="none"/>
                    </w:rPr>
                    <w:t>H</w:t>
                  </w:r>
                  <w:r>
                    <w:rPr>
                      <w:bCs/>
                      <w:strike w:val="0"/>
                      <w:dstrike w:val="0"/>
                      <w:color w:val="auto"/>
                      <w:szCs w:val="21"/>
                      <w:highlight w:val="none"/>
                    </w:rPr>
                    <w:t>W08</w:t>
                  </w:r>
                  <w:r>
                    <w:rPr>
                      <w:rFonts w:hint="eastAsia"/>
                      <w:bCs/>
                      <w:strike w:val="0"/>
                      <w:dstrike w:val="0"/>
                      <w:color w:val="auto"/>
                      <w:szCs w:val="21"/>
                      <w:highlight w:val="none"/>
                    </w:rPr>
                    <w:t>，</w:t>
                  </w:r>
                  <w:r>
                    <w:rPr>
                      <w:bCs/>
                      <w:strike w:val="0"/>
                      <w:dstrike w:val="0"/>
                      <w:color w:val="auto"/>
                      <w:szCs w:val="21"/>
                      <w:highlight w:val="none"/>
                    </w:rPr>
                    <w:t>900-249-08</w:t>
                  </w:r>
                </w:p>
              </w:tc>
              <w:tc>
                <w:tcPr>
                  <w:tcW w:w="722" w:type="dxa"/>
                  <w:vMerge w:val="continue"/>
                  <w:vAlign w:val="center"/>
                </w:tcPr>
                <w:p w14:paraId="2336ACB2">
                  <w:pPr>
                    <w:pStyle w:val="7"/>
                    <w:spacing w:line="240" w:lineRule="auto"/>
                    <w:ind w:firstLine="0"/>
                    <w:jc w:val="center"/>
                    <w:rPr>
                      <w:rFonts w:ascii="Times New Roman" w:hAnsi="Times New Roman"/>
                      <w:strike w:val="0"/>
                      <w:dstrike w:val="0"/>
                      <w:color w:val="auto"/>
                      <w:sz w:val="21"/>
                      <w:highlight w:val="none"/>
                    </w:rPr>
                  </w:pPr>
                </w:p>
              </w:tc>
              <w:tc>
                <w:tcPr>
                  <w:tcW w:w="859" w:type="dxa"/>
                  <w:vAlign w:val="center"/>
                </w:tcPr>
                <w:p w14:paraId="45DBE951">
                  <w:pPr>
                    <w:adjustRightInd w:val="0"/>
                    <w:snapToGrid w:val="0"/>
                    <w:jc w:val="center"/>
                    <w:rPr>
                      <w:bCs/>
                      <w:strike w:val="0"/>
                      <w:dstrike w:val="0"/>
                      <w:color w:val="auto"/>
                      <w:spacing w:val="-10"/>
                      <w:szCs w:val="21"/>
                      <w:highlight w:val="none"/>
                    </w:rPr>
                  </w:pPr>
                  <w:r>
                    <w:rPr>
                      <w:rFonts w:hint="eastAsia"/>
                      <w:bCs/>
                      <w:strike w:val="0"/>
                      <w:dstrike w:val="0"/>
                      <w:color w:val="auto"/>
                      <w:spacing w:val="-10"/>
                      <w:szCs w:val="21"/>
                      <w:highlight w:val="none"/>
                    </w:rPr>
                    <w:t>0.002</w:t>
                  </w:r>
                </w:p>
              </w:tc>
              <w:tc>
                <w:tcPr>
                  <w:tcW w:w="1558" w:type="dxa"/>
                  <w:vMerge w:val="continue"/>
                  <w:vAlign w:val="center"/>
                </w:tcPr>
                <w:p w14:paraId="7AB194E8">
                  <w:pPr>
                    <w:pStyle w:val="7"/>
                    <w:spacing w:line="240" w:lineRule="auto"/>
                    <w:ind w:firstLine="0"/>
                    <w:jc w:val="center"/>
                    <w:rPr>
                      <w:rFonts w:ascii="Times New Roman" w:hAnsi="Times New Roman"/>
                      <w:strike w:val="0"/>
                      <w:dstrike w:val="0"/>
                      <w:color w:val="auto"/>
                      <w:sz w:val="21"/>
                      <w:highlight w:val="none"/>
                    </w:rPr>
                  </w:pPr>
                </w:p>
              </w:tc>
              <w:tc>
                <w:tcPr>
                  <w:tcW w:w="802" w:type="dxa"/>
                  <w:shd w:val="clear" w:color="auto" w:fill="auto"/>
                  <w:vAlign w:val="center"/>
                </w:tcPr>
                <w:p w14:paraId="742DF649">
                  <w:pPr>
                    <w:adjustRightInd w:val="0"/>
                    <w:snapToGrid w:val="0"/>
                    <w:jc w:val="center"/>
                    <w:rPr>
                      <w:bCs/>
                      <w:strike w:val="0"/>
                      <w:dstrike w:val="0"/>
                      <w:color w:val="auto"/>
                      <w:spacing w:val="-10"/>
                      <w:szCs w:val="21"/>
                      <w:highlight w:val="none"/>
                    </w:rPr>
                  </w:pPr>
                  <w:r>
                    <w:rPr>
                      <w:rFonts w:hint="eastAsia"/>
                      <w:bCs/>
                      <w:strike w:val="0"/>
                      <w:dstrike w:val="0"/>
                      <w:color w:val="auto"/>
                      <w:spacing w:val="-10"/>
                      <w:szCs w:val="21"/>
                      <w:highlight w:val="none"/>
                    </w:rPr>
                    <w:t>0.002</w:t>
                  </w:r>
                </w:p>
              </w:tc>
            </w:tr>
            <w:tr w14:paraId="4AC4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40E0F6D0">
                  <w:pPr>
                    <w:widowControl/>
                    <w:jc w:val="center"/>
                    <w:rPr>
                      <w:strike w:val="0"/>
                      <w:dstrike w:val="0"/>
                      <w:color w:val="auto"/>
                      <w:kern w:val="0"/>
                      <w:szCs w:val="21"/>
                      <w:highlight w:val="none"/>
                    </w:rPr>
                  </w:pPr>
                  <w:r>
                    <w:rPr>
                      <w:strike w:val="0"/>
                      <w:dstrike w:val="0"/>
                      <w:color w:val="auto"/>
                      <w:kern w:val="0"/>
                      <w:szCs w:val="21"/>
                      <w:highlight w:val="none"/>
                    </w:rPr>
                    <w:t>废水处理</w:t>
                  </w:r>
                </w:p>
              </w:tc>
              <w:tc>
                <w:tcPr>
                  <w:tcW w:w="1411" w:type="dxa"/>
                  <w:shd w:val="clear" w:color="auto" w:fill="auto"/>
                  <w:vAlign w:val="center"/>
                </w:tcPr>
                <w:p w14:paraId="6CAF3AD3">
                  <w:pPr>
                    <w:widowControl/>
                    <w:jc w:val="center"/>
                    <w:rPr>
                      <w:strike w:val="0"/>
                      <w:dstrike w:val="0"/>
                      <w:color w:val="auto"/>
                      <w:kern w:val="0"/>
                      <w:szCs w:val="21"/>
                      <w:highlight w:val="none"/>
                    </w:rPr>
                  </w:pPr>
                  <w:r>
                    <w:rPr>
                      <w:strike w:val="0"/>
                      <w:dstrike w:val="0"/>
                      <w:color w:val="auto"/>
                      <w:kern w:val="0"/>
                      <w:szCs w:val="21"/>
                      <w:highlight w:val="none"/>
                    </w:rPr>
                    <w:t>含油污泥</w:t>
                  </w:r>
                </w:p>
              </w:tc>
              <w:tc>
                <w:tcPr>
                  <w:tcW w:w="1336" w:type="dxa"/>
                  <w:vAlign w:val="center"/>
                </w:tcPr>
                <w:p w14:paraId="7A5A7866">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HW08，900-210-08</w:t>
                  </w:r>
                </w:p>
              </w:tc>
              <w:tc>
                <w:tcPr>
                  <w:tcW w:w="722" w:type="dxa"/>
                  <w:vMerge w:val="continue"/>
                  <w:vAlign w:val="center"/>
                </w:tcPr>
                <w:p w14:paraId="45A1F61F">
                  <w:pPr>
                    <w:pStyle w:val="7"/>
                    <w:spacing w:line="240" w:lineRule="auto"/>
                    <w:ind w:firstLine="0"/>
                    <w:jc w:val="center"/>
                    <w:rPr>
                      <w:rFonts w:ascii="Times New Roman" w:hAnsi="Times New Roman"/>
                      <w:strike w:val="0"/>
                      <w:dstrike w:val="0"/>
                      <w:color w:val="auto"/>
                      <w:sz w:val="21"/>
                      <w:highlight w:val="none"/>
                    </w:rPr>
                  </w:pPr>
                </w:p>
              </w:tc>
              <w:tc>
                <w:tcPr>
                  <w:tcW w:w="859" w:type="dxa"/>
                  <w:vAlign w:val="center"/>
                </w:tcPr>
                <w:p w14:paraId="4B5C8BB9">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0.05</w:t>
                  </w:r>
                </w:p>
              </w:tc>
              <w:tc>
                <w:tcPr>
                  <w:tcW w:w="1558" w:type="dxa"/>
                  <w:vMerge w:val="continue"/>
                  <w:vAlign w:val="center"/>
                </w:tcPr>
                <w:p w14:paraId="4BC07437">
                  <w:pPr>
                    <w:pStyle w:val="7"/>
                    <w:spacing w:line="240" w:lineRule="auto"/>
                    <w:ind w:firstLine="0"/>
                    <w:jc w:val="center"/>
                    <w:rPr>
                      <w:rFonts w:ascii="Times New Roman" w:hAnsi="Times New Roman"/>
                      <w:strike w:val="0"/>
                      <w:dstrike w:val="0"/>
                      <w:color w:val="auto"/>
                      <w:sz w:val="21"/>
                      <w:highlight w:val="none"/>
                    </w:rPr>
                  </w:pPr>
                </w:p>
              </w:tc>
              <w:tc>
                <w:tcPr>
                  <w:tcW w:w="802" w:type="dxa"/>
                  <w:shd w:val="clear" w:color="auto" w:fill="auto"/>
                  <w:vAlign w:val="center"/>
                </w:tcPr>
                <w:p w14:paraId="41BD490A">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0.05</w:t>
                  </w:r>
                </w:p>
              </w:tc>
            </w:tr>
            <w:tr w14:paraId="3CDA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3F10E673">
                  <w:pPr>
                    <w:widowControl/>
                    <w:jc w:val="center"/>
                    <w:rPr>
                      <w:strike w:val="0"/>
                      <w:dstrike w:val="0"/>
                      <w:color w:val="auto"/>
                      <w:kern w:val="0"/>
                      <w:szCs w:val="21"/>
                      <w:highlight w:val="none"/>
                    </w:rPr>
                  </w:pPr>
                  <w:r>
                    <w:rPr>
                      <w:strike w:val="0"/>
                      <w:dstrike w:val="0"/>
                      <w:color w:val="auto"/>
                      <w:kern w:val="0"/>
                      <w:szCs w:val="21"/>
                      <w:highlight w:val="none"/>
                    </w:rPr>
                    <w:t>加油机维修保养</w:t>
                  </w:r>
                </w:p>
              </w:tc>
              <w:tc>
                <w:tcPr>
                  <w:tcW w:w="1411" w:type="dxa"/>
                  <w:shd w:val="clear" w:color="auto" w:fill="auto"/>
                  <w:vAlign w:val="center"/>
                </w:tcPr>
                <w:p w14:paraId="3460B41C">
                  <w:pPr>
                    <w:widowControl/>
                    <w:jc w:val="center"/>
                    <w:rPr>
                      <w:strike w:val="0"/>
                      <w:dstrike w:val="0"/>
                      <w:color w:val="auto"/>
                      <w:kern w:val="0"/>
                      <w:szCs w:val="21"/>
                      <w:highlight w:val="none"/>
                    </w:rPr>
                  </w:pPr>
                  <w:r>
                    <w:rPr>
                      <w:strike w:val="0"/>
                      <w:dstrike w:val="0"/>
                      <w:color w:val="auto"/>
                      <w:kern w:val="0"/>
                      <w:szCs w:val="21"/>
                      <w:highlight w:val="none"/>
                    </w:rPr>
                    <w:t>含油棉纱手套</w:t>
                  </w:r>
                </w:p>
              </w:tc>
              <w:tc>
                <w:tcPr>
                  <w:tcW w:w="1336" w:type="dxa"/>
                  <w:vAlign w:val="center"/>
                </w:tcPr>
                <w:p w14:paraId="638E245F">
                  <w:pPr>
                    <w:adjustRightInd w:val="0"/>
                    <w:snapToGrid w:val="0"/>
                    <w:jc w:val="center"/>
                    <w:rPr>
                      <w:strike w:val="0"/>
                      <w:dstrike w:val="0"/>
                      <w:color w:val="auto"/>
                      <w:kern w:val="0"/>
                      <w:szCs w:val="21"/>
                      <w:highlight w:val="none"/>
                    </w:rPr>
                  </w:pPr>
                  <w:r>
                    <w:rPr>
                      <w:strike w:val="0"/>
                      <w:dstrike w:val="0"/>
                      <w:color w:val="auto"/>
                      <w:szCs w:val="21"/>
                      <w:highlight w:val="none"/>
                    </w:rPr>
                    <w:t>HW49，900-041-49</w:t>
                  </w:r>
                </w:p>
              </w:tc>
              <w:tc>
                <w:tcPr>
                  <w:tcW w:w="722" w:type="dxa"/>
                  <w:vMerge w:val="continue"/>
                  <w:vAlign w:val="center"/>
                </w:tcPr>
                <w:p w14:paraId="2287E5F9">
                  <w:pPr>
                    <w:adjustRightInd w:val="0"/>
                    <w:snapToGrid w:val="0"/>
                    <w:jc w:val="center"/>
                    <w:rPr>
                      <w:bCs/>
                      <w:strike w:val="0"/>
                      <w:dstrike w:val="0"/>
                      <w:color w:val="auto"/>
                      <w:spacing w:val="-10"/>
                      <w:szCs w:val="21"/>
                      <w:highlight w:val="none"/>
                    </w:rPr>
                  </w:pPr>
                </w:p>
              </w:tc>
              <w:tc>
                <w:tcPr>
                  <w:tcW w:w="859" w:type="dxa"/>
                  <w:vAlign w:val="center"/>
                </w:tcPr>
                <w:p w14:paraId="64E258B1">
                  <w:pPr>
                    <w:adjustRightInd w:val="0"/>
                    <w:snapToGrid w:val="0"/>
                    <w:jc w:val="center"/>
                    <w:rPr>
                      <w:strike w:val="0"/>
                      <w:dstrike w:val="0"/>
                      <w:color w:val="auto"/>
                      <w:szCs w:val="21"/>
                      <w:highlight w:val="none"/>
                    </w:rPr>
                  </w:pPr>
                  <w:r>
                    <w:rPr>
                      <w:strike w:val="0"/>
                      <w:dstrike w:val="0"/>
                      <w:color w:val="auto"/>
                      <w:szCs w:val="21"/>
                      <w:highlight w:val="none"/>
                    </w:rPr>
                    <w:t>0.02</w:t>
                  </w:r>
                </w:p>
              </w:tc>
              <w:tc>
                <w:tcPr>
                  <w:tcW w:w="1558" w:type="dxa"/>
                  <w:vMerge w:val="continue"/>
                  <w:vAlign w:val="center"/>
                </w:tcPr>
                <w:p w14:paraId="4823C398">
                  <w:pPr>
                    <w:pStyle w:val="7"/>
                    <w:spacing w:line="240" w:lineRule="auto"/>
                    <w:ind w:firstLine="0"/>
                    <w:jc w:val="center"/>
                    <w:rPr>
                      <w:rFonts w:ascii="Times New Roman" w:hAnsi="Times New Roman"/>
                      <w:strike w:val="0"/>
                      <w:dstrike w:val="0"/>
                      <w:color w:val="auto"/>
                      <w:sz w:val="21"/>
                      <w:highlight w:val="none"/>
                    </w:rPr>
                  </w:pPr>
                </w:p>
              </w:tc>
              <w:tc>
                <w:tcPr>
                  <w:tcW w:w="802" w:type="dxa"/>
                  <w:shd w:val="clear" w:color="auto" w:fill="auto"/>
                  <w:vAlign w:val="center"/>
                </w:tcPr>
                <w:p w14:paraId="6150465D">
                  <w:pPr>
                    <w:adjustRightInd w:val="0"/>
                    <w:snapToGrid w:val="0"/>
                    <w:jc w:val="center"/>
                    <w:rPr>
                      <w:strike w:val="0"/>
                      <w:dstrike w:val="0"/>
                      <w:color w:val="auto"/>
                      <w:szCs w:val="21"/>
                      <w:highlight w:val="none"/>
                    </w:rPr>
                  </w:pPr>
                  <w:r>
                    <w:rPr>
                      <w:strike w:val="0"/>
                      <w:dstrike w:val="0"/>
                      <w:color w:val="auto"/>
                      <w:szCs w:val="21"/>
                      <w:highlight w:val="none"/>
                    </w:rPr>
                    <w:t>0.02</w:t>
                  </w:r>
                </w:p>
              </w:tc>
            </w:tr>
            <w:tr w14:paraId="01B8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9" w:type="dxa"/>
                  <w:shd w:val="clear" w:color="auto" w:fill="auto"/>
                  <w:vAlign w:val="center"/>
                </w:tcPr>
                <w:p w14:paraId="4E7F11DC">
                  <w:pPr>
                    <w:widowControl/>
                    <w:jc w:val="center"/>
                    <w:rPr>
                      <w:strike w:val="0"/>
                      <w:dstrike w:val="0"/>
                      <w:color w:val="auto"/>
                      <w:kern w:val="0"/>
                      <w:szCs w:val="21"/>
                      <w:highlight w:val="none"/>
                    </w:rPr>
                  </w:pPr>
                  <w:r>
                    <w:rPr>
                      <w:strike w:val="0"/>
                      <w:dstrike w:val="0"/>
                      <w:color w:val="auto"/>
                      <w:kern w:val="0"/>
                      <w:szCs w:val="21"/>
                      <w:highlight w:val="none"/>
                    </w:rPr>
                    <w:t>职工生活</w:t>
                  </w:r>
                </w:p>
              </w:tc>
              <w:tc>
                <w:tcPr>
                  <w:tcW w:w="1411" w:type="dxa"/>
                  <w:shd w:val="clear" w:color="auto" w:fill="auto"/>
                  <w:vAlign w:val="center"/>
                </w:tcPr>
                <w:p w14:paraId="05CABB93">
                  <w:pPr>
                    <w:widowControl/>
                    <w:jc w:val="center"/>
                    <w:rPr>
                      <w:strike w:val="0"/>
                      <w:dstrike w:val="0"/>
                      <w:color w:val="auto"/>
                      <w:kern w:val="0"/>
                      <w:szCs w:val="21"/>
                      <w:highlight w:val="none"/>
                    </w:rPr>
                  </w:pPr>
                  <w:r>
                    <w:rPr>
                      <w:strike w:val="0"/>
                      <w:dstrike w:val="0"/>
                      <w:color w:val="auto"/>
                      <w:kern w:val="0"/>
                      <w:szCs w:val="21"/>
                      <w:highlight w:val="none"/>
                    </w:rPr>
                    <w:t>生活垃圾</w:t>
                  </w:r>
                </w:p>
              </w:tc>
              <w:tc>
                <w:tcPr>
                  <w:tcW w:w="1336" w:type="dxa"/>
                  <w:vAlign w:val="center"/>
                </w:tcPr>
                <w:p w14:paraId="3B9CBC5C">
                  <w:pPr>
                    <w:adjustRightInd w:val="0"/>
                    <w:snapToGrid w:val="0"/>
                    <w:jc w:val="center"/>
                    <w:rPr>
                      <w:strike w:val="0"/>
                      <w:dstrike w:val="0"/>
                      <w:color w:val="auto"/>
                      <w:kern w:val="0"/>
                      <w:szCs w:val="21"/>
                      <w:highlight w:val="none"/>
                    </w:rPr>
                  </w:pPr>
                  <w:r>
                    <w:rPr>
                      <w:strike w:val="0"/>
                      <w:dstrike w:val="0"/>
                      <w:color w:val="auto"/>
                      <w:kern w:val="0"/>
                      <w:szCs w:val="21"/>
                      <w:highlight w:val="none"/>
                    </w:rPr>
                    <w:t>/</w:t>
                  </w:r>
                </w:p>
              </w:tc>
              <w:tc>
                <w:tcPr>
                  <w:tcW w:w="722" w:type="dxa"/>
                  <w:vAlign w:val="center"/>
                </w:tcPr>
                <w:p w14:paraId="4C69A29B">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生活垃圾</w:t>
                  </w:r>
                </w:p>
              </w:tc>
              <w:tc>
                <w:tcPr>
                  <w:tcW w:w="859" w:type="dxa"/>
                  <w:vAlign w:val="center"/>
                </w:tcPr>
                <w:p w14:paraId="16D3FD2F">
                  <w:pPr>
                    <w:adjustRightInd w:val="0"/>
                    <w:snapToGrid w:val="0"/>
                    <w:jc w:val="center"/>
                    <w:rPr>
                      <w:strike w:val="0"/>
                      <w:dstrike w:val="0"/>
                      <w:color w:val="auto"/>
                      <w:szCs w:val="21"/>
                      <w:highlight w:val="none"/>
                    </w:rPr>
                  </w:pPr>
                  <w:r>
                    <w:rPr>
                      <w:strike w:val="0"/>
                      <w:dstrike w:val="0"/>
                      <w:color w:val="auto"/>
                      <w:szCs w:val="21"/>
                      <w:highlight w:val="none"/>
                    </w:rPr>
                    <w:t>4.38</w:t>
                  </w:r>
                </w:p>
              </w:tc>
              <w:tc>
                <w:tcPr>
                  <w:tcW w:w="1558" w:type="dxa"/>
                  <w:vAlign w:val="center"/>
                </w:tcPr>
                <w:p w14:paraId="0514A142">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市政环卫部门统一处理</w:t>
                  </w:r>
                </w:p>
              </w:tc>
              <w:tc>
                <w:tcPr>
                  <w:tcW w:w="802" w:type="dxa"/>
                  <w:shd w:val="clear" w:color="auto" w:fill="auto"/>
                  <w:vAlign w:val="center"/>
                </w:tcPr>
                <w:p w14:paraId="60BFF5C0">
                  <w:pPr>
                    <w:adjustRightInd w:val="0"/>
                    <w:snapToGrid w:val="0"/>
                    <w:jc w:val="center"/>
                    <w:rPr>
                      <w:strike w:val="0"/>
                      <w:dstrike w:val="0"/>
                      <w:color w:val="auto"/>
                      <w:szCs w:val="21"/>
                      <w:highlight w:val="none"/>
                    </w:rPr>
                  </w:pPr>
                  <w:r>
                    <w:rPr>
                      <w:strike w:val="0"/>
                      <w:dstrike w:val="0"/>
                      <w:color w:val="auto"/>
                      <w:szCs w:val="21"/>
                      <w:highlight w:val="none"/>
                    </w:rPr>
                    <w:t>4.38</w:t>
                  </w:r>
                </w:p>
              </w:tc>
            </w:tr>
          </w:tbl>
          <w:p w14:paraId="7018E438">
            <w:pPr>
              <w:adjustRightInd w:val="0"/>
              <w:snapToGrid w:val="0"/>
              <w:spacing w:line="360" w:lineRule="auto"/>
              <w:ind w:firstLine="440" w:firstLineChars="200"/>
              <w:rPr>
                <w:bCs/>
                <w:strike w:val="0"/>
                <w:dstrike w:val="0"/>
                <w:color w:val="auto"/>
                <w:spacing w:val="-10"/>
                <w:sz w:val="24"/>
                <w:highlight w:val="none"/>
              </w:rPr>
            </w:pPr>
            <w:r>
              <w:rPr>
                <w:bCs/>
                <w:strike w:val="0"/>
                <w:dstrike w:val="0"/>
                <w:color w:val="auto"/>
                <w:spacing w:val="-10"/>
                <w:sz w:val="24"/>
                <w:highlight w:val="none"/>
              </w:rPr>
              <w:t>本项目危险废物详情见表4.2-2</w:t>
            </w:r>
            <w:r>
              <w:rPr>
                <w:rFonts w:hint="eastAsia"/>
                <w:bCs/>
                <w:strike w:val="0"/>
                <w:dstrike w:val="0"/>
                <w:color w:val="auto"/>
                <w:spacing w:val="-10"/>
                <w:sz w:val="24"/>
                <w:highlight w:val="none"/>
                <w:lang w:val="en-US" w:eastAsia="zh-CN"/>
              </w:rPr>
              <w:t>0</w:t>
            </w:r>
            <w:r>
              <w:rPr>
                <w:bCs/>
                <w:strike w:val="0"/>
                <w:dstrike w:val="0"/>
                <w:color w:val="auto"/>
                <w:spacing w:val="-10"/>
                <w:sz w:val="24"/>
                <w:highlight w:val="none"/>
              </w:rPr>
              <w:t>。</w:t>
            </w:r>
          </w:p>
          <w:p w14:paraId="0C1F25F5">
            <w:pPr>
              <w:contextualSpacing/>
              <w:jc w:val="center"/>
              <w:rPr>
                <w:b/>
                <w:bCs/>
                <w:strike w:val="0"/>
                <w:dstrike w:val="0"/>
                <w:color w:val="auto"/>
                <w:sz w:val="24"/>
                <w:highlight w:val="none"/>
              </w:rPr>
            </w:pPr>
            <w:r>
              <w:rPr>
                <w:b/>
                <w:bCs/>
                <w:strike w:val="0"/>
                <w:dstrike w:val="0"/>
                <w:color w:val="auto"/>
                <w:sz w:val="24"/>
                <w:highlight w:val="none"/>
              </w:rPr>
              <w:t>表4.2-2</w:t>
            </w:r>
            <w:r>
              <w:rPr>
                <w:rFonts w:hint="eastAsia"/>
                <w:b/>
                <w:bCs/>
                <w:strike w:val="0"/>
                <w:dstrike w:val="0"/>
                <w:color w:val="auto"/>
                <w:sz w:val="24"/>
                <w:highlight w:val="none"/>
                <w:lang w:val="en-US" w:eastAsia="zh-CN"/>
              </w:rPr>
              <w:t>0</w:t>
            </w:r>
            <w:r>
              <w:rPr>
                <w:b/>
                <w:bCs/>
                <w:strike w:val="0"/>
                <w:dstrike w:val="0"/>
                <w:color w:val="auto"/>
                <w:sz w:val="24"/>
                <w:highlight w:val="none"/>
              </w:rPr>
              <w:t xml:space="preserve">  本项目危险废物统计表</w:t>
            </w:r>
          </w:p>
          <w:tbl>
            <w:tblPr>
              <w:tblStyle w:val="22"/>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85"/>
              <w:gridCol w:w="742"/>
              <w:gridCol w:w="738"/>
              <w:gridCol w:w="625"/>
              <w:gridCol w:w="950"/>
              <w:gridCol w:w="712"/>
              <w:gridCol w:w="715"/>
              <w:gridCol w:w="831"/>
              <w:gridCol w:w="611"/>
              <w:gridCol w:w="450"/>
              <w:gridCol w:w="671"/>
            </w:tblGrid>
            <w:tr w14:paraId="5D4A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22B45611">
                  <w:pPr>
                    <w:contextualSpacing/>
                    <w:jc w:val="center"/>
                    <w:rPr>
                      <w:b/>
                      <w:bCs/>
                      <w:strike w:val="0"/>
                      <w:dstrike w:val="0"/>
                      <w:color w:val="auto"/>
                      <w:szCs w:val="21"/>
                      <w:highlight w:val="none"/>
                    </w:rPr>
                  </w:pPr>
                  <w:r>
                    <w:rPr>
                      <w:b/>
                      <w:bCs/>
                      <w:strike w:val="0"/>
                      <w:dstrike w:val="0"/>
                      <w:color w:val="auto"/>
                      <w:szCs w:val="21"/>
                      <w:highlight w:val="none"/>
                    </w:rPr>
                    <w:t>序号</w:t>
                  </w:r>
                </w:p>
              </w:tc>
              <w:tc>
                <w:tcPr>
                  <w:tcW w:w="885" w:type="dxa"/>
                  <w:tcBorders>
                    <w:top w:val="single" w:color="auto" w:sz="4" w:space="0"/>
                    <w:left w:val="nil"/>
                    <w:bottom w:val="single" w:color="auto" w:sz="4" w:space="0"/>
                    <w:right w:val="single" w:color="auto" w:sz="4" w:space="0"/>
                  </w:tcBorders>
                  <w:vAlign w:val="center"/>
                </w:tcPr>
                <w:p w14:paraId="588F18B9">
                  <w:pPr>
                    <w:contextualSpacing/>
                    <w:jc w:val="center"/>
                    <w:rPr>
                      <w:b/>
                      <w:bCs/>
                      <w:strike w:val="0"/>
                      <w:dstrike w:val="0"/>
                      <w:color w:val="auto"/>
                      <w:szCs w:val="21"/>
                      <w:highlight w:val="none"/>
                    </w:rPr>
                  </w:pPr>
                  <w:r>
                    <w:rPr>
                      <w:b/>
                      <w:bCs/>
                      <w:strike w:val="0"/>
                      <w:dstrike w:val="0"/>
                      <w:color w:val="auto"/>
                      <w:szCs w:val="21"/>
                      <w:highlight w:val="none"/>
                    </w:rPr>
                    <w:t>危险废物名称</w:t>
                  </w:r>
                </w:p>
              </w:tc>
              <w:tc>
                <w:tcPr>
                  <w:tcW w:w="742" w:type="dxa"/>
                  <w:tcBorders>
                    <w:top w:val="single" w:color="auto" w:sz="4" w:space="0"/>
                    <w:left w:val="nil"/>
                    <w:bottom w:val="single" w:color="auto" w:sz="4" w:space="0"/>
                    <w:right w:val="single" w:color="auto" w:sz="4" w:space="0"/>
                  </w:tcBorders>
                  <w:vAlign w:val="center"/>
                </w:tcPr>
                <w:p w14:paraId="1BA45989">
                  <w:pPr>
                    <w:contextualSpacing/>
                    <w:jc w:val="center"/>
                    <w:rPr>
                      <w:b/>
                      <w:bCs/>
                      <w:strike w:val="0"/>
                      <w:dstrike w:val="0"/>
                      <w:color w:val="auto"/>
                      <w:szCs w:val="21"/>
                      <w:highlight w:val="none"/>
                    </w:rPr>
                  </w:pPr>
                  <w:r>
                    <w:rPr>
                      <w:b/>
                      <w:bCs/>
                      <w:strike w:val="0"/>
                      <w:dstrike w:val="0"/>
                      <w:color w:val="auto"/>
                      <w:szCs w:val="21"/>
                      <w:highlight w:val="none"/>
                    </w:rPr>
                    <w:t>危险废物类别</w:t>
                  </w:r>
                </w:p>
              </w:tc>
              <w:tc>
                <w:tcPr>
                  <w:tcW w:w="738" w:type="dxa"/>
                  <w:tcBorders>
                    <w:top w:val="single" w:color="auto" w:sz="4" w:space="0"/>
                    <w:left w:val="nil"/>
                    <w:bottom w:val="single" w:color="auto" w:sz="4" w:space="0"/>
                    <w:right w:val="single" w:color="auto" w:sz="4" w:space="0"/>
                  </w:tcBorders>
                  <w:vAlign w:val="center"/>
                </w:tcPr>
                <w:p w14:paraId="141B129A">
                  <w:pPr>
                    <w:contextualSpacing/>
                    <w:jc w:val="center"/>
                    <w:rPr>
                      <w:b/>
                      <w:bCs/>
                      <w:strike w:val="0"/>
                      <w:dstrike w:val="0"/>
                      <w:color w:val="auto"/>
                      <w:szCs w:val="21"/>
                      <w:highlight w:val="none"/>
                    </w:rPr>
                  </w:pPr>
                  <w:r>
                    <w:rPr>
                      <w:b/>
                      <w:bCs/>
                      <w:strike w:val="0"/>
                      <w:dstrike w:val="0"/>
                      <w:color w:val="auto"/>
                      <w:szCs w:val="21"/>
                      <w:highlight w:val="none"/>
                    </w:rPr>
                    <w:t>危险废物代码</w:t>
                  </w:r>
                </w:p>
              </w:tc>
              <w:tc>
                <w:tcPr>
                  <w:tcW w:w="625" w:type="dxa"/>
                  <w:tcBorders>
                    <w:top w:val="single" w:color="auto" w:sz="4" w:space="0"/>
                    <w:left w:val="nil"/>
                    <w:bottom w:val="single" w:color="auto" w:sz="4" w:space="0"/>
                    <w:right w:val="single" w:color="auto" w:sz="4" w:space="0"/>
                  </w:tcBorders>
                  <w:vAlign w:val="center"/>
                </w:tcPr>
                <w:p w14:paraId="64C77D87">
                  <w:pPr>
                    <w:contextualSpacing/>
                    <w:jc w:val="center"/>
                    <w:rPr>
                      <w:b/>
                      <w:bCs/>
                      <w:strike w:val="0"/>
                      <w:dstrike w:val="0"/>
                      <w:color w:val="auto"/>
                      <w:szCs w:val="21"/>
                      <w:highlight w:val="none"/>
                    </w:rPr>
                  </w:pPr>
                  <w:r>
                    <w:rPr>
                      <w:b/>
                      <w:bCs/>
                      <w:strike w:val="0"/>
                      <w:dstrike w:val="0"/>
                      <w:color w:val="auto"/>
                      <w:spacing w:val="-20"/>
                      <w:szCs w:val="21"/>
                      <w:highlight w:val="none"/>
                    </w:rPr>
                    <w:t>产生量</w:t>
                  </w:r>
                  <w:r>
                    <w:rPr>
                      <w:b/>
                      <w:bCs/>
                      <w:strike w:val="0"/>
                      <w:dstrike w:val="0"/>
                      <w:color w:val="auto"/>
                      <w:szCs w:val="21"/>
                      <w:highlight w:val="none"/>
                    </w:rPr>
                    <w:t>（t/a）</w:t>
                  </w:r>
                </w:p>
              </w:tc>
              <w:tc>
                <w:tcPr>
                  <w:tcW w:w="950" w:type="dxa"/>
                  <w:tcBorders>
                    <w:top w:val="single" w:color="auto" w:sz="4" w:space="0"/>
                    <w:left w:val="nil"/>
                    <w:bottom w:val="single" w:color="auto" w:sz="4" w:space="0"/>
                    <w:right w:val="single" w:color="auto" w:sz="4" w:space="0"/>
                  </w:tcBorders>
                  <w:vAlign w:val="center"/>
                </w:tcPr>
                <w:p w14:paraId="2BA98DB0">
                  <w:pPr>
                    <w:contextualSpacing/>
                    <w:jc w:val="center"/>
                    <w:rPr>
                      <w:b/>
                      <w:bCs/>
                      <w:strike w:val="0"/>
                      <w:dstrike w:val="0"/>
                      <w:color w:val="auto"/>
                      <w:szCs w:val="21"/>
                      <w:highlight w:val="none"/>
                    </w:rPr>
                  </w:pPr>
                  <w:r>
                    <w:rPr>
                      <w:b/>
                      <w:bCs/>
                      <w:strike w:val="0"/>
                      <w:dstrike w:val="0"/>
                      <w:color w:val="auto"/>
                      <w:szCs w:val="21"/>
                      <w:highlight w:val="none"/>
                    </w:rPr>
                    <w:t>产生段及装置</w:t>
                  </w:r>
                </w:p>
              </w:tc>
              <w:tc>
                <w:tcPr>
                  <w:tcW w:w="712" w:type="dxa"/>
                  <w:tcBorders>
                    <w:top w:val="single" w:color="auto" w:sz="4" w:space="0"/>
                    <w:left w:val="nil"/>
                    <w:bottom w:val="single" w:color="auto" w:sz="4" w:space="0"/>
                    <w:right w:val="single" w:color="auto" w:sz="4" w:space="0"/>
                  </w:tcBorders>
                  <w:vAlign w:val="center"/>
                </w:tcPr>
                <w:p w14:paraId="60185390">
                  <w:pPr>
                    <w:contextualSpacing/>
                    <w:jc w:val="center"/>
                    <w:rPr>
                      <w:b/>
                      <w:bCs/>
                      <w:strike w:val="0"/>
                      <w:dstrike w:val="0"/>
                      <w:color w:val="auto"/>
                      <w:szCs w:val="21"/>
                      <w:highlight w:val="none"/>
                    </w:rPr>
                  </w:pPr>
                  <w:r>
                    <w:rPr>
                      <w:b/>
                      <w:bCs/>
                      <w:strike w:val="0"/>
                      <w:dstrike w:val="0"/>
                      <w:color w:val="auto"/>
                      <w:szCs w:val="21"/>
                      <w:highlight w:val="none"/>
                    </w:rPr>
                    <w:t>形态</w:t>
                  </w:r>
                </w:p>
              </w:tc>
              <w:tc>
                <w:tcPr>
                  <w:tcW w:w="715" w:type="dxa"/>
                  <w:tcBorders>
                    <w:top w:val="single" w:color="auto" w:sz="4" w:space="0"/>
                    <w:left w:val="nil"/>
                    <w:bottom w:val="single" w:color="auto" w:sz="4" w:space="0"/>
                    <w:right w:val="single" w:color="auto" w:sz="4" w:space="0"/>
                  </w:tcBorders>
                  <w:vAlign w:val="center"/>
                </w:tcPr>
                <w:p w14:paraId="5B30476C">
                  <w:pPr>
                    <w:contextualSpacing/>
                    <w:jc w:val="center"/>
                    <w:rPr>
                      <w:b/>
                      <w:bCs/>
                      <w:strike w:val="0"/>
                      <w:dstrike w:val="0"/>
                      <w:color w:val="auto"/>
                      <w:szCs w:val="21"/>
                      <w:highlight w:val="none"/>
                    </w:rPr>
                  </w:pPr>
                  <w:r>
                    <w:rPr>
                      <w:b/>
                      <w:bCs/>
                      <w:strike w:val="0"/>
                      <w:dstrike w:val="0"/>
                      <w:color w:val="auto"/>
                      <w:szCs w:val="21"/>
                      <w:highlight w:val="none"/>
                    </w:rPr>
                    <w:t>主要成分</w:t>
                  </w:r>
                </w:p>
              </w:tc>
              <w:tc>
                <w:tcPr>
                  <w:tcW w:w="831" w:type="dxa"/>
                  <w:tcBorders>
                    <w:top w:val="single" w:color="auto" w:sz="4" w:space="0"/>
                    <w:left w:val="nil"/>
                    <w:bottom w:val="single" w:color="auto" w:sz="4" w:space="0"/>
                    <w:right w:val="single" w:color="auto" w:sz="4" w:space="0"/>
                  </w:tcBorders>
                  <w:vAlign w:val="center"/>
                </w:tcPr>
                <w:p w14:paraId="3F911A8E">
                  <w:pPr>
                    <w:contextualSpacing/>
                    <w:jc w:val="center"/>
                    <w:rPr>
                      <w:b/>
                      <w:bCs/>
                      <w:strike w:val="0"/>
                      <w:dstrike w:val="0"/>
                      <w:color w:val="auto"/>
                      <w:szCs w:val="21"/>
                      <w:highlight w:val="none"/>
                    </w:rPr>
                  </w:pPr>
                  <w:r>
                    <w:rPr>
                      <w:b/>
                      <w:bCs/>
                      <w:strike w:val="0"/>
                      <w:dstrike w:val="0"/>
                      <w:color w:val="auto"/>
                      <w:szCs w:val="21"/>
                      <w:highlight w:val="none"/>
                    </w:rPr>
                    <w:t>有害成分</w:t>
                  </w:r>
                </w:p>
              </w:tc>
              <w:tc>
                <w:tcPr>
                  <w:tcW w:w="611" w:type="dxa"/>
                  <w:tcBorders>
                    <w:top w:val="single" w:color="auto" w:sz="4" w:space="0"/>
                    <w:left w:val="nil"/>
                    <w:bottom w:val="single" w:color="auto" w:sz="4" w:space="0"/>
                    <w:right w:val="single" w:color="auto" w:sz="4" w:space="0"/>
                  </w:tcBorders>
                  <w:vAlign w:val="center"/>
                </w:tcPr>
                <w:p w14:paraId="21E1346E">
                  <w:pPr>
                    <w:contextualSpacing/>
                    <w:jc w:val="center"/>
                    <w:rPr>
                      <w:b/>
                      <w:bCs/>
                      <w:strike w:val="0"/>
                      <w:dstrike w:val="0"/>
                      <w:color w:val="auto"/>
                      <w:szCs w:val="21"/>
                      <w:highlight w:val="none"/>
                    </w:rPr>
                  </w:pPr>
                  <w:r>
                    <w:rPr>
                      <w:b/>
                      <w:bCs/>
                      <w:strike w:val="0"/>
                      <w:dstrike w:val="0"/>
                      <w:color w:val="auto"/>
                      <w:szCs w:val="21"/>
                      <w:highlight w:val="none"/>
                    </w:rPr>
                    <w:t>产废周期</w:t>
                  </w:r>
                </w:p>
              </w:tc>
              <w:tc>
                <w:tcPr>
                  <w:tcW w:w="450" w:type="dxa"/>
                  <w:tcBorders>
                    <w:top w:val="single" w:color="auto" w:sz="4" w:space="0"/>
                    <w:left w:val="nil"/>
                    <w:bottom w:val="single" w:color="auto" w:sz="4" w:space="0"/>
                    <w:right w:val="single" w:color="auto" w:sz="4" w:space="0"/>
                  </w:tcBorders>
                  <w:vAlign w:val="center"/>
                </w:tcPr>
                <w:p w14:paraId="1A8A6C02">
                  <w:pPr>
                    <w:contextualSpacing/>
                    <w:jc w:val="center"/>
                    <w:rPr>
                      <w:b/>
                      <w:bCs/>
                      <w:strike w:val="0"/>
                      <w:dstrike w:val="0"/>
                      <w:color w:val="auto"/>
                      <w:szCs w:val="21"/>
                      <w:highlight w:val="none"/>
                    </w:rPr>
                  </w:pPr>
                  <w:r>
                    <w:rPr>
                      <w:b/>
                      <w:bCs/>
                      <w:strike w:val="0"/>
                      <w:dstrike w:val="0"/>
                      <w:color w:val="auto"/>
                      <w:szCs w:val="21"/>
                      <w:highlight w:val="none"/>
                    </w:rPr>
                    <w:t>危险特性</w:t>
                  </w:r>
                </w:p>
              </w:tc>
              <w:tc>
                <w:tcPr>
                  <w:tcW w:w="671" w:type="dxa"/>
                  <w:tcBorders>
                    <w:top w:val="single" w:color="auto" w:sz="4" w:space="0"/>
                    <w:left w:val="nil"/>
                    <w:bottom w:val="single" w:color="auto" w:sz="4" w:space="0"/>
                    <w:right w:val="single" w:color="auto" w:sz="4" w:space="0"/>
                  </w:tcBorders>
                  <w:vAlign w:val="center"/>
                </w:tcPr>
                <w:p w14:paraId="5BD3A958">
                  <w:pPr>
                    <w:contextualSpacing/>
                    <w:jc w:val="center"/>
                    <w:rPr>
                      <w:b/>
                      <w:bCs/>
                      <w:strike w:val="0"/>
                      <w:dstrike w:val="0"/>
                      <w:color w:val="auto"/>
                      <w:szCs w:val="21"/>
                      <w:highlight w:val="none"/>
                    </w:rPr>
                  </w:pPr>
                  <w:r>
                    <w:rPr>
                      <w:b/>
                      <w:bCs/>
                      <w:strike w:val="0"/>
                      <w:dstrike w:val="0"/>
                      <w:color w:val="auto"/>
                      <w:szCs w:val="21"/>
                      <w:highlight w:val="none"/>
                    </w:rPr>
                    <w:t>污染防治措施</w:t>
                  </w:r>
                </w:p>
              </w:tc>
            </w:tr>
            <w:tr w14:paraId="4BC8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0F51B93D">
                  <w:pPr>
                    <w:contextualSpacing/>
                    <w:jc w:val="center"/>
                    <w:rPr>
                      <w:strike w:val="0"/>
                      <w:dstrike w:val="0"/>
                      <w:color w:val="auto"/>
                      <w:szCs w:val="21"/>
                      <w:highlight w:val="none"/>
                    </w:rPr>
                  </w:pPr>
                  <w:r>
                    <w:rPr>
                      <w:strike w:val="0"/>
                      <w:dstrike w:val="0"/>
                      <w:color w:val="auto"/>
                      <w:szCs w:val="21"/>
                      <w:highlight w:val="none"/>
                    </w:rPr>
                    <w:t>1</w:t>
                  </w:r>
                </w:p>
              </w:tc>
              <w:tc>
                <w:tcPr>
                  <w:tcW w:w="885" w:type="dxa"/>
                  <w:tcBorders>
                    <w:top w:val="single" w:color="auto" w:sz="4" w:space="0"/>
                    <w:left w:val="nil"/>
                    <w:bottom w:val="single" w:color="auto" w:sz="4" w:space="0"/>
                    <w:right w:val="single" w:color="auto" w:sz="4" w:space="0"/>
                  </w:tcBorders>
                  <w:shd w:val="clear" w:color="auto" w:fill="auto"/>
                  <w:vAlign w:val="center"/>
                </w:tcPr>
                <w:p w14:paraId="68C7886E">
                  <w:pPr>
                    <w:widowControl/>
                    <w:jc w:val="center"/>
                    <w:rPr>
                      <w:strike w:val="0"/>
                      <w:dstrike w:val="0"/>
                      <w:color w:val="auto"/>
                      <w:kern w:val="0"/>
                      <w:szCs w:val="21"/>
                      <w:highlight w:val="none"/>
                    </w:rPr>
                  </w:pPr>
                  <w:r>
                    <w:rPr>
                      <w:strike w:val="0"/>
                      <w:dstrike w:val="0"/>
                      <w:color w:val="auto"/>
                      <w:szCs w:val="21"/>
                      <w:highlight w:val="none"/>
                    </w:rPr>
                    <w:t>清罐废物</w:t>
                  </w:r>
                </w:p>
              </w:tc>
              <w:tc>
                <w:tcPr>
                  <w:tcW w:w="742" w:type="dxa"/>
                  <w:tcBorders>
                    <w:top w:val="single" w:color="auto" w:sz="4" w:space="0"/>
                    <w:left w:val="nil"/>
                    <w:bottom w:val="single" w:color="auto" w:sz="4" w:space="0"/>
                    <w:right w:val="single" w:color="auto" w:sz="4" w:space="0"/>
                  </w:tcBorders>
                  <w:shd w:val="clear" w:color="auto" w:fill="auto"/>
                  <w:vAlign w:val="center"/>
                </w:tcPr>
                <w:p w14:paraId="2F60DAD4">
                  <w:pPr>
                    <w:adjustRightInd w:val="0"/>
                    <w:snapToGrid w:val="0"/>
                    <w:jc w:val="center"/>
                    <w:rPr>
                      <w:strike w:val="0"/>
                      <w:dstrike w:val="0"/>
                      <w:color w:val="auto"/>
                      <w:szCs w:val="21"/>
                      <w:highlight w:val="none"/>
                    </w:rPr>
                  </w:pPr>
                  <w:r>
                    <w:rPr>
                      <w:strike w:val="0"/>
                      <w:dstrike w:val="0"/>
                      <w:color w:val="auto"/>
                      <w:kern w:val="0"/>
                      <w:szCs w:val="21"/>
                      <w:highlight w:val="none"/>
                    </w:rPr>
                    <w:t>HW08</w:t>
                  </w:r>
                </w:p>
              </w:tc>
              <w:tc>
                <w:tcPr>
                  <w:tcW w:w="738" w:type="dxa"/>
                  <w:tcBorders>
                    <w:top w:val="single" w:color="auto" w:sz="4" w:space="0"/>
                    <w:left w:val="nil"/>
                    <w:bottom w:val="single" w:color="auto" w:sz="4" w:space="0"/>
                    <w:right w:val="single" w:color="auto" w:sz="4" w:space="0"/>
                  </w:tcBorders>
                  <w:shd w:val="clear" w:color="auto" w:fill="auto"/>
                  <w:vAlign w:val="center"/>
                </w:tcPr>
                <w:p w14:paraId="344626CA">
                  <w:pPr>
                    <w:adjustRightInd w:val="0"/>
                    <w:snapToGrid w:val="0"/>
                    <w:jc w:val="center"/>
                    <w:rPr>
                      <w:strike w:val="0"/>
                      <w:dstrike w:val="0"/>
                      <w:color w:val="auto"/>
                      <w:szCs w:val="21"/>
                      <w:highlight w:val="none"/>
                    </w:rPr>
                  </w:pPr>
                  <w:r>
                    <w:rPr>
                      <w:rFonts w:eastAsia="TimesNewRomanPSMT"/>
                      <w:strike w:val="0"/>
                      <w:dstrike w:val="0"/>
                      <w:color w:val="auto"/>
                      <w:szCs w:val="21"/>
                      <w:highlight w:val="none"/>
                    </w:rPr>
                    <w:t>900-249-08</w:t>
                  </w:r>
                </w:p>
              </w:tc>
              <w:tc>
                <w:tcPr>
                  <w:tcW w:w="625" w:type="dxa"/>
                  <w:tcBorders>
                    <w:top w:val="single" w:color="auto" w:sz="4" w:space="0"/>
                    <w:left w:val="nil"/>
                    <w:bottom w:val="single" w:color="auto" w:sz="4" w:space="0"/>
                    <w:right w:val="single" w:color="auto" w:sz="4" w:space="0"/>
                  </w:tcBorders>
                  <w:shd w:val="clear" w:color="auto" w:fill="auto"/>
                  <w:vAlign w:val="center"/>
                </w:tcPr>
                <w:p w14:paraId="6C7E4B8A">
                  <w:pPr>
                    <w:adjustRightInd w:val="0"/>
                    <w:snapToGrid w:val="0"/>
                    <w:jc w:val="center"/>
                    <w:rPr>
                      <w:strike w:val="0"/>
                      <w:dstrike w:val="0"/>
                      <w:color w:val="auto"/>
                      <w:szCs w:val="21"/>
                      <w:highlight w:val="none"/>
                    </w:rPr>
                  </w:pPr>
                  <w:r>
                    <w:rPr>
                      <w:strike w:val="0"/>
                      <w:dstrike w:val="0"/>
                      <w:color w:val="auto"/>
                      <w:szCs w:val="21"/>
                      <w:highlight w:val="none"/>
                    </w:rPr>
                    <w:t>0.4</w:t>
                  </w:r>
                </w:p>
              </w:tc>
              <w:tc>
                <w:tcPr>
                  <w:tcW w:w="950" w:type="dxa"/>
                  <w:tcBorders>
                    <w:top w:val="single" w:color="auto" w:sz="4" w:space="0"/>
                    <w:left w:val="nil"/>
                    <w:bottom w:val="single" w:color="auto" w:sz="4" w:space="0"/>
                    <w:right w:val="single" w:color="auto" w:sz="4" w:space="0"/>
                  </w:tcBorders>
                  <w:shd w:val="clear" w:color="auto" w:fill="auto"/>
                  <w:vAlign w:val="center"/>
                </w:tcPr>
                <w:p w14:paraId="37EDFD39">
                  <w:pPr>
                    <w:widowControl/>
                    <w:jc w:val="center"/>
                    <w:rPr>
                      <w:strike w:val="0"/>
                      <w:dstrike w:val="0"/>
                      <w:color w:val="auto"/>
                      <w:kern w:val="0"/>
                      <w:szCs w:val="21"/>
                      <w:highlight w:val="none"/>
                    </w:rPr>
                  </w:pPr>
                  <w:r>
                    <w:rPr>
                      <w:strike w:val="0"/>
                      <w:dstrike w:val="0"/>
                      <w:color w:val="auto"/>
                      <w:kern w:val="0"/>
                      <w:szCs w:val="21"/>
                      <w:highlight w:val="none"/>
                    </w:rPr>
                    <w:t>维修</w:t>
                  </w:r>
                </w:p>
              </w:tc>
              <w:tc>
                <w:tcPr>
                  <w:tcW w:w="712" w:type="dxa"/>
                  <w:tcBorders>
                    <w:top w:val="single" w:color="auto" w:sz="4" w:space="0"/>
                    <w:left w:val="nil"/>
                    <w:bottom w:val="single" w:color="auto" w:sz="4" w:space="0"/>
                    <w:right w:val="single" w:color="auto" w:sz="4" w:space="0"/>
                  </w:tcBorders>
                  <w:shd w:val="clear" w:color="auto" w:fill="auto"/>
                  <w:vAlign w:val="center"/>
                </w:tcPr>
                <w:p w14:paraId="5694D089">
                  <w:pPr>
                    <w:topLinePunct/>
                    <w:spacing w:line="320" w:lineRule="exact"/>
                    <w:jc w:val="center"/>
                    <w:rPr>
                      <w:strike w:val="0"/>
                      <w:dstrike w:val="0"/>
                      <w:color w:val="auto"/>
                      <w:szCs w:val="21"/>
                      <w:highlight w:val="none"/>
                    </w:rPr>
                  </w:pPr>
                  <w:r>
                    <w:rPr>
                      <w:strike w:val="0"/>
                      <w:dstrike w:val="0"/>
                      <w:color w:val="auto"/>
                      <w:szCs w:val="21"/>
                      <w:highlight w:val="none"/>
                    </w:rPr>
                    <w:t>液、固态</w:t>
                  </w:r>
                </w:p>
              </w:tc>
              <w:tc>
                <w:tcPr>
                  <w:tcW w:w="715" w:type="dxa"/>
                  <w:tcBorders>
                    <w:top w:val="single" w:color="auto" w:sz="4" w:space="0"/>
                    <w:left w:val="nil"/>
                    <w:bottom w:val="single" w:color="auto" w:sz="4" w:space="0"/>
                    <w:right w:val="single" w:color="auto" w:sz="4" w:space="0"/>
                  </w:tcBorders>
                  <w:shd w:val="clear" w:color="auto" w:fill="auto"/>
                  <w:vAlign w:val="center"/>
                </w:tcPr>
                <w:p w14:paraId="6270BB26">
                  <w:pPr>
                    <w:contextualSpacing/>
                    <w:jc w:val="center"/>
                    <w:rPr>
                      <w:strike w:val="0"/>
                      <w:dstrike w:val="0"/>
                      <w:color w:val="auto"/>
                      <w:szCs w:val="21"/>
                      <w:highlight w:val="none"/>
                    </w:rPr>
                  </w:pPr>
                  <w:r>
                    <w:rPr>
                      <w:strike w:val="0"/>
                      <w:dstrike w:val="0"/>
                      <w:color w:val="auto"/>
                      <w:szCs w:val="21"/>
                      <w:highlight w:val="none"/>
                    </w:rPr>
                    <w:t>矿物油</w:t>
                  </w:r>
                </w:p>
              </w:tc>
              <w:tc>
                <w:tcPr>
                  <w:tcW w:w="831" w:type="dxa"/>
                  <w:tcBorders>
                    <w:top w:val="single" w:color="auto" w:sz="4" w:space="0"/>
                    <w:left w:val="nil"/>
                    <w:bottom w:val="single" w:color="auto" w:sz="4" w:space="0"/>
                    <w:right w:val="single" w:color="auto" w:sz="4" w:space="0"/>
                  </w:tcBorders>
                  <w:shd w:val="clear" w:color="auto" w:fill="auto"/>
                  <w:vAlign w:val="center"/>
                </w:tcPr>
                <w:p w14:paraId="1E2DE1E3">
                  <w:pPr>
                    <w:contextualSpacing/>
                    <w:jc w:val="center"/>
                    <w:rPr>
                      <w:strike w:val="0"/>
                      <w:dstrike w:val="0"/>
                      <w:color w:val="auto"/>
                      <w:szCs w:val="21"/>
                      <w:highlight w:val="none"/>
                    </w:rPr>
                  </w:pPr>
                  <w:r>
                    <w:rPr>
                      <w:strike w:val="0"/>
                      <w:dstrike w:val="0"/>
                      <w:color w:val="auto"/>
                      <w:szCs w:val="21"/>
                      <w:highlight w:val="none"/>
                    </w:rPr>
                    <w:t>矿物油</w:t>
                  </w:r>
                </w:p>
              </w:tc>
              <w:tc>
                <w:tcPr>
                  <w:tcW w:w="611" w:type="dxa"/>
                  <w:tcBorders>
                    <w:top w:val="single" w:color="auto" w:sz="4" w:space="0"/>
                    <w:left w:val="nil"/>
                    <w:bottom w:val="single" w:color="auto" w:sz="4" w:space="0"/>
                    <w:right w:val="single" w:color="auto" w:sz="4" w:space="0"/>
                  </w:tcBorders>
                  <w:shd w:val="clear" w:color="auto" w:fill="auto"/>
                  <w:vAlign w:val="center"/>
                </w:tcPr>
                <w:p w14:paraId="5A4ADE8C">
                  <w:pPr>
                    <w:contextualSpacing/>
                    <w:jc w:val="center"/>
                    <w:rPr>
                      <w:strike w:val="0"/>
                      <w:dstrike w:val="0"/>
                      <w:color w:val="auto"/>
                      <w:szCs w:val="21"/>
                      <w:highlight w:val="none"/>
                    </w:rPr>
                  </w:pPr>
                  <w:r>
                    <w:rPr>
                      <w:strike w:val="0"/>
                      <w:dstrike w:val="0"/>
                      <w:color w:val="auto"/>
                      <w:szCs w:val="21"/>
                      <w:highlight w:val="none"/>
                    </w:rPr>
                    <w:t>5年</w:t>
                  </w:r>
                </w:p>
              </w:tc>
              <w:tc>
                <w:tcPr>
                  <w:tcW w:w="450" w:type="dxa"/>
                  <w:tcBorders>
                    <w:top w:val="single" w:color="auto" w:sz="4" w:space="0"/>
                    <w:left w:val="nil"/>
                    <w:bottom w:val="single" w:color="auto" w:sz="4" w:space="0"/>
                    <w:right w:val="single" w:color="auto" w:sz="4" w:space="0"/>
                  </w:tcBorders>
                  <w:shd w:val="clear" w:color="auto" w:fill="auto"/>
                  <w:vAlign w:val="center"/>
                </w:tcPr>
                <w:p w14:paraId="7CDC57C9">
                  <w:pPr>
                    <w:contextualSpacing/>
                    <w:jc w:val="center"/>
                    <w:rPr>
                      <w:strike w:val="0"/>
                      <w:dstrike w:val="0"/>
                      <w:color w:val="auto"/>
                      <w:szCs w:val="21"/>
                      <w:highlight w:val="none"/>
                    </w:rPr>
                  </w:pPr>
                  <w:r>
                    <w:rPr>
                      <w:strike w:val="0"/>
                      <w:dstrike w:val="0"/>
                      <w:color w:val="auto"/>
                      <w:szCs w:val="21"/>
                      <w:highlight w:val="none"/>
                    </w:rPr>
                    <w:t>T，I</w:t>
                  </w:r>
                </w:p>
              </w:tc>
              <w:tc>
                <w:tcPr>
                  <w:tcW w:w="671" w:type="dxa"/>
                  <w:vMerge w:val="restart"/>
                  <w:tcBorders>
                    <w:top w:val="single" w:color="auto" w:sz="4" w:space="0"/>
                    <w:left w:val="nil"/>
                    <w:right w:val="single" w:color="auto" w:sz="4" w:space="0"/>
                  </w:tcBorders>
                  <w:vAlign w:val="center"/>
                </w:tcPr>
                <w:p w14:paraId="6175A7DA">
                  <w:pPr>
                    <w:contextualSpacing/>
                    <w:jc w:val="center"/>
                    <w:rPr>
                      <w:strike w:val="0"/>
                      <w:dstrike w:val="0"/>
                      <w:color w:val="auto"/>
                      <w:szCs w:val="21"/>
                      <w:highlight w:val="none"/>
                    </w:rPr>
                  </w:pPr>
                  <w:r>
                    <w:rPr>
                      <w:strike w:val="0"/>
                      <w:dstrike w:val="0"/>
                      <w:color w:val="auto"/>
                      <w:szCs w:val="21"/>
                      <w:highlight w:val="none"/>
                    </w:rPr>
                    <w:t>暂存于</w:t>
                  </w:r>
                  <w:r>
                    <w:rPr>
                      <w:rFonts w:hint="eastAsia"/>
                      <w:strike w:val="0"/>
                      <w:dstrike w:val="0"/>
                      <w:color w:val="auto"/>
                      <w:szCs w:val="21"/>
                      <w:highlight w:val="none"/>
                    </w:rPr>
                    <w:t>危废贮存点</w:t>
                  </w:r>
                </w:p>
              </w:tc>
            </w:tr>
            <w:tr w14:paraId="39AF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4164DB90">
                  <w:pPr>
                    <w:contextualSpacing/>
                    <w:jc w:val="center"/>
                    <w:rPr>
                      <w:strike w:val="0"/>
                      <w:dstrike w:val="0"/>
                      <w:color w:val="auto"/>
                      <w:szCs w:val="21"/>
                      <w:highlight w:val="none"/>
                    </w:rPr>
                  </w:pPr>
                  <w:r>
                    <w:rPr>
                      <w:strike w:val="0"/>
                      <w:dstrike w:val="0"/>
                      <w:color w:val="auto"/>
                      <w:szCs w:val="21"/>
                      <w:highlight w:val="none"/>
                    </w:rPr>
                    <w:t>2</w:t>
                  </w:r>
                </w:p>
              </w:tc>
              <w:tc>
                <w:tcPr>
                  <w:tcW w:w="885" w:type="dxa"/>
                  <w:tcBorders>
                    <w:top w:val="single" w:color="auto" w:sz="4" w:space="0"/>
                    <w:left w:val="nil"/>
                    <w:bottom w:val="single" w:color="auto" w:sz="4" w:space="0"/>
                    <w:right w:val="single" w:color="auto" w:sz="4" w:space="0"/>
                  </w:tcBorders>
                  <w:shd w:val="clear" w:color="auto" w:fill="auto"/>
                  <w:vAlign w:val="center"/>
                </w:tcPr>
                <w:p w14:paraId="073D84C4">
                  <w:pPr>
                    <w:widowControl/>
                    <w:jc w:val="center"/>
                    <w:rPr>
                      <w:strike w:val="0"/>
                      <w:dstrike w:val="0"/>
                      <w:color w:val="auto"/>
                      <w:szCs w:val="21"/>
                      <w:highlight w:val="none"/>
                    </w:rPr>
                  </w:pPr>
                  <w:r>
                    <w:rPr>
                      <w:strike w:val="0"/>
                      <w:dstrike w:val="0"/>
                      <w:color w:val="auto"/>
                      <w:szCs w:val="21"/>
                      <w:highlight w:val="none"/>
                    </w:rPr>
                    <w:t>检修废物</w:t>
                  </w:r>
                </w:p>
              </w:tc>
              <w:tc>
                <w:tcPr>
                  <w:tcW w:w="742" w:type="dxa"/>
                  <w:tcBorders>
                    <w:top w:val="single" w:color="auto" w:sz="4" w:space="0"/>
                    <w:left w:val="nil"/>
                    <w:bottom w:val="single" w:color="auto" w:sz="4" w:space="0"/>
                    <w:right w:val="single" w:color="auto" w:sz="4" w:space="0"/>
                  </w:tcBorders>
                  <w:shd w:val="clear" w:color="auto" w:fill="auto"/>
                  <w:vAlign w:val="center"/>
                </w:tcPr>
                <w:p w14:paraId="1FCFEE70">
                  <w:pPr>
                    <w:adjustRightInd w:val="0"/>
                    <w:snapToGrid w:val="0"/>
                    <w:jc w:val="center"/>
                    <w:rPr>
                      <w:strike w:val="0"/>
                      <w:dstrike w:val="0"/>
                      <w:color w:val="auto"/>
                      <w:szCs w:val="21"/>
                      <w:highlight w:val="none"/>
                    </w:rPr>
                  </w:pPr>
                  <w:r>
                    <w:rPr>
                      <w:strike w:val="0"/>
                      <w:dstrike w:val="0"/>
                      <w:color w:val="auto"/>
                      <w:szCs w:val="21"/>
                      <w:highlight w:val="none"/>
                    </w:rPr>
                    <w:t>HW09</w:t>
                  </w:r>
                </w:p>
              </w:tc>
              <w:tc>
                <w:tcPr>
                  <w:tcW w:w="738" w:type="dxa"/>
                  <w:tcBorders>
                    <w:top w:val="single" w:color="auto" w:sz="4" w:space="0"/>
                    <w:left w:val="nil"/>
                    <w:bottom w:val="single" w:color="auto" w:sz="4" w:space="0"/>
                    <w:right w:val="single" w:color="auto" w:sz="4" w:space="0"/>
                  </w:tcBorders>
                  <w:shd w:val="clear" w:color="auto" w:fill="auto"/>
                  <w:vAlign w:val="center"/>
                </w:tcPr>
                <w:p w14:paraId="5AB6EE70">
                  <w:pPr>
                    <w:adjustRightInd w:val="0"/>
                    <w:snapToGrid w:val="0"/>
                    <w:jc w:val="center"/>
                    <w:rPr>
                      <w:strike w:val="0"/>
                      <w:dstrike w:val="0"/>
                      <w:color w:val="auto"/>
                      <w:szCs w:val="21"/>
                      <w:highlight w:val="none"/>
                    </w:rPr>
                  </w:pPr>
                  <w:r>
                    <w:rPr>
                      <w:rFonts w:eastAsia="TimesNewRomanPSMT"/>
                      <w:strike w:val="0"/>
                      <w:dstrike w:val="0"/>
                      <w:color w:val="auto"/>
                      <w:szCs w:val="21"/>
                      <w:highlight w:val="none"/>
                    </w:rPr>
                    <w:t>900-007-09</w:t>
                  </w:r>
                </w:p>
              </w:tc>
              <w:tc>
                <w:tcPr>
                  <w:tcW w:w="625" w:type="dxa"/>
                  <w:tcBorders>
                    <w:top w:val="single" w:color="auto" w:sz="4" w:space="0"/>
                    <w:left w:val="nil"/>
                    <w:bottom w:val="single" w:color="auto" w:sz="4" w:space="0"/>
                    <w:right w:val="single" w:color="auto" w:sz="4" w:space="0"/>
                  </w:tcBorders>
                  <w:shd w:val="clear" w:color="auto" w:fill="auto"/>
                  <w:vAlign w:val="center"/>
                </w:tcPr>
                <w:p w14:paraId="0B55F982">
                  <w:pPr>
                    <w:adjustRightInd w:val="0"/>
                    <w:snapToGrid w:val="0"/>
                    <w:jc w:val="center"/>
                    <w:rPr>
                      <w:strike w:val="0"/>
                      <w:dstrike w:val="0"/>
                      <w:color w:val="auto"/>
                      <w:szCs w:val="21"/>
                      <w:highlight w:val="none"/>
                    </w:rPr>
                  </w:pPr>
                  <w:r>
                    <w:rPr>
                      <w:strike w:val="0"/>
                      <w:dstrike w:val="0"/>
                      <w:color w:val="auto"/>
                      <w:szCs w:val="21"/>
                      <w:highlight w:val="none"/>
                    </w:rPr>
                    <w:t>0.2</w:t>
                  </w:r>
                </w:p>
              </w:tc>
              <w:tc>
                <w:tcPr>
                  <w:tcW w:w="950" w:type="dxa"/>
                  <w:tcBorders>
                    <w:top w:val="single" w:color="auto" w:sz="4" w:space="0"/>
                    <w:left w:val="nil"/>
                    <w:right w:val="single" w:color="auto" w:sz="4" w:space="0"/>
                  </w:tcBorders>
                  <w:vAlign w:val="center"/>
                </w:tcPr>
                <w:p w14:paraId="5BE1D076">
                  <w:pPr>
                    <w:widowControl/>
                    <w:jc w:val="center"/>
                    <w:rPr>
                      <w:strike w:val="0"/>
                      <w:dstrike w:val="0"/>
                      <w:color w:val="auto"/>
                      <w:kern w:val="0"/>
                      <w:szCs w:val="21"/>
                      <w:highlight w:val="none"/>
                    </w:rPr>
                  </w:pPr>
                  <w:r>
                    <w:rPr>
                      <w:strike w:val="0"/>
                      <w:dstrike w:val="0"/>
                      <w:color w:val="auto"/>
                      <w:kern w:val="0"/>
                      <w:szCs w:val="21"/>
                      <w:highlight w:val="none"/>
                    </w:rPr>
                    <w:t>检修</w:t>
                  </w:r>
                </w:p>
              </w:tc>
              <w:tc>
                <w:tcPr>
                  <w:tcW w:w="712" w:type="dxa"/>
                  <w:tcBorders>
                    <w:top w:val="single" w:color="auto" w:sz="4" w:space="0"/>
                    <w:left w:val="nil"/>
                    <w:bottom w:val="single" w:color="auto" w:sz="4" w:space="0"/>
                    <w:right w:val="single" w:color="auto" w:sz="4" w:space="0"/>
                  </w:tcBorders>
                  <w:shd w:val="clear" w:color="auto" w:fill="auto"/>
                  <w:vAlign w:val="center"/>
                </w:tcPr>
                <w:p w14:paraId="439A4ABC">
                  <w:pPr>
                    <w:topLinePunct/>
                    <w:spacing w:line="320" w:lineRule="exact"/>
                    <w:jc w:val="center"/>
                    <w:rPr>
                      <w:strike w:val="0"/>
                      <w:dstrike w:val="0"/>
                      <w:color w:val="auto"/>
                      <w:szCs w:val="21"/>
                      <w:highlight w:val="none"/>
                    </w:rPr>
                  </w:pPr>
                  <w:r>
                    <w:rPr>
                      <w:strike w:val="0"/>
                      <w:dstrike w:val="0"/>
                      <w:color w:val="auto"/>
                      <w:szCs w:val="21"/>
                      <w:highlight w:val="none"/>
                    </w:rPr>
                    <w:t>液、固态</w:t>
                  </w:r>
                </w:p>
              </w:tc>
              <w:tc>
                <w:tcPr>
                  <w:tcW w:w="715" w:type="dxa"/>
                  <w:tcBorders>
                    <w:top w:val="single" w:color="auto" w:sz="4" w:space="0"/>
                    <w:left w:val="nil"/>
                    <w:bottom w:val="single" w:color="auto" w:sz="4" w:space="0"/>
                    <w:right w:val="single" w:color="auto" w:sz="4" w:space="0"/>
                  </w:tcBorders>
                  <w:shd w:val="clear" w:color="auto" w:fill="auto"/>
                  <w:vAlign w:val="center"/>
                </w:tcPr>
                <w:p w14:paraId="09E6786D">
                  <w:pPr>
                    <w:contextualSpacing/>
                    <w:jc w:val="center"/>
                    <w:rPr>
                      <w:strike w:val="0"/>
                      <w:dstrike w:val="0"/>
                      <w:color w:val="auto"/>
                      <w:szCs w:val="21"/>
                      <w:highlight w:val="none"/>
                    </w:rPr>
                  </w:pPr>
                  <w:r>
                    <w:rPr>
                      <w:strike w:val="0"/>
                      <w:dstrike w:val="0"/>
                      <w:color w:val="auto"/>
                      <w:szCs w:val="21"/>
                      <w:highlight w:val="none"/>
                    </w:rPr>
                    <w:t>矿物油</w:t>
                  </w:r>
                </w:p>
              </w:tc>
              <w:tc>
                <w:tcPr>
                  <w:tcW w:w="831" w:type="dxa"/>
                  <w:tcBorders>
                    <w:top w:val="single" w:color="auto" w:sz="4" w:space="0"/>
                    <w:left w:val="nil"/>
                    <w:bottom w:val="single" w:color="auto" w:sz="4" w:space="0"/>
                    <w:right w:val="single" w:color="auto" w:sz="4" w:space="0"/>
                  </w:tcBorders>
                  <w:shd w:val="clear" w:color="auto" w:fill="auto"/>
                  <w:vAlign w:val="center"/>
                </w:tcPr>
                <w:p w14:paraId="7B686742">
                  <w:pPr>
                    <w:contextualSpacing/>
                    <w:jc w:val="center"/>
                    <w:rPr>
                      <w:strike w:val="0"/>
                      <w:dstrike w:val="0"/>
                      <w:color w:val="auto"/>
                      <w:szCs w:val="21"/>
                      <w:highlight w:val="none"/>
                    </w:rPr>
                  </w:pPr>
                  <w:r>
                    <w:rPr>
                      <w:strike w:val="0"/>
                      <w:dstrike w:val="0"/>
                      <w:color w:val="auto"/>
                      <w:szCs w:val="21"/>
                      <w:highlight w:val="none"/>
                    </w:rPr>
                    <w:t>矿物油</w:t>
                  </w:r>
                </w:p>
              </w:tc>
              <w:tc>
                <w:tcPr>
                  <w:tcW w:w="611" w:type="dxa"/>
                  <w:tcBorders>
                    <w:top w:val="single" w:color="auto" w:sz="4" w:space="0"/>
                    <w:left w:val="nil"/>
                    <w:bottom w:val="single" w:color="auto" w:sz="4" w:space="0"/>
                    <w:right w:val="single" w:color="auto" w:sz="4" w:space="0"/>
                  </w:tcBorders>
                  <w:shd w:val="clear" w:color="auto" w:fill="auto"/>
                  <w:vAlign w:val="center"/>
                </w:tcPr>
                <w:p w14:paraId="33B1C0EF">
                  <w:pPr>
                    <w:contextualSpacing/>
                    <w:jc w:val="center"/>
                    <w:rPr>
                      <w:strike w:val="0"/>
                      <w:dstrike w:val="0"/>
                      <w:color w:val="auto"/>
                      <w:szCs w:val="21"/>
                      <w:highlight w:val="none"/>
                    </w:rPr>
                  </w:pPr>
                  <w:r>
                    <w:rPr>
                      <w:strike w:val="0"/>
                      <w:dstrike w:val="0"/>
                      <w:color w:val="auto"/>
                      <w:szCs w:val="21"/>
                      <w:highlight w:val="none"/>
                    </w:rPr>
                    <w:t>1年</w:t>
                  </w:r>
                </w:p>
              </w:tc>
              <w:tc>
                <w:tcPr>
                  <w:tcW w:w="450" w:type="dxa"/>
                  <w:tcBorders>
                    <w:top w:val="single" w:color="auto" w:sz="4" w:space="0"/>
                    <w:left w:val="nil"/>
                    <w:bottom w:val="single" w:color="auto" w:sz="4" w:space="0"/>
                    <w:right w:val="single" w:color="auto" w:sz="4" w:space="0"/>
                  </w:tcBorders>
                  <w:vAlign w:val="center"/>
                </w:tcPr>
                <w:p w14:paraId="2580C1CD">
                  <w:pPr>
                    <w:topLinePunct/>
                    <w:adjustRightInd w:val="0"/>
                    <w:snapToGrid w:val="0"/>
                    <w:jc w:val="center"/>
                    <w:rPr>
                      <w:strike w:val="0"/>
                      <w:dstrike w:val="0"/>
                      <w:color w:val="auto"/>
                      <w:kern w:val="0"/>
                      <w:szCs w:val="21"/>
                      <w:highlight w:val="none"/>
                    </w:rPr>
                  </w:pPr>
                  <w:r>
                    <w:rPr>
                      <w:strike w:val="0"/>
                      <w:dstrike w:val="0"/>
                      <w:color w:val="auto"/>
                      <w:szCs w:val="21"/>
                      <w:highlight w:val="none"/>
                    </w:rPr>
                    <w:t>T，I</w:t>
                  </w:r>
                </w:p>
              </w:tc>
              <w:tc>
                <w:tcPr>
                  <w:tcW w:w="671" w:type="dxa"/>
                  <w:vMerge w:val="continue"/>
                  <w:tcBorders>
                    <w:left w:val="nil"/>
                    <w:right w:val="single" w:color="auto" w:sz="4" w:space="0"/>
                  </w:tcBorders>
                  <w:vAlign w:val="center"/>
                </w:tcPr>
                <w:p w14:paraId="576BCE79">
                  <w:pPr>
                    <w:contextualSpacing/>
                    <w:jc w:val="center"/>
                    <w:rPr>
                      <w:strike w:val="0"/>
                      <w:dstrike w:val="0"/>
                      <w:color w:val="auto"/>
                      <w:szCs w:val="21"/>
                      <w:highlight w:val="none"/>
                    </w:rPr>
                  </w:pPr>
                </w:p>
              </w:tc>
            </w:tr>
            <w:tr w14:paraId="4B35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14:paraId="3F88A031">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3</w:t>
                  </w:r>
                </w:p>
              </w:tc>
              <w:tc>
                <w:tcPr>
                  <w:tcW w:w="885" w:type="dxa"/>
                  <w:tcBorders>
                    <w:top w:val="single" w:color="auto" w:sz="4" w:space="0"/>
                    <w:left w:val="nil"/>
                    <w:bottom w:val="single" w:color="auto" w:sz="4" w:space="0"/>
                    <w:right w:val="single" w:color="auto" w:sz="4" w:space="0"/>
                  </w:tcBorders>
                  <w:shd w:val="clear" w:color="auto" w:fill="auto"/>
                  <w:vAlign w:val="center"/>
                </w:tcPr>
                <w:p w14:paraId="69CF523F">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sz w:val="21"/>
                      <w:szCs w:val="21"/>
                      <w:highlight w:val="none"/>
                    </w:rPr>
                    <w:t>废旧滤芯</w:t>
                  </w:r>
                </w:p>
              </w:tc>
              <w:tc>
                <w:tcPr>
                  <w:tcW w:w="742" w:type="dxa"/>
                  <w:tcBorders>
                    <w:top w:val="single" w:color="auto" w:sz="4" w:space="0"/>
                    <w:left w:val="nil"/>
                    <w:bottom w:val="single" w:color="auto" w:sz="4" w:space="0"/>
                    <w:right w:val="single" w:color="auto" w:sz="4" w:space="0"/>
                  </w:tcBorders>
                  <w:shd w:val="clear" w:color="auto" w:fill="auto"/>
                  <w:vAlign w:val="center"/>
                </w:tcPr>
                <w:p w14:paraId="73ACCC92">
                  <w:pPr>
                    <w:adjustRightInd w:val="0"/>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HW</w:t>
                  </w:r>
                  <w:r>
                    <w:rPr>
                      <w:rFonts w:hint="eastAsia"/>
                      <w:strike w:val="0"/>
                      <w:dstrike w:val="0"/>
                      <w:color w:val="auto"/>
                      <w:sz w:val="21"/>
                      <w:szCs w:val="21"/>
                      <w:highlight w:val="none"/>
                      <w:lang w:val="en-US" w:eastAsia="zh-CN"/>
                    </w:rPr>
                    <w:t>49</w:t>
                  </w:r>
                </w:p>
              </w:tc>
              <w:tc>
                <w:tcPr>
                  <w:tcW w:w="738" w:type="dxa"/>
                  <w:tcBorders>
                    <w:top w:val="single" w:color="auto" w:sz="4" w:space="0"/>
                    <w:left w:val="nil"/>
                    <w:bottom w:val="single" w:color="auto" w:sz="4" w:space="0"/>
                    <w:right w:val="single" w:color="auto" w:sz="4" w:space="0"/>
                  </w:tcBorders>
                  <w:shd w:val="clear" w:color="auto" w:fill="auto"/>
                  <w:vAlign w:val="center"/>
                </w:tcPr>
                <w:p w14:paraId="3221AAE2">
                  <w:pPr>
                    <w:adjustRightInd w:val="0"/>
                    <w:snapToGrid w:val="0"/>
                    <w:jc w:val="center"/>
                    <w:rPr>
                      <w:rFonts w:hint="eastAsia" w:eastAsia="TimesNewRomanPSMT"/>
                      <w:strike w:val="0"/>
                      <w:dstrike w:val="0"/>
                      <w:color w:val="auto"/>
                      <w:szCs w:val="21"/>
                      <w:highlight w:val="none"/>
                      <w:lang w:eastAsia="zh-CN"/>
                    </w:rPr>
                  </w:pPr>
                  <w:r>
                    <w:rPr>
                      <w:rFonts w:hint="eastAsia" w:eastAsia="TimesNewRomanPSMT"/>
                      <w:strike w:val="0"/>
                      <w:dstrike w:val="0"/>
                      <w:color w:val="auto"/>
                      <w:sz w:val="21"/>
                      <w:szCs w:val="21"/>
                      <w:highlight w:val="none"/>
                      <w:lang w:eastAsia="zh-CN"/>
                    </w:rPr>
                    <w:t>900-041-49</w:t>
                  </w:r>
                </w:p>
              </w:tc>
              <w:tc>
                <w:tcPr>
                  <w:tcW w:w="625" w:type="dxa"/>
                  <w:tcBorders>
                    <w:top w:val="single" w:color="auto" w:sz="4" w:space="0"/>
                    <w:left w:val="nil"/>
                    <w:bottom w:val="single" w:color="auto" w:sz="4" w:space="0"/>
                    <w:right w:val="single" w:color="auto" w:sz="4" w:space="0"/>
                  </w:tcBorders>
                  <w:shd w:val="clear" w:color="auto" w:fill="auto"/>
                  <w:vAlign w:val="center"/>
                </w:tcPr>
                <w:p w14:paraId="34DDA701">
                  <w:pPr>
                    <w:adjustRightInd w:val="0"/>
                    <w:snapToGrid w:val="0"/>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0.005</w:t>
                  </w:r>
                </w:p>
              </w:tc>
              <w:tc>
                <w:tcPr>
                  <w:tcW w:w="950" w:type="dxa"/>
                  <w:tcBorders>
                    <w:top w:val="single" w:color="auto" w:sz="4" w:space="0"/>
                    <w:left w:val="nil"/>
                    <w:right w:val="single" w:color="auto" w:sz="4" w:space="0"/>
                  </w:tcBorders>
                  <w:shd w:val="clear" w:color="auto" w:fill="auto"/>
                  <w:vAlign w:val="center"/>
                </w:tcPr>
                <w:p w14:paraId="549E30D8">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sz w:val="21"/>
                      <w:szCs w:val="21"/>
                      <w:highlight w:val="none"/>
                    </w:rPr>
                    <w:t>LNG调压撬过滤工段</w:t>
                  </w:r>
                </w:p>
              </w:tc>
              <w:tc>
                <w:tcPr>
                  <w:tcW w:w="712" w:type="dxa"/>
                  <w:tcBorders>
                    <w:top w:val="single" w:color="auto" w:sz="4" w:space="0"/>
                    <w:left w:val="nil"/>
                    <w:bottom w:val="single" w:color="auto" w:sz="4" w:space="0"/>
                    <w:right w:val="single" w:color="auto" w:sz="4" w:space="0"/>
                  </w:tcBorders>
                  <w:shd w:val="clear" w:color="auto" w:fill="auto"/>
                  <w:vAlign w:val="center"/>
                </w:tcPr>
                <w:p w14:paraId="06B157F8">
                  <w:pPr>
                    <w:topLinePunct/>
                    <w:spacing w:line="320" w:lineRule="exact"/>
                    <w:jc w:val="center"/>
                    <w:rPr>
                      <w:strike w:val="0"/>
                      <w:dstrike w:val="0"/>
                      <w:color w:val="auto"/>
                      <w:szCs w:val="21"/>
                      <w:highlight w:val="none"/>
                    </w:rPr>
                  </w:pPr>
                  <w:r>
                    <w:rPr>
                      <w:strike w:val="0"/>
                      <w:dstrike w:val="0"/>
                      <w:color w:val="auto"/>
                      <w:szCs w:val="21"/>
                      <w:highlight w:val="none"/>
                    </w:rPr>
                    <w:t>固态</w:t>
                  </w:r>
                </w:p>
              </w:tc>
              <w:tc>
                <w:tcPr>
                  <w:tcW w:w="715" w:type="dxa"/>
                  <w:tcBorders>
                    <w:top w:val="single" w:color="auto" w:sz="4" w:space="0"/>
                    <w:left w:val="nil"/>
                    <w:bottom w:val="single" w:color="auto" w:sz="4" w:space="0"/>
                    <w:right w:val="single" w:color="auto" w:sz="4" w:space="0"/>
                  </w:tcBorders>
                  <w:shd w:val="clear" w:color="auto" w:fill="auto"/>
                  <w:vAlign w:val="center"/>
                </w:tcPr>
                <w:p w14:paraId="6C563EBC">
                  <w:pPr>
                    <w:contextualSpacing/>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毒性过滤吸附介质</w:t>
                  </w:r>
                </w:p>
              </w:tc>
              <w:tc>
                <w:tcPr>
                  <w:tcW w:w="831" w:type="dxa"/>
                  <w:tcBorders>
                    <w:top w:val="single" w:color="auto" w:sz="4" w:space="0"/>
                    <w:left w:val="nil"/>
                    <w:bottom w:val="single" w:color="auto" w:sz="4" w:space="0"/>
                    <w:right w:val="single" w:color="auto" w:sz="4" w:space="0"/>
                  </w:tcBorders>
                  <w:shd w:val="clear" w:color="auto" w:fill="auto"/>
                  <w:vAlign w:val="center"/>
                </w:tcPr>
                <w:p w14:paraId="265011B4">
                  <w:pPr>
                    <w:contextualSpacing/>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毒性过滤吸附介质</w:t>
                  </w:r>
                </w:p>
              </w:tc>
              <w:tc>
                <w:tcPr>
                  <w:tcW w:w="611" w:type="dxa"/>
                  <w:tcBorders>
                    <w:top w:val="single" w:color="auto" w:sz="4" w:space="0"/>
                    <w:left w:val="nil"/>
                    <w:bottom w:val="single" w:color="auto" w:sz="4" w:space="0"/>
                    <w:right w:val="single" w:color="auto" w:sz="4" w:space="0"/>
                  </w:tcBorders>
                  <w:shd w:val="clear" w:color="auto" w:fill="auto"/>
                  <w:vAlign w:val="center"/>
                </w:tcPr>
                <w:p w14:paraId="74DDCDF8">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1年</w:t>
                  </w:r>
                </w:p>
              </w:tc>
              <w:tc>
                <w:tcPr>
                  <w:tcW w:w="450" w:type="dxa"/>
                  <w:tcBorders>
                    <w:top w:val="single" w:color="auto" w:sz="4" w:space="0"/>
                    <w:left w:val="nil"/>
                    <w:bottom w:val="single" w:color="auto" w:sz="4" w:space="0"/>
                    <w:right w:val="single" w:color="auto" w:sz="4" w:space="0"/>
                  </w:tcBorders>
                  <w:shd w:val="clear" w:color="auto" w:fill="auto"/>
                  <w:vAlign w:val="center"/>
                </w:tcPr>
                <w:p w14:paraId="19A0D13A">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T，I</w:t>
                  </w:r>
                </w:p>
              </w:tc>
              <w:tc>
                <w:tcPr>
                  <w:tcW w:w="671" w:type="dxa"/>
                  <w:vMerge w:val="continue"/>
                  <w:tcBorders>
                    <w:left w:val="nil"/>
                    <w:right w:val="single" w:color="auto" w:sz="4" w:space="0"/>
                  </w:tcBorders>
                  <w:vAlign w:val="center"/>
                </w:tcPr>
                <w:p w14:paraId="7AABDA08">
                  <w:pPr>
                    <w:contextualSpacing/>
                    <w:jc w:val="center"/>
                    <w:rPr>
                      <w:strike w:val="0"/>
                      <w:dstrike w:val="0"/>
                      <w:color w:val="auto"/>
                      <w:szCs w:val="21"/>
                      <w:highlight w:val="none"/>
                    </w:rPr>
                  </w:pPr>
                </w:p>
              </w:tc>
            </w:tr>
            <w:tr w14:paraId="6F85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5"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14:paraId="5C5D982A">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4</w:t>
                  </w:r>
                </w:p>
              </w:tc>
              <w:tc>
                <w:tcPr>
                  <w:tcW w:w="885" w:type="dxa"/>
                  <w:tcBorders>
                    <w:top w:val="single" w:color="auto" w:sz="4" w:space="0"/>
                    <w:left w:val="nil"/>
                    <w:bottom w:val="single" w:color="auto" w:sz="4" w:space="0"/>
                    <w:right w:val="single" w:color="auto" w:sz="4" w:space="0"/>
                  </w:tcBorders>
                  <w:shd w:val="clear" w:color="auto" w:fill="auto"/>
                  <w:vAlign w:val="center"/>
                </w:tcPr>
                <w:p w14:paraId="6E698C50">
                  <w:pPr>
                    <w:widowControl/>
                    <w:jc w:val="center"/>
                    <w:rPr>
                      <w:strike w:val="0"/>
                      <w:dstrike w:val="0"/>
                      <w:color w:val="auto"/>
                      <w:kern w:val="0"/>
                      <w:szCs w:val="21"/>
                      <w:highlight w:val="none"/>
                    </w:rPr>
                  </w:pPr>
                  <w:r>
                    <w:rPr>
                      <w:strike w:val="0"/>
                      <w:dstrike w:val="0"/>
                      <w:color w:val="auto"/>
                      <w:kern w:val="0"/>
                      <w:szCs w:val="21"/>
                      <w:highlight w:val="none"/>
                    </w:rPr>
                    <w:t>空压机</w:t>
                  </w:r>
                  <w:r>
                    <w:rPr>
                      <w:rFonts w:hint="eastAsia"/>
                      <w:strike w:val="0"/>
                      <w:dstrike w:val="0"/>
                      <w:color w:val="auto"/>
                      <w:kern w:val="0"/>
                      <w:szCs w:val="21"/>
                      <w:highlight w:val="none"/>
                    </w:rPr>
                    <w:t>油/水混合物（空压机）</w:t>
                  </w:r>
                </w:p>
              </w:tc>
              <w:tc>
                <w:tcPr>
                  <w:tcW w:w="742" w:type="dxa"/>
                  <w:tcBorders>
                    <w:top w:val="single" w:color="auto" w:sz="4" w:space="0"/>
                    <w:left w:val="nil"/>
                    <w:bottom w:val="single" w:color="auto" w:sz="4" w:space="0"/>
                    <w:right w:val="single" w:color="auto" w:sz="4" w:space="0"/>
                  </w:tcBorders>
                  <w:shd w:val="clear" w:color="auto" w:fill="auto"/>
                  <w:vAlign w:val="center"/>
                </w:tcPr>
                <w:p w14:paraId="78AA3644">
                  <w:pPr>
                    <w:adjustRightInd w:val="0"/>
                    <w:snapToGrid w:val="0"/>
                    <w:jc w:val="center"/>
                    <w:rPr>
                      <w:strike w:val="0"/>
                      <w:dstrike w:val="0"/>
                      <w:color w:val="auto"/>
                      <w:szCs w:val="21"/>
                      <w:highlight w:val="none"/>
                    </w:rPr>
                  </w:pPr>
                  <w:r>
                    <w:rPr>
                      <w:strike w:val="0"/>
                      <w:dstrike w:val="0"/>
                      <w:color w:val="auto"/>
                      <w:szCs w:val="21"/>
                      <w:highlight w:val="none"/>
                    </w:rPr>
                    <w:t>HW09</w:t>
                  </w:r>
                </w:p>
              </w:tc>
              <w:tc>
                <w:tcPr>
                  <w:tcW w:w="738" w:type="dxa"/>
                  <w:tcBorders>
                    <w:top w:val="single" w:color="auto" w:sz="4" w:space="0"/>
                    <w:left w:val="nil"/>
                    <w:bottom w:val="single" w:color="auto" w:sz="4" w:space="0"/>
                    <w:right w:val="single" w:color="auto" w:sz="4" w:space="0"/>
                  </w:tcBorders>
                  <w:shd w:val="clear" w:color="auto" w:fill="auto"/>
                  <w:vAlign w:val="center"/>
                </w:tcPr>
                <w:p w14:paraId="09CA5D64">
                  <w:pPr>
                    <w:adjustRightInd w:val="0"/>
                    <w:snapToGrid w:val="0"/>
                    <w:jc w:val="center"/>
                    <w:rPr>
                      <w:rFonts w:hint="eastAsia" w:eastAsia="宋体"/>
                      <w:strike w:val="0"/>
                      <w:dstrike w:val="0"/>
                      <w:color w:val="auto"/>
                      <w:szCs w:val="21"/>
                      <w:highlight w:val="none"/>
                      <w:lang w:eastAsia="zh-CN"/>
                    </w:rPr>
                  </w:pPr>
                  <w:r>
                    <w:rPr>
                      <w:rFonts w:hint="eastAsia"/>
                      <w:strike w:val="0"/>
                      <w:dstrike w:val="0"/>
                      <w:color w:val="auto"/>
                      <w:szCs w:val="21"/>
                      <w:highlight w:val="none"/>
                      <w:lang w:eastAsia="zh-CN"/>
                    </w:rPr>
                    <w:t>900-007-09</w:t>
                  </w:r>
                </w:p>
              </w:tc>
              <w:tc>
                <w:tcPr>
                  <w:tcW w:w="625" w:type="dxa"/>
                  <w:tcBorders>
                    <w:top w:val="single" w:color="auto" w:sz="4" w:space="0"/>
                    <w:left w:val="nil"/>
                    <w:bottom w:val="single" w:color="auto" w:sz="4" w:space="0"/>
                    <w:right w:val="single" w:color="auto" w:sz="4" w:space="0"/>
                  </w:tcBorders>
                  <w:shd w:val="clear" w:color="auto" w:fill="auto"/>
                  <w:vAlign w:val="center"/>
                </w:tcPr>
                <w:p w14:paraId="5762D611">
                  <w:pPr>
                    <w:adjustRightInd w:val="0"/>
                    <w:snapToGrid w:val="0"/>
                    <w:jc w:val="center"/>
                    <w:rPr>
                      <w:strike w:val="0"/>
                      <w:dstrike w:val="0"/>
                      <w:color w:val="auto"/>
                      <w:szCs w:val="21"/>
                      <w:highlight w:val="none"/>
                    </w:rPr>
                  </w:pPr>
                  <w:r>
                    <w:rPr>
                      <w:strike w:val="0"/>
                      <w:dstrike w:val="0"/>
                      <w:color w:val="auto"/>
                      <w:szCs w:val="21"/>
                      <w:highlight w:val="none"/>
                    </w:rPr>
                    <w:t>0.3</w:t>
                  </w:r>
                </w:p>
              </w:tc>
              <w:tc>
                <w:tcPr>
                  <w:tcW w:w="950" w:type="dxa"/>
                  <w:tcBorders>
                    <w:left w:val="nil"/>
                    <w:right w:val="single" w:color="auto" w:sz="4" w:space="0"/>
                  </w:tcBorders>
                  <w:shd w:val="clear" w:color="auto" w:fill="auto"/>
                  <w:vAlign w:val="center"/>
                </w:tcPr>
                <w:p w14:paraId="0243FC04">
                  <w:pPr>
                    <w:widowControl/>
                    <w:jc w:val="center"/>
                    <w:rPr>
                      <w:strike w:val="0"/>
                      <w:dstrike w:val="0"/>
                      <w:color w:val="auto"/>
                      <w:kern w:val="0"/>
                      <w:szCs w:val="21"/>
                      <w:highlight w:val="none"/>
                    </w:rPr>
                  </w:pPr>
                  <w:r>
                    <w:rPr>
                      <w:strike w:val="0"/>
                      <w:dstrike w:val="0"/>
                      <w:color w:val="auto"/>
                      <w:kern w:val="0"/>
                      <w:szCs w:val="21"/>
                      <w:highlight w:val="none"/>
                    </w:rPr>
                    <w:t>空压系统</w:t>
                  </w:r>
                </w:p>
              </w:tc>
              <w:tc>
                <w:tcPr>
                  <w:tcW w:w="712" w:type="dxa"/>
                  <w:tcBorders>
                    <w:left w:val="nil"/>
                    <w:bottom w:val="single" w:color="auto" w:sz="4" w:space="0"/>
                    <w:right w:val="single" w:color="auto" w:sz="4" w:space="0"/>
                  </w:tcBorders>
                  <w:shd w:val="clear" w:color="auto" w:fill="auto"/>
                  <w:vAlign w:val="center"/>
                </w:tcPr>
                <w:p w14:paraId="4E913418">
                  <w:pPr>
                    <w:topLinePunct/>
                    <w:spacing w:line="320" w:lineRule="exact"/>
                    <w:jc w:val="center"/>
                    <w:rPr>
                      <w:strike w:val="0"/>
                      <w:dstrike w:val="0"/>
                      <w:color w:val="auto"/>
                      <w:szCs w:val="21"/>
                      <w:highlight w:val="none"/>
                    </w:rPr>
                  </w:pPr>
                  <w:r>
                    <w:rPr>
                      <w:strike w:val="0"/>
                      <w:dstrike w:val="0"/>
                      <w:color w:val="auto"/>
                      <w:szCs w:val="21"/>
                      <w:highlight w:val="none"/>
                    </w:rPr>
                    <w:t>液态</w:t>
                  </w:r>
                </w:p>
              </w:tc>
              <w:tc>
                <w:tcPr>
                  <w:tcW w:w="715" w:type="dxa"/>
                  <w:tcBorders>
                    <w:left w:val="nil"/>
                    <w:bottom w:val="single" w:color="auto" w:sz="4" w:space="0"/>
                    <w:right w:val="single" w:color="auto" w:sz="4" w:space="0"/>
                  </w:tcBorders>
                  <w:shd w:val="clear" w:color="auto" w:fill="auto"/>
                  <w:vAlign w:val="center"/>
                </w:tcPr>
                <w:p w14:paraId="1343DA6F">
                  <w:pPr>
                    <w:contextualSpacing/>
                    <w:jc w:val="center"/>
                    <w:rPr>
                      <w:strike w:val="0"/>
                      <w:dstrike w:val="0"/>
                      <w:color w:val="auto"/>
                      <w:szCs w:val="21"/>
                      <w:highlight w:val="none"/>
                    </w:rPr>
                  </w:pPr>
                  <w:r>
                    <w:rPr>
                      <w:strike w:val="0"/>
                      <w:dstrike w:val="0"/>
                      <w:color w:val="auto"/>
                      <w:szCs w:val="21"/>
                      <w:highlight w:val="none"/>
                    </w:rPr>
                    <w:t>矿物油</w:t>
                  </w:r>
                </w:p>
              </w:tc>
              <w:tc>
                <w:tcPr>
                  <w:tcW w:w="831" w:type="dxa"/>
                  <w:tcBorders>
                    <w:left w:val="nil"/>
                    <w:bottom w:val="single" w:color="auto" w:sz="4" w:space="0"/>
                    <w:right w:val="single" w:color="auto" w:sz="4" w:space="0"/>
                  </w:tcBorders>
                  <w:shd w:val="clear" w:color="auto" w:fill="auto"/>
                  <w:vAlign w:val="center"/>
                </w:tcPr>
                <w:p w14:paraId="6B6CFB43">
                  <w:pPr>
                    <w:contextualSpacing/>
                    <w:jc w:val="center"/>
                    <w:rPr>
                      <w:strike w:val="0"/>
                      <w:dstrike w:val="0"/>
                      <w:color w:val="auto"/>
                      <w:szCs w:val="21"/>
                      <w:highlight w:val="none"/>
                    </w:rPr>
                  </w:pPr>
                  <w:r>
                    <w:rPr>
                      <w:strike w:val="0"/>
                      <w:dstrike w:val="0"/>
                      <w:color w:val="auto"/>
                      <w:szCs w:val="21"/>
                      <w:highlight w:val="none"/>
                    </w:rPr>
                    <w:t>矿物油</w:t>
                  </w:r>
                </w:p>
              </w:tc>
              <w:tc>
                <w:tcPr>
                  <w:tcW w:w="611" w:type="dxa"/>
                  <w:tcBorders>
                    <w:left w:val="nil"/>
                    <w:bottom w:val="single" w:color="auto" w:sz="4" w:space="0"/>
                    <w:right w:val="single" w:color="auto" w:sz="4" w:space="0"/>
                  </w:tcBorders>
                  <w:shd w:val="clear" w:color="auto" w:fill="auto"/>
                  <w:vAlign w:val="center"/>
                </w:tcPr>
                <w:p w14:paraId="40DDE31C">
                  <w:pPr>
                    <w:contextualSpacing/>
                    <w:jc w:val="center"/>
                    <w:rPr>
                      <w:strike w:val="0"/>
                      <w:dstrike w:val="0"/>
                      <w:color w:val="auto"/>
                      <w:szCs w:val="21"/>
                      <w:highlight w:val="none"/>
                    </w:rPr>
                  </w:pPr>
                  <w:r>
                    <w:rPr>
                      <w:strike w:val="0"/>
                      <w:dstrike w:val="0"/>
                      <w:color w:val="auto"/>
                      <w:szCs w:val="21"/>
                      <w:highlight w:val="none"/>
                    </w:rPr>
                    <w:t>1个月</w:t>
                  </w:r>
                </w:p>
              </w:tc>
              <w:tc>
                <w:tcPr>
                  <w:tcW w:w="450" w:type="dxa"/>
                  <w:tcBorders>
                    <w:left w:val="nil"/>
                    <w:bottom w:val="single" w:color="auto" w:sz="4" w:space="0"/>
                    <w:right w:val="single" w:color="auto" w:sz="4" w:space="0"/>
                  </w:tcBorders>
                  <w:shd w:val="clear" w:color="auto" w:fill="auto"/>
                  <w:vAlign w:val="center"/>
                </w:tcPr>
                <w:p w14:paraId="1F37B437">
                  <w:pPr>
                    <w:contextualSpacing/>
                    <w:jc w:val="center"/>
                    <w:rPr>
                      <w:strike w:val="0"/>
                      <w:dstrike w:val="0"/>
                      <w:color w:val="auto"/>
                      <w:szCs w:val="21"/>
                      <w:highlight w:val="none"/>
                    </w:rPr>
                  </w:pPr>
                  <w:r>
                    <w:rPr>
                      <w:strike w:val="0"/>
                      <w:dstrike w:val="0"/>
                      <w:color w:val="auto"/>
                      <w:szCs w:val="21"/>
                      <w:highlight w:val="none"/>
                    </w:rPr>
                    <w:t>T，I</w:t>
                  </w:r>
                </w:p>
              </w:tc>
              <w:tc>
                <w:tcPr>
                  <w:tcW w:w="671" w:type="dxa"/>
                  <w:vMerge w:val="continue"/>
                  <w:tcBorders>
                    <w:left w:val="nil"/>
                    <w:right w:val="single" w:color="auto" w:sz="4" w:space="0"/>
                  </w:tcBorders>
                  <w:vAlign w:val="center"/>
                </w:tcPr>
                <w:p w14:paraId="0584FB04">
                  <w:pPr>
                    <w:adjustRightInd w:val="0"/>
                    <w:snapToGrid w:val="0"/>
                    <w:jc w:val="center"/>
                    <w:rPr>
                      <w:strike w:val="0"/>
                      <w:dstrike w:val="0"/>
                      <w:color w:val="auto"/>
                      <w:szCs w:val="21"/>
                      <w:highlight w:val="none"/>
                    </w:rPr>
                  </w:pPr>
                </w:p>
              </w:tc>
            </w:tr>
            <w:tr w14:paraId="61F6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14:paraId="3CA4598E">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5</w:t>
                  </w:r>
                </w:p>
              </w:tc>
              <w:tc>
                <w:tcPr>
                  <w:tcW w:w="885" w:type="dxa"/>
                  <w:tcBorders>
                    <w:top w:val="single" w:color="auto" w:sz="4" w:space="0"/>
                    <w:left w:val="nil"/>
                    <w:bottom w:val="single" w:color="auto" w:sz="4" w:space="0"/>
                    <w:right w:val="single" w:color="auto" w:sz="4" w:space="0"/>
                  </w:tcBorders>
                  <w:shd w:val="clear" w:color="auto" w:fill="auto"/>
                  <w:vAlign w:val="center"/>
                </w:tcPr>
                <w:p w14:paraId="2D625B15">
                  <w:pPr>
                    <w:widowControl/>
                    <w:jc w:val="center"/>
                    <w:rPr>
                      <w:strike w:val="0"/>
                      <w:dstrike w:val="0"/>
                      <w:color w:val="auto"/>
                      <w:kern w:val="0"/>
                      <w:szCs w:val="21"/>
                      <w:highlight w:val="none"/>
                    </w:rPr>
                  </w:pPr>
                  <w:r>
                    <w:rPr>
                      <w:strike w:val="0"/>
                      <w:dstrike w:val="0"/>
                      <w:color w:val="auto"/>
                      <w:kern w:val="0"/>
                      <w:szCs w:val="21"/>
                      <w:highlight w:val="none"/>
                    </w:rPr>
                    <w:t>废空压机油</w:t>
                  </w:r>
                </w:p>
              </w:tc>
              <w:tc>
                <w:tcPr>
                  <w:tcW w:w="742" w:type="dxa"/>
                  <w:tcBorders>
                    <w:top w:val="single" w:color="auto" w:sz="4" w:space="0"/>
                    <w:left w:val="nil"/>
                    <w:bottom w:val="single" w:color="auto" w:sz="4" w:space="0"/>
                    <w:right w:val="single" w:color="auto" w:sz="4" w:space="0"/>
                  </w:tcBorders>
                  <w:shd w:val="clear" w:color="auto" w:fill="auto"/>
                  <w:vAlign w:val="center"/>
                </w:tcPr>
                <w:p w14:paraId="064469D9">
                  <w:pPr>
                    <w:adjustRightInd w:val="0"/>
                    <w:snapToGrid w:val="0"/>
                    <w:jc w:val="center"/>
                    <w:rPr>
                      <w:bCs/>
                      <w:strike w:val="0"/>
                      <w:dstrike w:val="0"/>
                      <w:color w:val="auto"/>
                      <w:spacing w:val="-10"/>
                      <w:szCs w:val="21"/>
                      <w:highlight w:val="none"/>
                    </w:rPr>
                  </w:pPr>
                  <w:r>
                    <w:rPr>
                      <w:strike w:val="0"/>
                      <w:dstrike w:val="0"/>
                      <w:color w:val="auto"/>
                      <w:szCs w:val="21"/>
                      <w:highlight w:val="none"/>
                    </w:rPr>
                    <w:t>HW08</w:t>
                  </w:r>
                </w:p>
              </w:tc>
              <w:tc>
                <w:tcPr>
                  <w:tcW w:w="738" w:type="dxa"/>
                  <w:tcBorders>
                    <w:top w:val="single" w:color="auto" w:sz="4" w:space="0"/>
                    <w:left w:val="nil"/>
                    <w:bottom w:val="single" w:color="auto" w:sz="4" w:space="0"/>
                    <w:right w:val="single" w:color="auto" w:sz="4" w:space="0"/>
                  </w:tcBorders>
                  <w:shd w:val="clear" w:color="auto" w:fill="auto"/>
                  <w:vAlign w:val="center"/>
                </w:tcPr>
                <w:p w14:paraId="651FDD95">
                  <w:pPr>
                    <w:adjustRightInd w:val="0"/>
                    <w:snapToGrid w:val="0"/>
                    <w:jc w:val="center"/>
                    <w:rPr>
                      <w:bCs/>
                      <w:strike w:val="0"/>
                      <w:dstrike w:val="0"/>
                      <w:color w:val="auto"/>
                      <w:spacing w:val="-10"/>
                      <w:szCs w:val="21"/>
                      <w:highlight w:val="none"/>
                    </w:rPr>
                  </w:pPr>
                  <w:r>
                    <w:rPr>
                      <w:strike w:val="0"/>
                      <w:dstrike w:val="0"/>
                      <w:color w:val="auto"/>
                      <w:szCs w:val="21"/>
                      <w:highlight w:val="none"/>
                    </w:rPr>
                    <w:t>900-249-08</w:t>
                  </w:r>
                </w:p>
              </w:tc>
              <w:tc>
                <w:tcPr>
                  <w:tcW w:w="625" w:type="dxa"/>
                  <w:tcBorders>
                    <w:top w:val="single" w:color="auto" w:sz="4" w:space="0"/>
                    <w:left w:val="nil"/>
                    <w:bottom w:val="single" w:color="auto" w:sz="4" w:space="0"/>
                    <w:right w:val="single" w:color="auto" w:sz="4" w:space="0"/>
                  </w:tcBorders>
                  <w:shd w:val="clear" w:color="auto" w:fill="auto"/>
                  <w:vAlign w:val="center"/>
                </w:tcPr>
                <w:p w14:paraId="49DB5711">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0.08</w:t>
                  </w:r>
                </w:p>
              </w:tc>
              <w:tc>
                <w:tcPr>
                  <w:tcW w:w="950" w:type="dxa"/>
                  <w:tcBorders>
                    <w:left w:val="nil"/>
                    <w:right w:val="single" w:color="auto" w:sz="4" w:space="0"/>
                  </w:tcBorders>
                  <w:shd w:val="clear" w:color="auto" w:fill="auto"/>
                  <w:vAlign w:val="center"/>
                </w:tcPr>
                <w:p w14:paraId="255BA19A">
                  <w:pPr>
                    <w:widowControl/>
                    <w:jc w:val="center"/>
                    <w:rPr>
                      <w:strike w:val="0"/>
                      <w:dstrike w:val="0"/>
                      <w:color w:val="auto"/>
                      <w:kern w:val="0"/>
                      <w:szCs w:val="21"/>
                      <w:highlight w:val="none"/>
                    </w:rPr>
                  </w:pPr>
                  <w:r>
                    <w:rPr>
                      <w:strike w:val="0"/>
                      <w:dstrike w:val="0"/>
                      <w:color w:val="auto"/>
                      <w:kern w:val="0"/>
                      <w:szCs w:val="21"/>
                      <w:highlight w:val="none"/>
                    </w:rPr>
                    <w:t>空压系统</w:t>
                  </w:r>
                </w:p>
              </w:tc>
              <w:tc>
                <w:tcPr>
                  <w:tcW w:w="712" w:type="dxa"/>
                  <w:tcBorders>
                    <w:top w:val="single" w:color="auto" w:sz="4" w:space="0"/>
                    <w:left w:val="nil"/>
                    <w:bottom w:val="single" w:color="auto" w:sz="4" w:space="0"/>
                    <w:right w:val="single" w:color="auto" w:sz="4" w:space="0"/>
                  </w:tcBorders>
                  <w:shd w:val="clear" w:color="auto" w:fill="auto"/>
                  <w:vAlign w:val="center"/>
                </w:tcPr>
                <w:p w14:paraId="2933F657">
                  <w:pPr>
                    <w:contextualSpacing/>
                    <w:jc w:val="center"/>
                    <w:rPr>
                      <w:strike w:val="0"/>
                      <w:dstrike w:val="0"/>
                      <w:color w:val="auto"/>
                      <w:szCs w:val="21"/>
                      <w:highlight w:val="none"/>
                    </w:rPr>
                  </w:pPr>
                  <w:r>
                    <w:rPr>
                      <w:strike w:val="0"/>
                      <w:dstrike w:val="0"/>
                      <w:color w:val="auto"/>
                      <w:szCs w:val="21"/>
                      <w:highlight w:val="none"/>
                    </w:rPr>
                    <w:t>液态</w:t>
                  </w:r>
                </w:p>
              </w:tc>
              <w:tc>
                <w:tcPr>
                  <w:tcW w:w="715" w:type="dxa"/>
                  <w:tcBorders>
                    <w:top w:val="single" w:color="auto" w:sz="4" w:space="0"/>
                    <w:left w:val="nil"/>
                    <w:bottom w:val="single" w:color="auto" w:sz="4" w:space="0"/>
                    <w:right w:val="single" w:color="auto" w:sz="4" w:space="0"/>
                  </w:tcBorders>
                  <w:shd w:val="clear" w:color="auto" w:fill="auto"/>
                  <w:vAlign w:val="center"/>
                </w:tcPr>
                <w:p w14:paraId="3CD65A12">
                  <w:pPr>
                    <w:contextualSpacing/>
                    <w:jc w:val="center"/>
                    <w:rPr>
                      <w:strike w:val="0"/>
                      <w:dstrike w:val="0"/>
                      <w:color w:val="auto"/>
                      <w:szCs w:val="21"/>
                      <w:highlight w:val="none"/>
                    </w:rPr>
                  </w:pPr>
                  <w:r>
                    <w:rPr>
                      <w:strike w:val="0"/>
                      <w:dstrike w:val="0"/>
                      <w:color w:val="auto"/>
                      <w:szCs w:val="21"/>
                      <w:highlight w:val="none"/>
                    </w:rPr>
                    <w:t>矿物油</w:t>
                  </w:r>
                </w:p>
              </w:tc>
              <w:tc>
                <w:tcPr>
                  <w:tcW w:w="831" w:type="dxa"/>
                  <w:tcBorders>
                    <w:top w:val="single" w:color="auto" w:sz="4" w:space="0"/>
                    <w:left w:val="nil"/>
                    <w:bottom w:val="single" w:color="auto" w:sz="4" w:space="0"/>
                    <w:right w:val="single" w:color="auto" w:sz="4" w:space="0"/>
                  </w:tcBorders>
                  <w:shd w:val="clear" w:color="auto" w:fill="auto"/>
                  <w:vAlign w:val="center"/>
                </w:tcPr>
                <w:p w14:paraId="030BFDDB">
                  <w:pPr>
                    <w:contextualSpacing/>
                    <w:jc w:val="center"/>
                    <w:rPr>
                      <w:strike w:val="0"/>
                      <w:dstrike w:val="0"/>
                      <w:color w:val="auto"/>
                      <w:szCs w:val="21"/>
                      <w:highlight w:val="none"/>
                    </w:rPr>
                  </w:pPr>
                  <w:r>
                    <w:rPr>
                      <w:strike w:val="0"/>
                      <w:dstrike w:val="0"/>
                      <w:color w:val="auto"/>
                      <w:szCs w:val="21"/>
                      <w:highlight w:val="none"/>
                    </w:rPr>
                    <w:t>矿物油</w:t>
                  </w:r>
                </w:p>
              </w:tc>
              <w:tc>
                <w:tcPr>
                  <w:tcW w:w="611" w:type="dxa"/>
                  <w:tcBorders>
                    <w:top w:val="single" w:color="auto" w:sz="4" w:space="0"/>
                    <w:left w:val="nil"/>
                    <w:bottom w:val="single" w:color="auto" w:sz="4" w:space="0"/>
                    <w:right w:val="single" w:color="auto" w:sz="4" w:space="0"/>
                  </w:tcBorders>
                  <w:shd w:val="clear" w:color="auto" w:fill="auto"/>
                  <w:vAlign w:val="center"/>
                </w:tcPr>
                <w:p w14:paraId="45F1221E">
                  <w:pPr>
                    <w:contextualSpacing/>
                    <w:jc w:val="center"/>
                    <w:rPr>
                      <w:strike w:val="0"/>
                      <w:dstrike w:val="0"/>
                      <w:color w:val="auto"/>
                      <w:szCs w:val="21"/>
                      <w:highlight w:val="none"/>
                    </w:rPr>
                  </w:pPr>
                  <w:r>
                    <w:rPr>
                      <w:strike w:val="0"/>
                      <w:dstrike w:val="0"/>
                      <w:color w:val="auto"/>
                      <w:szCs w:val="21"/>
                      <w:highlight w:val="none"/>
                    </w:rPr>
                    <w:t>1年</w:t>
                  </w:r>
                </w:p>
              </w:tc>
              <w:tc>
                <w:tcPr>
                  <w:tcW w:w="450" w:type="dxa"/>
                  <w:tcBorders>
                    <w:top w:val="single" w:color="auto" w:sz="4" w:space="0"/>
                    <w:left w:val="nil"/>
                    <w:bottom w:val="single" w:color="auto" w:sz="4" w:space="0"/>
                    <w:right w:val="single" w:color="auto" w:sz="4" w:space="0"/>
                  </w:tcBorders>
                  <w:shd w:val="clear" w:color="auto" w:fill="auto"/>
                  <w:vAlign w:val="center"/>
                </w:tcPr>
                <w:p w14:paraId="6C355428">
                  <w:pPr>
                    <w:contextualSpacing/>
                    <w:jc w:val="center"/>
                    <w:rPr>
                      <w:strike w:val="0"/>
                      <w:dstrike w:val="0"/>
                      <w:color w:val="auto"/>
                      <w:szCs w:val="21"/>
                      <w:highlight w:val="none"/>
                    </w:rPr>
                  </w:pPr>
                  <w:r>
                    <w:rPr>
                      <w:strike w:val="0"/>
                      <w:dstrike w:val="0"/>
                      <w:color w:val="auto"/>
                      <w:szCs w:val="21"/>
                      <w:highlight w:val="none"/>
                    </w:rPr>
                    <w:t>T，I</w:t>
                  </w:r>
                </w:p>
              </w:tc>
              <w:tc>
                <w:tcPr>
                  <w:tcW w:w="671" w:type="dxa"/>
                  <w:vMerge w:val="continue"/>
                  <w:tcBorders>
                    <w:left w:val="nil"/>
                    <w:right w:val="single" w:color="auto" w:sz="4" w:space="0"/>
                  </w:tcBorders>
                  <w:vAlign w:val="center"/>
                </w:tcPr>
                <w:p w14:paraId="7FB87881">
                  <w:pPr>
                    <w:contextualSpacing/>
                    <w:jc w:val="center"/>
                    <w:rPr>
                      <w:strike w:val="0"/>
                      <w:dstrike w:val="0"/>
                      <w:color w:val="auto"/>
                      <w:szCs w:val="21"/>
                      <w:highlight w:val="none"/>
                    </w:rPr>
                  </w:pPr>
                </w:p>
              </w:tc>
            </w:tr>
            <w:tr w14:paraId="6723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14:paraId="137724EA">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6</w:t>
                  </w:r>
                </w:p>
              </w:tc>
              <w:tc>
                <w:tcPr>
                  <w:tcW w:w="885" w:type="dxa"/>
                  <w:tcBorders>
                    <w:top w:val="single" w:color="auto" w:sz="4" w:space="0"/>
                    <w:left w:val="nil"/>
                    <w:bottom w:val="single" w:color="auto" w:sz="4" w:space="0"/>
                    <w:right w:val="single" w:color="auto" w:sz="4" w:space="0"/>
                  </w:tcBorders>
                  <w:shd w:val="clear" w:color="auto" w:fill="auto"/>
                  <w:vAlign w:val="center"/>
                </w:tcPr>
                <w:p w14:paraId="152B3BB5">
                  <w:pPr>
                    <w:widowControl/>
                    <w:jc w:val="center"/>
                    <w:rPr>
                      <w:strike w:val="0"/>
                      <w:dstrike w:val="0"/>
                      <w:color w:val="auto"/>
                      <w:kern w:val="0"/>
                      <w:szCs w:val="21"/>
                      <w:highlight w:val="none"/>
                    </w:rPr>
                  </w:pPr>
                  <w:r>
                    <w:rPr>
                      <w:rFonts w:hint="eastAsia"/>
                      <w:strike w:val="0"/>
                      <w:dstrike w:val="0"/>
                      <w:color w:val="auto"/>
                      <w:kern w:val="0"/>
                      <w:szCs w:val="21"/>
                      <w:highlight w:val="none"/>
                    </w:rPr>
                    <w:t>废油桶</w:t>
                  </w:r>
                </w:p>
              </w:tc>
              <w:tc>
                <w:tcPr>
                  <w:tcW w:w="742" w:type="dxa"/>
                  <w:tcBorders>
                    <w:top w:val="single" w:color="auto" w:sz="4" w:space="0"/>
                    <w:left w:val="nil"/>
                    <w:bottom w:val="single" w:color="auto" w:sz="4" w:space="0"/>
                    <w:right w:val="single" w:color="auto" w:sz="4" w:space="0"/>
                  </w:tcBorders>
                  <w:shd w:val="clear" w:color="auto" w:fill="auto"/>
                  <w:vAlign w:val="center"/>
                </w:tcPr>
                <w:p w14:paraId="355FF459">
                  <w:pPr>
                    <w:adjustRightInd w:val="0"/>
                    <w:snapToGrid w:val="0"/>
                    <w:jc w:val="center"/>
                    <w:rPr>
                      <w:bCs/>
                      <w:strike w:val="0"/>
                      <w:dstrike w:val="0"/>
                      <w:color w:val="auto"/>
                      <w:spacing w:val="-10"/>
                      <w:szCs w:val="21"/>
                      <w:highlight w:val="none"/>
                    </w:rPr>
                  </w:pPr>
                  <w:r>
                    <w:rPr>
                      <w:strike w:val="0"/>
                      <w:dstrike w:val="0"/>
                      <w:color w:val="auto"/>
                      <w:szCs w:val="21"/>
                      <w:highlight w:val="none"/>
                    </w:rPr>
                    <w:t>HW08</w:t>
                  </w:r>
                </w:p>
              </w:tc>
              <w:tc>
                <w:tcPr>
                  <w:tcW w:w="738" w:type="dxa"/>
                  <w:tcBorders>
                    <w:top w:val="single" w:color="auto" w:sz="4" w:space="0"/>
                    <w:left w:val="nil"/>
                    <w:bottom w:val="single" w:color="auto" w:sz="4" w:space="0"/>
                    <w:right w:val="single" w:color="auto" w:sz="4" w:space="0"/>
                  </w:tcBorders>
                  <w:shd w:val="clear" w:color="auto" w:fill="auto"/>
                  <w:vAlign w:val="center"/>
                </w:tcPr>
                <w:p w14:paraId="16461E4B">
                  <w:pPr>
                    <w:adjustRightInd w:val="0"/>
                    <w:snapToGrid w:val="0"/>
                    <w:jc w:val="center"/>
                    <w:rPr>
                      <w:bCs/>
                      <w:strike w:val="0"/>
                      <w:dstrike w:val="0"/>
                      <w:color w:val="auto"/>
                      <w:spacing w:val="-10"/>
                      <w:szCs w:val="21"/>
                      <w:highlight w:val="none"/>
                    </w:rPr>
                  </w:pPr>
                  <w:r>
                    <w:rPr>
                      <w:strike w:val="0"/>
                      <w:dstrike w:val="0"/>
                      <w:color w:val="auto"/>
                      <w:szCs w:val="21"/>
                      <w:highlight w:val="none"/>
                    </w:rPr>
                    <w:t>900-249-08</w:t>
                  </w:r>
                </w:p>
              </w:tc>
              <w:tc>
                <w:tcPr>
                  <w:tcW w:w="625" w:type="dxa"/>
                  <w:tcBorders>
                    <w:top w:val="single" w:color="auto" w:sz="4" w:space="0"/>
                    <w:left w:val="nil"/>
                    <w:bottom w:val="single" w:color="auto" w:sz="4" w:space="0"/>
                    <w:right w:val="single" w:color="auto" w:sz="4" w:space="0"/>
                  </w:tcBorders>
                  <w:shd w:val="clear" w:color="auto" w:fill="auto"/>
                  <w:vAlign w:val="center"/>
                </w:tcPr>
                <w:p w14:paraId="034DCD67">
                  <w:pPr>
                    <w:adjustRightInd w:val="0"/>
                    <w:snapToGrid w:val="0"/>
                    <w:jc w:val="center"/>
                    <w:rPr>
                      <w:bCs/>
                      <w:strike w:val="0"/>
                      <w:dstrike w:val="0"/>
                      <w:color w:val="auto"/>
                      <w:spacing w:val="-10"/>
                      <w:szCs w:val="21"/>
                      <w:highlight w:val="none"/>
                    </w:rPr>
                  </w:pPr>
                  <w:r>
                    <w:rPr>
                      <w:rFonts w:hint="eastAsia"/>
                      <w:bCs/>
                      <w:strike w:val="0"/>
                      <w:dstrike w:val="0"/>
                      <w:color w:val="auto"/>
                      <w:spacing w:val="-10"/>
                      <w:szCs w:val="21"/>
                      <w:highlight w:val="none"/>
                    </w:rPr>
                    <w:t>0.002</w:t>
                  </w:r>
                </w:p>
              </w:tc>
              <w:tc>
                <w:tcPr>
                  <w:tcW w:w="950" w:type="dxa"/>
                  <w:tcBorders>
                    <w:left w:val="nil"/>
                    <w:right w:val="single" w:color="auto" w:sz="4" w:space="0"/>
                  </w:tcBorders>
                  <w:shd w:val="clear" w:color="auto" w:fill="auto"/>
                  <w:vAlign w:val="center"/>
                </w:tcPr>
                <w:p w14:paraId="7BAF2CBC">
                  <w:pPr>
                    <w:widowControl/>
                    <w:jc w:val="center"/>
                    <w:rPr>
                      <w:strike w:val="0"/>
                      <w:dstrike w:val="0"/>
                      <w:color w:val="auto"/>
                      <w:kern w:val="0"/>
                      <w:szCs w:val="21"/>
                      <w:highlight w:val="none"/>
                    </w:rPr>
                  </w:pPr>
                  <w:r>
                    <w:rPr>
                      <w:strike w:val="0"/>
                      <w:dstrike w:val="0"/>
                      <w:color w:val="auto"/>
                      <w:kern w:val="0"/>
                      <w:szCs w:val="21"/>
                      <w:highlight w:val="none"/>
                    </w:rPr>
                    <w:t>空压系统</w:t>
                  </w:r>
                </w:p>
              </w:tc>
              <w:tc>
                <w:tcPr>
                  <w:tcW w:w="712" w:type="dxa"/>
                  <w:tcBorders>
                    <w:top w:val="single" w:color="auto" w:sz="4" w:space="0"/>
                    <w:left w:val="nil"/>
                    <w:bottom w:val="single" w:color="auto" w:sz="4" w:space="0"/>
                    <w:right w:val="single" w:color="auto" w:sz="4" w:space="0"/>
                  </w:tcBorders>
                  <w:shd w:val="clear" w:color="auto" w:fill="auto"/>
                  <w:vAlign w:val="center"/>
                </w:tcPr>
                <w:p w14:paraId="18614AFA">
                  <w:pPr>
                    <w:contextualSpacing/>
                    <w:jc w:val="center"/>
                    <w:rPr>
                      <w:strike w:val="0"/>
                      <w:dstrike w:val="0"/>
                      <w:color w:val="auto"/>
                      <w:szCs w:val="21"/>
                      <w:highlight w:val="none"/>
                    </w:rPr>
                  </w:pPr>
                  <w:r>
                    <w:rPr>
                      <w:rFonts w:hint="eastAsia"/>
                      <w:strike w:val="0"/>
                      <w:dstrike w:val="0"/>
                      <w:color w:val="auto"/>
                      <w:szCs w:val="21"/>
                      <w:highlight w:val="none"/>
                    </w:rPr>
                    <w:t>固态</w:t>
                  </w:r>
                </w:p>
              </w:tc>
              <w:tc>
                <w:tcPr>
                  <w:tcW w:w="715" w:type="dxa"/>
                  <w:tcBorders>
                    <w:top w:val="single" w:color="auto" w:sz="4" w:space="0"/>
                    <w:left w:val="nil"/>
                    <w:bottom w:val="single" w:color="auto" w:sz="4" w:space="0"/>
                    <w:right w:val="single" w:color="auto" w:sz="4" w:space="0"/>
                  </w:tcBorders>
                  <w:shd w:val="clear" w:color="auto" w:fill="auto"/>
                  <w:vAlign w:val="center"/>
                </w:tcPr>
                <w:p w14:paraId="3469C036">
                  <w:pPr>
                    <w:contextualSpacing/>
                    <w:jc w:val="center"/>
                    <w:rPr>
                      <w:strike w:val="0"/>
                      <w:dstrike w:val="0"/>
                      <w:color w:val="auto"/>
                      <w:szCs w:val="21"/>
                      <w:highlight w:val="none"/>
                    </w:rPr>
                  </w:pPr>
                  <w:r>
                    <w:rPr>
                      <w:strike w:val="0"/>
                      <w:dstrike w:val="0"/>
                      <w:color w:val="auto"/>
                      <w:szCs w:val="21"/>
                      <w:highlight w:val="none"/>
                    </w:rPr>
                    <w:t>矿物油</w:t>
                  </w:r>
                </w:p>
              </w:tc>
              <w:tc>
                <w:tcPr>
                  <w:tcW w:w="831" w:type="dxa"/>
                  <w:tcBorders>
                    <w:top w:val="single" w:color="auto" w:sz="4" w:space="0"/>
                    <w:left w:val="nil"/>
                    <w:bottom w:val="single" w:color="auto" w:sz="4" w:space="0"/>
                    <w:right w:val="single" w:color="auto" w:sz="4" w:space="0"/>
                  </w:tcBorders>
                  <w:shd w:val="clear" w:color="auto" w:fill="auto"/>
                  <w:vAlign w:val="center"/>
                </w:tcPr>
                <w:p w14:paraId="6828DA1F">
                  <w:pPr>
                    <w:contextualSpacing/>
                    <w:jc w:val="center"/>
                    <w:rPr>
                      <w:strike w:val="0"/>
                      <w:dstrike w:val="0"/>
                      <w:color w:val="auto"/>
                      <w:szCs w:val="21"/>
                      <w:highlight w:val="none"/>
                    </w:rPr>
                  </w:pPr>
                  <w:r>
                    <w:rPr>
                      <w:strike w:val="0"/>
                      <w:dstrike w:val="0"/>
                      <w:color w:val="auto"/>
                      <w:szCs w:val="21"/>
                      <w:highlight w:val="none"/>
                    </w:rPr>
                    <w:t>矿物油</w:t>
                  </w:r>
                </w:p>
              </w:tc>
              <w:tc>
                <w:tcPr>
                  <w:tcW w:w="611" w:type="dxa"/>
                  <w:tcBorders>
                    <w:top w:val="single" w:color="auto" w:sz="4" w:space="0"/>
                    <w:left w:val="nil"/>
                    <w:bottom w:val="single" w:color="auto" w:sz="4" w:space="0"/>
                    <w:right w:val="single" w:color="auto" w:sz="4" w:space="0"/>
                  </w:tcBorders>
                  <w:shd w:val="clear" w:color="auto" w:fill="auto"/>
                  <w:vAlign w:val="center"/>
                </w:tcPr>
                <w:p w14:paraId="5FF69C42">
                  <w:pPr>
                    <w:contextualSpacing/>
                    <w:jc w:val="center"/>
                    <w:rPr>
                      <w:strike w:val="0"/>
                      <w:dstrike w:val="0"/>
                      <w:color w:val="auto"/>
                      <w:szCs w:val="21"/>
                      <w:highlight w:val="none"/>
                    </w:rPr>
                  </w:pPr>
                  <w:r>
                    <w:rPr>
                      <w:strike w:val="0"/>
                      <w:dstrike w:val="0"/>
                      <w:color w:val="auto"/>
                      <w:szCs w:val="21"/>
                      <w:highlight w:val="none"/>
                    </w:rPr>
                    <w:t>1年</w:t>
                  </w:r>
                </w:p>
              </w:tc>
              <w:tc>
                <w:tcPr>
                  <w:tcW w:w="450" w:type="dxa"/>
                  <w:tcBorders>
                    <w:top w:val="single" w:color="auto" w:sz="4" w:space="0"/>
                    <w:left w:val="nil"/>
                    <w:bottom w:val="single" w:color="auto" w:sz="4" w:space="0"/>
                    <w:right w:val="single" w:color="auto" w:sz="4" w:space="0"/>
                  </w:tcBorders>
                  <w:shd w:val="clear" w:color="auto" w:fill="auto"/>
                  <w:vAlign w:val="center"/>
                </w:tcPr>
                <w:p w14:paraId="3E9B8634">
                  <w:pPr>
                    <w:contextualSpacing/>
                    <w:jc w:val="center"/>
                    <w:rPr>
                      <w:strike w:val="0"/>
                      <w:dstrike w:val="0"/>
                      <w:color w:val="auto"/>
                      <w:szCs w:val="21"/>
                      <w:highlight w:val="none"/>
                    </w:rPr>
                  </w:pPr>
                  <w:r>
                    <w:rPr>
                      <w:strike w:val="0"/>
                      <w:dstrike w:val="0"/>
                      <w:color w:val="auto"/>
                      <w:szCs w:val="21"/>
                      <w:highlight w:val="none"/>
                    </w:rPr>
                    <w:t>T，I</w:t>
                  </w:r>
                </w:p>
              </w:tc>
              <w:tc>
                <w:tcPr>
                  <w:tcW w:w="671" w:type="dxa"/>
                  <w:vMerge w:val="continue"/>
                  <w:tcBorders>
                    <w:left w:val="nil"/>
                    <w:right w:val="single" w:color="auto" w:sz="4" w:space="0"/>
                  </w:tcBorders>
                  <w:vAlign w:val="center"/>
                </w:tcPr>
                <w:p w14:paraId="69C17EE2">
                  <w:pPr>
                    <w:contextualSpacing/>
                    <w:jc w:val="center"/>
                    <w:rPr>
                      <w:strike w:val="0"/>
                      <w:dstrike w:val="0"/>
                      <w:color w:val="auto"/>
                      <w:szCs w:val="21"/>
                      <w:highlight w:val="none"/>
                    </w:rPr>
                  </w:pPr>
                </w:p>
              </w:tc>
            </w:tr>
            <w:tr w14:paraId="7499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dxa"/>
                  <w:shd w:val="clear" w:color="auto" w:fill="auto"/>
                  <w:vAlign w:val="center"/>
                </w:tcPr>
                <w:p w14:paraId="274AB548">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7</w:t>
                  </w:r>
                </w:p>
              </w:tc>
              <w:tc>
                <w:tcPr>
                  <w:tcW w:w="885" w:type="dxa"/>
                  <w:shd w:val="clear" w:color="auto" w:fill="auto"/>
                  <w:vAlign w:val="center"/>
                </w:tcPr>
                <w:p w14:paraId="356E850E">
                  <w:pPr>
                    <w:widowControl/>
                    <w:jc w:val="center"/>
                    <w:rPr>
                      <w:strike w:val="0"/>
                      <w:dstrike w:val="0"/>
                      <w:color w:val="auto"/>
                      <w:kern w:val="0"/>
                      <w:szCs w:val="21"/>
                      <w:highlight w:val="none"/>
                    </w:rPr>
                  </w:pPr>
                  <w:r>
                    <w:rPr>
                      <w:strike w:val="0"/>
                      <w:dstrike w:val="0"/>
                      <w:color w:val="auto"/>
                      <w:kern w:val="0"/>
                      <w:szCs w:val="21"/>
                      <w:highlight w:val="none"/>
                    </w:rPr>
                    <w:t>含油污泥</w:t>
                  </w:r>
                </w:p>
              </w:tc>
              <w:tc>
                <w:tcPr>
                  <w:tcW w:w="742" w:type="dxa"/>
                  <w:shd w:val="clear" w:color="auto" w:fill="auto"/>
                  <w:vAlign w:val="center"/>
                </w:tcPr>
                <w:p w14:paraId="7B09A67F">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HW08</w:t>
                  </w:r>
                </w:p>
              </w:tc>
              <w:tc>
                <w:tcPr>
                  <w:tcW w:w="738" w:type="dxa"/>
                  <w:shd w:val="clear" w:color="auto" w:fill="auto"/>
                  <w:vAlign w:val="center"/>
                </w:tcPr>
                <w:p w14:paraId="3E831E50">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900-210-08</w:t>
                  </w:r>
                </w:p>
              </w:tc>
              <w:tc>
                <w:tcPr>
                  <w:tcW w:w="625" w:type="dxa"/>
                  <w:shd w:val="clear" w:color="auto" w:fill="auto"/>
                  <w:vAlign w:val="center"/>
                </w:tcPr>
                <w:p w14:paraId="72395B26">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0.05</w:t>
                  </w:r>
                </w:p>
              </w:tc>
              <w:tc>
                <w:tcPr>
                  <w:tcW w:w="950" w:type="dxa"/>
                  <w:tcBorders>
                    <w:left w:val="nil"/>
                    <w:right w:val="single" w:color="auto" w:sz="4" w:space="0"/>
                  </w:tcBorders>
                  <w:shd w:val="clear" w:color="auto" w:fill="auto"/>
                  <w:vAlign w:val="center"/>
                </w:tcPr>
                <w:p w14:paraId="3CCEF008">
                  <w:pPr>
                    <w:pStyle w:val="46"/>
                    <w:widowControl/>
                    <w:jc w:val="center"/>
                    <w:rPr>
                      <w:strike w:val="0"/>
                      <w:dstrike w:val="0"/>
                      <w:color w:val="auto"/>
                      <w:kern w:val="0"/>
                      <w:sz w:val="21"/>
                      <w:szCs w:val="21"/>
                      <w:highlight w:val="none"/>
                    </w:rPr>
                  </w:pPr>
                  <w:r>
                    <w:rPr>
                      <w:strike w:val="0"/>
                      <w:dstrike w:val="0"/>
                      <w:color w:val="auto"/>
                      <w:kern w:val="0"/>
                      <w:sz w:val="21"/>
                      <w:szCs w:val="21"/>
                      <w:highlight w:val="none"/>
                    </w:rPr>
                    <w:t>废水处理设施</w:t>
                  </w:r>
                </w:p>
              </w:tc>
              <w:tc>
                <w:tcPr>
                  <w:tcW w:w="712" w:type="dxa"/>
                  <w:shd w:val="clear" w:color="auto" w:fill="auto"/>
                  <w:vAlign w:val="center"/>
                </w:tcPr>
                <w:p w14:paraId="3101BCA3">
                  <w:pPr>
                    <w:topLinePunct/>
                    <w:spacing w:line="320" w:lineRule="exact"/>
                    <w:jc w:val="center"/>
                    <w:rPr>
                      <w:strike w:val="0"/>
                      <w:dstrike w:val="0"/>
                      <w:color w:val="auto"/>
                      <w:szCs w:val="21"/>
                      <w:highlight w:val="none"/>
                    </w:rPr>
                  </w:pPr>
                  <w:r>
                    <w:rPr>
                      <w:strike w:val="0"/>
                      <w:dstrike w:val="0"/>
                      <w:color w:val="auto"/>
                      <w:szCs w:val="21"/>
                      <w:highlight w:val="none"/>
                    </w:rPr>
                    <w:t>液、固态</w:t>
                  </w:r>
                </w:p>
              </w:tc>
              <w:tc>
                <w:tcPr>
                  <w:tcW w:w="715" w:type="dxa"/>
                  <w:shd w:val="clear" w:color="auto" w:fill="auto"/>
                  <w:vAlign w:val="center"/>
                </w:tcPr>
                <w:p w14:paraId="24F47991">
                  <w:pPr>
                    <w:contextualSpacing/>
                    <w:jc w:val="center"/>
                    <w:rPr>
                      <w:strike w:val="0"/>
                      <w:dstrike w:val="0"/>
                      <w:color w:val="auto"/>
                      <w:szCs w:val="21"/>
                      <w:highlight w:val="none"/>
                    </w:rPr>
                  </w:pPr>
                  <w:r>
                    <w:rPr>
                      <w:strike w:val="0"/>
                      <w:dstrike w:val="0"/>
                      <w:color w:val="auto"/>
                      <w:szCs w:val="21"/>
                      <w:highlight w:val="none"/>
                    </w:rPr>
                    <w:t>矿物油</w:t>
                  </w:r>
                </w:p>
              </w:tc>
              <w:tc>
                <w:tcPr>
                  <w:tcW w:w="831" w:type="dxa"/>
                  <w:shd w:val="clear" w:color="auto" w:fill="auto"/>
                  <w:vAlign w:val="center"/>
                </w:tcPr>
                <w:p w14:paraId="1B04BCD9">
                  <w:pPr>
                    <w:contextualSpacing/>
                    <w:jc w:val="center"/>
                    <w:rPr>
                      <w:strike w:val="0"/>
                      <w:dstrike w:val="0"/>
                      <w:color w:val="auto"/>
                      <w:szCs w:val="21"/>
                      <w:highlight w:val="none"/>
                    </w:rPr>
                  </w:pPr>
                  <w:r>
                    <w:rPr>
                      <w:strike w:val="0"/>
                      <w:dstrike w:val="0"/>
                      <w:color w:val="auto"/>
                      <w:szCs w:val="21"/>
                      <w:highlight w:val="none"/>
                    </w:rPr>
                    <w:t>矿物油</w:t>
                  </w:r>
                </w:p>
              </w:tc>
              <w:tc>
                <w:tcPr>
                  <w:tcW w:w="611" w:type="dxa"/>
                  <w:shd w:val="clear" w:color="auto" w:fill="auto"/>
                  <w:vAlign w:val="center"/>
                </w:tcPr>
                <w:p w14:paraId="4647E98A">
                  <w:pPr>
                    <w:contextualSpacing/>
                    <w:jc w:val="center"/>
                    <w:rPr>
                      <w:strike w:val="0"/>
                      <w:dstrike w:val="0"/>
                      <w:color w:val="auto"/>
                      <w:szCs w:val="21"/>
                      <w:highlight w:val="none"/>
                    </w:rPr>
                  </w:pPr>
                  <w:r>
                    <w:rPr>
                      <w:strike w:val="0"/>
                      <w:dstrike w:val="0"/>
                      <w:color w:val="auto"/>
                      <w:szCs w:val="21"/>
                      <w:highlight w:val="none"/>
                    </w:rPr>
                    <w:t>半年</w:t>
                  </w:r>
                </w:p>
              </w:tc>
              <w:tc>
                <w:tcPr>
                  <w:tcW w:w="450" w:type="dxa"/>
                  <w:shd w:val="clear" w:color="auto" w:fill="auto"/>
                  <w:vAlign w:val="center"/>
                </w:tcPr>
                <w:p w14:paraId="7869970B">
                  <w:pPr>
                    <w:contextualSpacing/>
                    <w:jc w:val="center"/>
                    <w:rPr>
                      <w:strike w:val="0"/>
                      <w:dstrike w:val="0"/>
                      <w:color w:val="auto"/>
                      <w:szCs w:val="21"/>
                      <w:highlight w:val="none"/>
                    </w:rPr>
                  </w:pPr>
                  <w:r>
                    <w:rPr>
                      <w:strike w:val="0"/>
                      <w:dstrike w:val="0"/>
                      <w:color w:val="auto"/>
                      <w:szCs w:val="21"/>
                      <w:highlight w:val="none"/>
                    </w:rPr>
                    <w:t>T，I</w:t>
                  </w:r>
                </w:p>
              </w:tc>
              <w:tc>
                <w:tcPr>
                  <w:tcW w:w="671" w:type="dxa"/>
                  <w:vMerge w:val="continue"/>
                  <w:tcBorders>
                    <w:left w:val="nil"/>
                    <w:right w:val="single" w:color="auto" w:sz="4" w:space="0"/>
                  </w:tcBorders>
                  <w:vAlign w:val="center"/>
                </w:tcPr>
                <w:p w14:paraId="0941DA55">
                  <w:pPr>
                    <w:contextualSpacing/>
                    <w:jc w:val="center"/>
                    <w:rPr>
                      <w:strike w:val="0"/>
                      <w:dstrike w:val="0"/>
                      <w:color w:val="auto"/>
                      <w:szCs w:val="21"/>
                      <w:highlight w:val="none"/>
                    </w:rPr>
                  </w:pPr>
                </w:p>
              </w:tc>
            </w:tr>
            <w:tr w14:paraId="5D64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427" w:type="dxa"/>
                  <w:vAlign w:val="center"/>
                </w:tcPr>
                <w:p w14:paraId="3182A293">
                  <w:pPr>
                    <w:contextualSpacing/>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8</w:t>
                  </w:r>
                </w:p>
              </w:tc>
              <w:tc>
                <w:tcPr>
                  <w:tcW w:w="885" w:type="dxa"/>
                  <w:shd w:val="clear" w:color="auto" w:fill="auto"/>
                  <w:vAlign w:val="center"/>
                </w:tcPr>
                <w:p w14:paraId="1B515FF5">
                  <w:pPr>
                    <w:widowControl/>
                    <w:jc w:val="center"/>
                    <w:rPr>
                      <w:strike w:val="0"/>
                      <w:dstrike w:val="0"/>
                      <w:color w:val="auto"/>
                      <w:kern w:val="0"/>
                      <w:szCs w:val="21"/>
                      <w:highlight w:val="none"/>
                    </w:rPr>
                  </w:pPr>
                  <w:r>
                    <w:rPr>
                      <w:strike w:val="0"/>
                      <w:dstrike w:val="0"/>
                      <w:color w:val="auto"/>
                      <w:kern w:val="0"/>
                      <w:szCs w:val="21"/>
                      <w:highlight w:val="none"/>
                    </w:rPr>
                    <w:t>含油棉纱手套</w:t>
                  </w:r>
                </w:p>
              </w:tc>
              <w:tc>
                <w:tcPr>
                  <w:tcW w:w="742" w:type="dxa"/>
                  <w:shd w:val="clear" w:color="auto" w:fill="auto"/>
                  <w:vAlign w:val="center"/>
                </w:tcPr>
                <w:p w14:paraId="7844FB9F">
                  <w:pPr>
                    <w:adjustRightInd w:val="0"/>
                    <w:snapToGrid w:val="0"/>
                    <w:jc w:val="center"/>
                    <w:rPr>
                      <w:strike w:val="0"/>
                      <w:dstrike w:val="0"/>
                      <w:color w:val="auto"/>
                      <w:kern w:val="0"/>
                      <w:szCs w:val="21"/>
                      <w:highlight w:val="none"/>
                    </w:rPr>
                  </w:pPr>
                  <w:r>
                    <w:rPr>
                      <w:strike w:val="0"/>
                      <w:dstrike w:val="0"/>
                      <w:color w:val="auto"/>
                      <w:szCs w:val="21"/>
                      <w:highlight w:val="none"/>
                    </w:rPr>
                    <w:t>HW49</w:t>
                  </w:r>
                </w:p>
              </w:tc>
              <w:tc>
                <w:tcPr>
                  <w:tcW w:w="738" w:type="dxa"/>
                  <w:shd w:val="clear" w:color="auto" w:fill="auto"/>
                  <w:vAlign w:val="center"/>
                </w:tcPr>
                <w:p w14:paraId="1CC72416">
                  <w:pPr>
                    <w:adjustRightInd w:val="0"/>
                    <w:snapToGrid w:val="0"/>
                    <w:jc w:val="center"/>
                    <w:rPr>
                      <w:strike w:val="0"/>
                      <w:dstrike w:val="0"/>
                      <w:color w:val="auto"/>
                      <w:kern w:val="0"/>
                      <w:szCs w:val="21"/>
                      <w:highlight w:val="none"/>
                    </w:rPr>
                  </w:pPr>
                  <w:r>
                    <w:rPr>
                      <w:strike w:val="0"/>
                      <w:dstrike w:val="0"/>
                      <w:color w:val="auto"/>
                      <w:szCs w:val="21"/>
                      <w:highlight w:val="none"/>
                    </w:rPr>
                    <w:t>900-041-49</w:t>
                  </w:r>
                </w:p>
              </w:tc>
              <w:tc>
                <w:tcPr>
                  <w:tcW w:w="625" w:type="dxa"/>
                  <w:shd w:val="clear" w:color="auto" w:fill="auto"/>
                  <w:vAlign w:val="center"/>
                </w:tcPr>
                <w:p w14:paraId="069261E4">
                  <w:pPr>
                    <w:adjustRightInd w:val="0"/>
                    <w:snapToGrid w:val="0"/>
                    <w:jc w:val="center"/>
                    <w:rPr>
                      <w:strike w:val="0"/>
                      <w:dstrike w:val="0"/>
                      <w:color w:val="auto"/>
                      <w:szCs w:val="21"/>
                      <w:highlight w:val="none"/>
                    </w:rPr>
                  </w:pPr>
                  <w:r>
                    <w:rPr>
                      <w:strike w:val="0"/>
                      <w:dstrike w:val="0"/>
                      <w:color w:val="auto"/>
                      <w:szCs w:val="21"/>
                      <w:highlight w:val="none"/>
                    </w:rPr>
                    <w:t>0.02</w:t>
                  </w:r>
                </w:p>
              </w:tc>
              <w:tc>
                <w:tcPr>
                  <w:tcW w:w="950" w:type="dxa"/>
                  <w:tcBorders>
                    <w:left w:val="nil"/>
                    <w:right w:val="single" w:color="auto" w:sz="4" w:space="0"/>
                  </w:tcBorders>
                  <w:shd w:val="clear" w:color="auto" w:fill="auto"/>
                  <w:vAlign w:val="center"/>
                </w:tcPr>
                <w:p w14:paraId="49C97FB4">
                  <w:pPr>
                    <w:widowControl/>
                    <w:jc w:val="center"/>
                    <w:rPr>
                      <w:strike w:val="0"/>
                      <w:dstrike w:val="0"/>
                      <w:color w:val="auto"/>
                      <w:kern w:val="0"/>
                      <w:szCs w:val="21"/>
                      <w:highlight w:val="none"/>
                    </w:rPr>
                  </w:pPr>
                  <w:r>
                    <w:rPr>
                      <w:strike w:val="0"/>
                      <w:dstrike w:val="0"/>
                      <w:color w:val="auto"/>
                      <w:kern w:val="0"/>
                      <w:szCs w:val="21"/>
                      <w:highlight w:val="none"/>
                    </w:rPr>
                    <w:t>设备维修</w:t>
                  </w:r>
                </w:p>
              </w:tc>
              <w:tc>
                <w:tcPr>
                  <w:tcW w:w="712" w:type="dxa"/>
                  <w:shd w:val="clear" w:color="auto" w:fill="auto"/>
                  <w:vAlign w:val="center"/>
                </w:tcPr>
                <w:p w14:paraId="402D6AE1">
                  <w:pPr>
                    <w:topLinePunct/>
                    <w:spacing w:line="320" w:lineRule="exact"/>
                    <w:jc w:val="center"/>
                    <w:rPr>
                      <w:strike w:val="0"/>
                      <w:dstrike w:val="0"/>
                      <w:color w:val="auto"/>
                      <w:szCs w:val="21"/>
                      <w:highlight w:val="none"/>
                    </w:rPr>
                  </w:pPr>
                  <w:r>
                    <w:rPr>
                      <w:strike w:val="0"/>
                      <w:dstrike w:val="0"/>
                      <w:color w:val="auto"/>
                      <w:szCs w:val="21"/>
                      <w:highlight w:val="none"/>
                    </w:rPr>
                    <w:t>固态</w:t>
                  </w:r>
                </w:p>
              </w:tc>
              <w:tc>
                <w:tcPr>
                  <w:tcW w:w="715" w:type="dxa"/>
                  <w:shd w:val="clear" w:color="auto" w:fill="auto"/>
                  <w:vAlign w:val="center"/>
                </w:tcPr>
                <w:p w14:paraId="1EDCF470">
                  <w:pPr>
                    <w:contextualSpacing/>
                    <w:jc w:val="center"/>
                    <w:rPr>
                      <w:strike w:val="0"/>
                      <w:dstrike w:val="0"/>
                      <w:color w:val="auto"/>
                      <w:szCs w:val="21"/>
                      <w:highlight w:val="none"/>
                    </w:rPr>
                  </w:pPr>
                  <w:r>
                    <w:rPr>
                      <w:strike w:val="0"/>
                      <w:dstrike w:val="0"/>
                      <w:color w:val="auto"/>
                      <w:szCs w:val="21"/>
                      <w:highlight w:val="none"/>
                    </w:rPr>
                    <w:t>矿物油</w:t>
                  </w:r>
                </w:p>
              </w:tc>
              <w:tc>
                <w:tcPr>
                  <w:tcW w:w="831" w:type="dxa"/>
                  <w:shd w:val="clear" w:color="auto" w:fill="auto"/>
                  <w:vAlign w:val="center"/>
                </w:tcPr>
                <w:p w14:paraId="0520D523">
                  <w:pPr>
                    <w:contextualSpacing/>
                    <w:jc w:val="center"/>
                    <w:rPr>
                      <w:strike w:val="0"/>
                      <w:dstrike w:val="0"/>
                      <w:color w:val="auto"/>
                      <w:szCs w:val="21"/>
                      <w:highlight w:val="none"/>
                    </w:rPr>
                  </w:pPr>
                  <w:r>
                    <w:rPr>
                      <w:strike w:val="0"/>
                      <w:dstrike w:val="0"/>
                      <w:color w:val="auto"/>
                      <w:szCs w:val="21"/>
                      <w:highlight w:val="none"/>
                    </w:rPr>
                    <w:t>矿物油</w:t>
                  </w:r>
                </w:p>
              </w:tc>
              <w:tc>
                <w:tcPr>
                  <w:tcW w:w="611" w:type="dxa"/>
                  <w:shd w:val="clear" w:color="auto" w:fill="auto"/>
                  <w:vAlign w:val="center"/>
                </w:tcPr>
                <w:p w14:paraId="20A8517A">
                  <w:pPr>
                    <w:contextualSpacing/>
                    <w:jc w:val="center"/>
                    <w:rPr>
                      <w:strike w:val="0"/>
                      <w:dstrike w:val="0"/>
                      <w:color w:val="auto"/>
                      <w:szCs w:val="21"/>
                      <w:highlight w:val="none"/>
                    </w:rPr>
                  </w:pPr>
                  <w:r>
                    <w:rPr>
                      <w:strike w:val="0"/>
                      <w:dstrike w:val="0"/>
                      <w:color w:val="auto"/>
                      <w:szCs w:val="21"/>
                      <w:highlight w:val="none"/>
                    </w:rPr>
                    <w:t>/</w:t>
                  </w:r>
                </w:p>
              </w:tc>
              <w:tc>
                <w:tcPr>
                  <w:tcW w:w="450" w:type="dxa"/>
                  <w:shd w:val="clear" w:color="auto" w:fill="auto"/>
                  <w:vAlign w:val="center"/>
                </w:tcPr>
                <w:p w14:paraId="53D78537">
                  <w:pPr>
                    <w:contextualSpacing/>
                    <w:jc w:val="center"/>
                    <w:rPr>
                      <w:strike w:val="0"/>
                      <w:dstrike w:val="0"/>
                      <w:color w:val="auto"/>
                      <w:szCs w:val="21"/>
                      <w:highlight w:val="none"/>
                    </w:rPr>
                  </w:pPr>
                  <w:r>
                    <w:rPr>
                      <w:strike w:val="0"/>
                      <w:dstrike w:val="0"/>
                      <w:color w:val="auto"/>
                      <w:szCs w:val="21"/>
                      <w:highlight w:val="none"/>
                    </w:rPr>
                    <w:t>T，I</w:t>
                  </w:r>
                </w:p>
              </w:tc>
              <w:tc>
                <w:tcPr>
                  <w:tcW w:w="671" w:type="dxa"/>
                  <w:vMerge w:val="continue"/>
                  <w:tcBorders>
                    <w:left w:val="nil"/>
                    <w:right w:val="single" w:color="auto" w:sz="4" w:space="0"/>
                  </w:tcBorders>
                  <w:vAlign w:val="center"/>
                </w:tcPr>
                <w:p w14:paraId="37A274D9">
                  <w:pPr>
                    <w:contextualSpacing/>
                    <w:jc w:val="center"/>
                    <w:rPr>
                      <w:strike w:val="0"/>
                      <w:dstrike w:val="0"/>
                      <w:color w:val="auto"/>
                      <w:szCs w:val="21"/>
                      <w:highlight w:val="none"/>
                    </w:rPr>
                  </w:pPr>
                </w:p>
              </w:tc>
            </w:tr>
          </w:tbl>
          <w:p w14:paraId="09007330">
            <w:pPr>
              <w:contextualSpacing/>
              <w:jc w:val="center"/>
              <w:rPr>
                <w:b/>
                <w:bCs/>
                <w:strike w:val="0"/>
                <w:dstrike w:val="0"/>
                <w:color w:val="auto"/>
                <w:sz w:val="24"/>
                <w:highlight w:val="none"/>
              </w:rPr>
            </w:pPr>
            <w:r>
              <w:rPr>
                <w:b/>
                <w:bCs/>
                <w:strike w:val="0"/>
                <w:dstrike w:val="0"/>
                <w:color w:val="auto"/>
                <w:sz w:val="24"/>
                <w:highlight w:val="none"/>
              </w:rPr>
              <w:t>表4.2-2</w:t>
            </w:r>
            <w:r>
              <w:rPr>
                <w:rFonts w:hint="eastAsia"/>
                <w:b/>
                <w:bCs/>
                <w:strike w:val="0"/>
                <w:dstrike w:val="0"/>
                <w:color w:val="auto"/>
                <w:sz w:val="24"/>
                <w:highlight w:val="none"/>
                <w:lang w:val="en-US" w:eastAsia="zh-CN"/>
              </w:rPr>
              <w:t>1</w:t>
            </w:r>
            <w:r>
              <w:rPr>
                <w:b/>
                <w:bCs/>
                <w:strike w:val="0"/>
                <w:dstrike w:val="0"/>
                <w:color w:val="auto"/>
                <w:sz w:val="24"/>
                <w:highlight w:val="none"/>
              </w:rPr>
              <w:t xml:space="preserve">  危险废物贮存场所（设施）基本情况表</w:t>
            </w:r>
          </w:p>
          <w:tbl>
            <w:tblPr>
              <w:tblStyle w:val="22"/>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958"/>
              <w:gridCol w:w="1252"/>
              <w:gridCol w:w="776"/>
              <w:gridCol w:w="1196"/>
              <w:gridCol w:w="834"/>
              <w:gridCol w:w="735"/>
              <w:gridCol w:w="651"/>
              <w:gridCol w:w="642"/>
              <w:gridCol w:w="852"/>
            </w:tblGrid>
            <w:tr w14:paraId="46B2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5" w:type="dxa"/>
                  <w:vAlign w:val="center"/>
                </w:tcPr>
                <w:p w14:paraId="6DF84C15">
                  <w:pPr>
                    <w:topLinePunct/>
                    <w:contextualSpacing/>
                    <w:jc w:val="center"/>
                    <w:rPr>
                      <w:b/>
                      <w:bCs/>
                      <w:strike w:val="0"/>
                      <w:dstrike w:val="0"/>
                      <w:color w:val="auto"/>
                      <w:szCs w:val="21"/>
                      <w:highlight w:val="none"/>
                    </w:rPr>
                  </w:pPr>
                  <w:r>
                    <w:rPr>
                      <w:b/>
                      <w:bCs/>
                      <w:strike w:val="0"/>
                      <w:dstrike w:val="0"/>
                      <w:color w:val="auto"/>
                      <w:szCs w:val="21"/>
                      <w:highlight w:val="none"/>
                    </w:rPr>
                    <w:t>序号</w:t>
                  </w:r>
                </w:p>
              </w:tc>
              <w:tc>
                <w:tcPr>
                  <w:tcW w:w="958" w:type="dxa"/>
                  <w:vAlign w:val="center"/>
                </w:tcPr>
                <w:p w14:paraId="14D98F3A">
                  <w:pPr>
                    <w:topLinePunct/>
                    <w:contextualSpacing/>
                    <w:jc w:val="center"/>
                    <w:rPr>
                      <w:b/>
                      <w:bCs/>
                      <w:strike w:val="0"/>
                      <w:dstrike w:val="0"/>
                      <w:color w:val="auto"/>
                      <w:szCs w:val="21"/>
                      <w:highlight w:val="none"/>
                    </w:rPr>
                  </w:pPr>
                  <w:r>
                    <w:rPr>
                      <w:b/>
                      <w:bCs/>
                      <w:strike w:val="0"/>
                      <w:dstrike w:val="0"/>
                      <w:color w:val="auto"/>
                      <w:szCs w:val="21"/>
                      <w:highlight w:val="none"/>
                    </w:rPr>
                    <w:t>贮存场所（设施）名称</w:t>
                  </w:r>
                </w:p>
              </w:tc>
              <w:tc>
                <w:tcPr>
                  <w:tcW w:w="1252" w:type="dxa"/>
                  <w:vAlign w:val="center"/>
                </w:tcPr>
                <w:p w14:paraId="517A9C83">
                  <w:pPr>
                    <w:topLinePunct/>
                    <w:contextualSpacing/>
                    <w:jc w:val="center"/>
                    <w:rPr>
                      <w:b/>
                      <w:bCs/>
                      <w:strike w:val="0"/>
                      <w:dstrike w:val="0"/>
                      <w:color w:val="auto"/>
                      <w:szCs w:val="21"/>
                      <w:highlight w:val="none"/>
                    </w:rPr>
                  </w:pPr>
                  <w:r>
                    <w:rPr>
                      <w:b/>
                      <w:bCs/>
                      <w:strike w:val="0"/>
                      <w:dstrike w:val="0"/>
                      <w:color w:val="auto"/>
                      <w:szCs w:val="21"/>
                      <w:highlight w:val="none"/>
                    </w:rPr>
                    <w:t>危险废物名称</w:t>
                  </w:r>
                </w:p>
              </w:tc>
              <w:tc>
                <w:tcPr>
                  <w:tcW w:w="776" w:type="dxa"/>
                  <w:vAlign w:val="center"/>
                </w:tcPr>
                <w:p w14:paraId="405330CA">
                  <w:pPr>
                    <w:topLinePunct/>
                    <w:contextualSpacing/>
                    <w:jc w:val="center"/>
                    <w:rPr>
                      <w:b/>
                      <w:bCs/>
                      <w:strike w:val="0"/>
                      <w:dstrike w:val="0"/>
                      <w:color w:val="auto"/>
                      <w:szCs w:val="21"/>
                      <w:highlight w:val="none"/>
                    </w:rPr>
                  </w:pPr>
                  <w:r>
                    <w:rPr>
                      <w:b/>
                      <w:bCs/>
                      <w:strike w:val="0"/>
                      <w:dstrike w:val="0"/>
                      <w:color w:val="auto"/>
                      <w:szCs w:val="21"/>
                      <w:highlight w:val="none"/>
                    </w:rPr>
                    <w:t>危险废物类别</w:t>
                  </w:r>
                </w:p>
              </w:tc>
              <w:tc>
                <w:tcPr>
                  <w:tcW w:w="1196" w:type="dxa"/>
                  <w:vAlign w:val="center"/>
                </w:tcPr>
                <w:p w14:paraId="18972484">
                  <w:pPr>
                    <w:topLinePunct/>
                    <w:contextualSpacing/>
                    <w:jc w:val="center"/>
                    <w:rPr>
                      <w:b/>
                      <w:bCs/>
                      <w:strike w:val="0"/>
                      <w:dstrike w:val="0"/>
                      <w:color w:val="auto"/>
                      <w:szCs w:val="21"/>
                      <w:highlight w:val="none"/>
                    </w:rPr>
                  </w:pPr>
                  <w:r>
                    <w:rPr>
                      <w:b/>
                      <w:bCs/>
                      <w:strike w:val="0"/>
                      <w:dstrike w:val="0"/>
                      <w:color w:val="auto"/>
                      <w:szCs w:val="21"/>
                      <w:highlight w:val="none"/>
                    </w:rPr>
                    <w:t>危险废物代码</w:t>
                  </w:r>
                </w:p>
              </w:tc>
              <w:tc>
                <w:tcPr>
                  <w:tcW w:w="834" w:type="dxa"/>
                  <w:vAlign w:val="center"/>
                </w:tcPr>
                <w:p w14:paraId="1962DF52">
                  <w:pPr>
                    <w:topLinePunct/>
                    <w:contextualSpacing/>
                    <w:jc w:val="center"/>
                    <w:rPr>
                      <w:b/>
                      <w:bCs/>
                      <w:strike w:val="0"/>
                      <w:dstrike w:val="0"/>
                      <w:color w:val="auto"/>
                      <w:szCs w:val="21"/>
                      <w:highlight w:val="none"/>
                    </w:rPr>
                  </w:pPr>
                  <w:r>
                    <w:rPr>
                      <w:b/>
                      <w:bCs/>
                      <w:strike w:val="0"/>
                      <w:dstrike w:val="0"/>
                      <w:color w:val="auto"/>
                      <w:szCs w:val="21"/>
                      <w:highlight w:val="none"/>
                    </w:rPr>
                    <w:t>位置</w:t>
                  </w:r>
                </w:p>
              </w:tc>
              <w:tc>
                <w:tcPr>
                  <w:tcW w:w="735" w:type="dxa"/>
                  <w:vAlign w:val="center"/>
                </w:tcPr>
                <w:p w14:paraId="0C2ABBC4">
                  <w:pPr>
                    <w:topLinePunct/>
                    <w:contextualSpacing/>
                    <w:jc w:val="center"/>
                    <w:rPr>
                      <w:b/>
                      <w:bCs/>
                      <w:strike w:val="0"/>
                      <w:dstrike w:val="0"/>
                      <w:color w:val="auto"/>
                      <w:szCs w:val="21"/>
                      <w:highlight w:val="none"/>
                    </w:rPr>
                  </w:pPr>
                  <w:r>
                    <w:rPr>
                      <w:b/>
                      <w:bCs/>
                      <w:strike w:val="0"/>
                      <w:dstrike w:val="0"/>
                      <w:color w:val="auto"/>
                      <w:szCs w:val="21"/>
                      <w:highlight w:val="none"/>
                    </w:rPr>
                    <w:t>建筑面积</w:t>
                  </w:r>
                </w:p>
              </w:tc>
              <w:tc>
                <w:tcPr>
                  <w:tcW w:w="651" w:type="dxa"/>
                  <w:vAlign w:val="center"/>
                </w:tcPr>
                <w:p w14:paraId="4C55971F">
                  <w:pPr>
                    <w:topLinePunct/>
                    <w:contextualSpacing/>
                    <w:jc w:val="center"/>
                    <w:rPr>
                      <w:b/>
                      <w:bCs/>
                      <w:strike w:val="0"/>
                      <w:dstrike w:val="0"/>
                      <w:color w:val="auto"/>
                      <w:szCs w:val="21"/>
                      <w:highlight w:val="none"/>
                    </w:rPr>
                  </w:pPr>
                  <w:r>
                    <w:rPr>
                      <w:b/>
                      <w:bCs/>
                      <w:strike w:val="0"/>
                      <w:dstrike w:val="0"/>
                      <w:color w:val="auto"/>
                      <w:szCs w:val="21"/>
                      <w:highlight w:val="none"/>
                    </w:rPr>
                    <w:t>贮存方式</w:t>
                  </w:r>
                </w:p>
              </w:tc>
              <w:tc>
                <w:tcPr>
                  <w:tcW w:w="642" w:type="dxa"/>
                  <w:vAlign w:val="center"/>
                </w:tcPr>
                <w:p w14:paraId="2ABEBB92">
                  <w:pPr>
                    <w:topLinePunct/>
                    <w:contextualSpacing/>
                    <w:jc w:val="center"/>
                    <w:rPr>
                      <w:b/>
                      <w:bCs/>
                      <w:strike w:val="0"/>
                      <w:dstrike w:val="0"/>
                      <w:color w:val="auto"/>
                      <w:szCs w:val="21"/>
                      <w:highlight w:val="none"/>
                    </w:rPr>
                  </w:pPr>
                  <w:r>
                    <w:rPr>
                      <w:b/>
                      <w:bCs/>
                      <w:strike w:val="0"/>
                      <w:dstrike w:val="0"/>
                      <w:color w:val="auto"/>
                      <w:szCs w:val="21"/>
                      <w:highlight w:val="none"/>
                    </w:rPr>
                    <w:t>贮存</w:t>
                  </w:r>
                </w:p>
                <w:p w14:paraId="11316CC9">
                  <w:pPr>
                    <w:topLinePunct/>
                    <w:contextualSpacing/>
                    <w:jc w:val="center"/>
                    <w:rPr>
                      <w:b/>
                      <w:bCs/>
                      <w:strike w:val="0"/>
                      <w:dstrike w:val="0"/>
                      <w:color w:val="auto"/>
                      <w:szCs w:val="21"/>
                      <w:highlight w:val="none"/>
                    </w:rPr>
                  </w:pPr>
                  <w:r>
                    <w:rPr>
                      <w:b/>
                      <w:bCs/>
                      <w:strike w:val="0"/>
                      <w:dstrike w:val="0"/>
                      <w:color w:val="auto"/>
                      <w:szCs w:val="21"/>
                      <w:highlight w:val="none"/>
                    </w:rPr>
                    <w:t>能力</w:t>
                  </w:r>
                </w:p>
              </w:tc>
              <w:tc>
                <w:tcPr>
                  <w:tcW w:w="852" w:type="dxa"/>
                  <w:vAlign w:val="center"/>
                </w:tcPr>
                <w:p w14:paraId="23C7503D">
                  <w:pPr>
                    <w:topLinePunct/>
                    <w:contextualSpacing/>
                    <w:jc w:val="center"/>
                    <w:rPr>
                      <w:b/>
                      <w:bCs/>
                      <w:strike w:val="0"/>
                      <w:dstrike w:val="0"/>
                      <w:color w:val="auto"/>
                      <w:szCs w:val="21"/>
                      <w:highlight w:val="none"/>
                    </w:rPr>
                  </w:pPr>
                  <w:r>
                    <w:rPr>
                      <w:b/>
                      <w:bCs/>
                      <w:strike w:val="0"/>
                      <w:dstrike w:val="0"/>
                      <w:color w:val="auto"/>
                      <w:szCs w:val="21"/>
                      <w:highlight w:val="none"/>
                    </w:rPr>
                    <w:t>贮存</w:t>
                  </w:r>
                </w:p>
                <w:p w14:paraId="5A3CA0A7">
                  <w:pPr>
                    <w:topLinePunct/>
                    <w:contextualSpacing/>
                    <w:jc w:val="center"/>
                    <w:rPr>
                      <w:b/>
                      <w:bCs/>
                      <w:strike w:val="0"/>
                      <w:dstrike w:val="0"/>
                      <w:color w:val="auto"/>
                      <w:szCs w:val="21"/>
                      <w:highlight w:val="none"/>
                    </w:rPr>
                  </w:pPr>
                  <w:r>
                    <w:rPr>
                      <w:b/>
                      <w:bCs/>
                      <w:strike w:val="0"/>
                      <w:dstrike w:val="0"/>
                      <w:color w:val="auto"/>
                      <w:szCs w:val="21"/>
                      <w:highlight w:val="none"/>
                    </w:rPr>
                    <w:t>周期</w:t>
                  </w:r>
                </w:p>
              </w:tc>
            </w:tr>
            <w:tr w14:paraId="219E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5" w:type="dxa"/>
                  <w:vAlign w:val="center"/>
                </w:tcPr>
                <w:p w14:paraId="0EEFA758">
                  <w:pPr>
                    <w:contextualSpacing/>
                    <w:jc w:val="center"/>
                    <w:rPr>
                      <w:strike w:val="0"/>
                      <w:dstrike w:val="0"/>
                      <w:color w:val="auto"/>
                      <w:szCs w:val="21"/>
                      <w:highlight w:val="none"/>
                    </w:rPr>
                  </w:pPr>
                  <w:r>
                    <w:rPr>
                      <w:strike w:val="0"/>
                      <w:dstrike w:val="0"/>
                      <w:color w:val="auto"/>
                      <w:szCs w:val="21"/>
                      <w:highlight w:val="none"/>
                    </w:rPr>
                    <w:t>1</w:t>
                  </w:r>
                </w:p>
              </w:tc>
              <w:tc>
                <w:tcPr>
                  <w:tcW w:w="958" w:type="dxa"/>
                  <w:vMerge w:val="restart"/>
                  <w:vAlign w:val="center"/>
                </w:tcPr>
                <w:p w14:paraId="3CA5B865">
                  <w:pPr>
                    <w:topLinePunct/>
                    <w:contextualSpacing/>
                    <w:jc w:val="center"/>
                    <w:rPr>
                      <w:strike w:val="0"/>
                      <w:dstrike w:val="0"/>
                      <w:color w:val="auto"/>
                      <w:szCs w:val="21"/>
                      <w:highlight w:val="none"/>
                    </w:rPr>
                  </w:pPr>
                  <w:r>
                    <w:rPr>
                      <w:rFonts w:hint="eastAsia"/>
                      <w:strike w:val="0"/>
                      <w:dstrike w:val="0"/>
                      <w:color w:val="auto"/>
                      <w:szCs w:val="21"/>
                      <w:highlight w:val="none"/>
                    </w:rPr>
                    <w:t>危废贮存点</w:t>
                  </w:r>
                </w:p>
              </w:tc>
              <w:tc>
                <w:tcPr>
                  <w:tcW w:w="1252" w:type="dxa"/>
                  <w:shd w:val="clear" w:color="auto" w:fill="auto"/>
                  <w:vAlign w:val="center"/>
                </w:tcPr>
                <w:p w14:paraId="47C6CBAE">
                  <w:pPr>
                    <w:widowControl/>
                    <w:jc w:val="center"/>
                    <w:rPr>
                      <w:strike w:val="0"/>
                      <w:dstrike w:val="0"/>
                      <w:color w:val="auto"/>
                      <w:kern w:val="0"/>
                      <w:szCs w:val="21"/>
                      <w:highlight w:val="none"/>
                    </w:rPr>
                  </w:pPr>
                  <w:r>
                    <w:rPr>
                      <w:strike w:val="0"/>
                      <w:dstrike w:val="0"/>
                      <w:color w:val="auto"/>
                      <w:szCs w:val="21"/>
                      <w:highlight w:val="none"/>
                    </w:rPr>
                    <w:t>清罐废物</w:t>
                  </w:r>
                </w:p>
              </w:tc>
              <w:tc>
                <w:tcPr>
                  <w:tcW w:w="776" w:type="dxa"/>
                  <w:shd w:val="clear" w:color="auto" w:fill="auto"/>
                  <w:vAlign w:val="center"/>
                </w:tcPr>
                <w:p w14:paraId="262FE7D8">
                  <w:pPr>
                    <w:adjustRightInd w:val="0"/>
                    <w:snapToGrid w:val="0"/>
                    <w:jc w:val="center"/>
                    <w:rPr>
                      <w:strike w:val="0"/>
                      <w:dstrike w:val="0"/>
                      <w:color w:val="auto"/>
                      <w:szCs w:val="21"/>
                      <w:highlight w:val="none"/>
                    </w:rPr>
                  </w:pPr>
                  <w:r>
                    <w:rPr>
                      <w:strike w:val="0"/>
                      <w:dstrike w:val="0"/>
                      <w:color w:val="auto"/>
                      <w:kern w:val="0"/>
                      <w:szCs w:val="21"/>
                      <w:highlight w:val="none"/>
                    </w:rPr>
                    <w:t>HW08</w:t>
                  </w:r>
                </w:p>
              </w:tc>
              <w:tc>
                <w:tcPr>
                  <w:tcW w:w="1196" w:type="dxa"/>
                  <w:shd w:val="clear" w:color="auto" w:fill="auto"/>
                  <w:vAlign w:val="center"/>
                </w:tcPr>
                <w:p w14:paraId="6CE1271B">
                  <w:pPr>
                    <w:adjustRightInd w:val="0"/>
                    <w:snapToGrid w:val="0"/>
                    <w:jc w:val="center"/>
                    <w:rPr>
                      <w:strike w:val="0"/>
                      <w:dstrike w:val="0"/>
                      <w:color w:val="auto"/>
                      <w:szCs w:val="21"/>
                      <w:highlight w:val="none"/>
                    </w:rPr>
                  </w:pPr>
                  <w:r>
                    <w:rPr>
                      <w:rFonts w:eastAsia="TimesNewRomanPSMT"/>
                      <w:strike w:val="0"/>
                      <w:dstrike w:val="0"/>
                      <w:color w:val="auto"/>
                      <w:szCs w:val="21"/>
                      <w:highlight w:val="none"/>
                    </w:rPr>
                    <w:t>900-249-08</w:t>
                  </w:r>
                </w:p>
              </w:tc>
              <w:tc>
                <w:tcPr>
                  <w:tcW w:w="834" w:type="dxa"/>
                  <w:vMerge w:val="restart"/>
                  <w:vAlign w:val="center"/>
                </w:tcPr>
                <w:p w14:paraId="1D3FD342">
                  <w:pPr>
                    <w:topLinePunct/>
                    <w:contextualSpacing/>
                    <w:jc w:val="center"/>
                    <w:rPr>
                      <w:strike w:val="0"/>
                      <w:dstrike w:val="0"/>
                      <w:color w:val="auto"/>
                      <w:szCs w:val="21"/>
                      <w:highlight w:val="none"/>
                    </w:rPr>
                  </w:pPr>
                  <w:r>
                    <w:rPr>
                      <w:strike w:val="0"/>
                      <w:dstrike w:val="0"/>
                      <w:color w:val="auto"/>
                      <w:szCs w:val="21"/>
                      <w:highlight w:val="none"/>
                    </w:rPr>
                    <w:t>厂区</w:t>
                  </w:r>
                  <w:r>
                    <w:rPr>
                      <w:rFonts w:hint="eastAsia"/>
                      <w:strike w:val="0"/>
                      <w:dstrike w:val="0"/>
                      <w:color w:val="auto"/>
                      <w:szCs w:val="21"/>
                      <w:highlight w:val="none"/>
                    </w:rPr>
                    <w:t>北侧</w:t>
                  </w:r>
                </w:p>
              </w:tc>
              <w:tc>
                <w:tcPr>
                  <w:tcW w:w="735" w:type="dxa"/>
                  <w:vMerge w:val="restart"/>
                  <w:vAlign w:val="center"/>
                </w:tcPr>
                <w:p w14:paraId="2E31BA45">
                  <w:pPr>
                    <w:topLinePunct/>
                    <w:contextualSpacing/>
                    <w:jc w:val="center"/>
                    <w:rPr>
                      <w:strike w:val="0"/>
                      <w:dstrike w:val="0"/>
                      <w:color w:val="auto"/>
                      <w:szCs w:val="21"/>
                      <w:highlight w:val="none"/>
                    </w:rPr>
                  </w:pPr>
                  <w:r>
                    <w:rPr>
                      <w:strike w:val="0"/>
                      <w:dstrike w:val="0"/>
                      <w:color w:val="auto"/>
                      <w:szCs w:val="21"/>
                      <w:highlight w:val="none"/>
                    </w:rPr>
                    <w:t>2m</w:t>
                  </w:r>
                  <w:r>
                    <w:rPr>
                      <w:strike w:val="0"/>
                      <w:dstrike w:val="0"/>
                      <w:color w:val="auto"/>
                      <w:szCs w:val="21"/>
                      <w:highlight w:val="none"/>
                      <w:vertAlign w:val="superscript"/>
                    </w:rPr>
                    <w:t>2</w:t>
                  </w:r>
                </w:p>
              </w:tc>
              <w:tc>
                <w:tcPr>
                  <w:tcW w:w="651" w:type="dxa"/>
                  <w:vAlign w:val="center"/>
                </w:tcPr>
                <w:p w14:paraId="6990231F">
                  <w:pPr>
                    <w:topLinePunct/>
                    <w:contextualSpacing/>
                    <w:rPr>
                      <w:strike w:val="0"/>
                      <w:dstrike w:val="0"/>
                      <w:color w:val="auto"/>
                      <w:szCs w:val="21"/>
                      <w:highlight w:val="none"/>
                    </w:rPr>
                  </w:pPr>
                  <w:r>
                    <w:rPr>
                      <w:strike w:val="0"/>
                      <w:dstrike w:val="0"/>
                      <w:color w:val="auto"/>
                      <w:szCs w:val="21"/>
                      <w:highlight w:val="none"/>
                    </w:rPr>
                    <w:t>袋装</w:t>
                  </w:r>
                </w:p>
              </w:tc>
              <w:tc>
                <w:tcPr>
                  <w:tcW w:w="642" w:type="dxa"/>
                  <w:vMerge w:val="restart"/>
                  <w:vAlign w:val="center"/>
                </w:tcPr>
                <w:p w14:paraId="0FD13294">
                  <w:pPr>
                    <w:topLinePunct/>
                    <w:contextualSpacing/>
                    <w:jc w:val="center"/>
                    <w:rPr>
                      <w:strike w:val="0"/>
                      <w:dstrike w:val="0"/>
                      <w:color w:val="auto"/>
                      <w:szCs w:val="21"/>
                      <w:highlight w:val="none"/>
                    </w:rPr>
                  </w:pPr>
                  <w:r>
                    <w:rPr>
                      <w:rFonts w:hint="eastAsia"/>
                      <w:strike w:val="0"/>
                      <w:dstrike w:val="0"/>
                      <w:color w:val="auto"/>
                      <w:szCs w:val="21"/>
                      <w:highlight w:val="none"/>
                    </w:rPr>
                    <w:t>1.2t</w:t>
                  </w:r>
                </w:p>
              </w:tc>
              <w:tc>
                <w:tcPr>
                  <w:tcW w:w="852" w:type="dxa"/>
                  <w:vMerge w:val="restart"/>
                  <w:shd w:val="clear" w:color="auto" w:fill="auto"/>
                  <w:vAlign w:val="center"/>
                </w:tcPr>
                <w:p w14:paraId="4F2C95E7">
                  <w:pPr>
                    <w:contextualSpacing/>
                    <w:jc w:val="center"/>
                    <w:rPr>
                      <w:strike w:val="0"/>
                      <w:dstrike w:val="0"/>
                      <w:color w:val="auto"/>
                      <w:szCs w:val="21"/>
                      <w:highlight w:val="none"/>
                    </w:rPr>
                  </w:pPr>
                  <w:r>
                    <w:rPr>
                      <w:strike w:val="0"/>
                      <w:dstrike w:val="0"/>
                      <w:color w:val="auto"/>
                      <w:szCs w:val="21"/>
                      <w:highlight w:val="none"/>
                    </w:rPr>
                    <w:t>1年</w:t>
                  </w:r>
                </w:p>
              </w:tc>
            </w:tr>
            <w:tr w14:paraId="455D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05" w:type="dxa"/>
                  <w:vAlign w:val="center"/>
                </w:tcPr>
                <w:p w14:paraId="2CDD59D6">
                  <w:pPr>
                    <w:contextualSpacing/>
                    <w:jc w:val="center"/>
                    <w:rPr>
                      <w:strike w:val="0"/>
                      <w:dstrike w:val="0"/>
                      <w:color w:val="auto"/>
                      <w:szCs w:val="21"/>
                      <w:highlight w:val="none"/>
                    </w:rPr>
                  </w:pPr>
                  <w:r>
                    <w:rPr>
                      <w:strike w:val="0"/>
                      <w:dstrike w:val="0"/>
                      <w:color w:val="auto"/>
                      <w:szCs w:val="21"/>
                      <w:highlight w:val="none"/>
                    </w:rPr>
                    <w:t>2</w:t>
                  </w:r>
                </w:p>
              </w:tc>
              <w:tc>
                <w:tcPr>
                  <w:tcW w:w="958" w:type="dxa"/>
                  <w:vMerge w:val="continue"/>
                  <w:vAlign w:val="center"/>
                </w:tcPr>
                <w:p w14:paraId="60420B67">
                  <w:pPr>
                    <w:topLinePunct/>
                    <w:contextualSpacing/>
                    <w:jc w:val="center"/>
                    <w:rPr>
                      <w:strike w:val="0"/>
                      <w:dstrike w:val="0"/>
                      <w:color w:val="auto"/>
                      <w:szCs w:val="21"/>
                      <w:highlight w:val="none"/>
                    </w:rPr>
                  </w:pPr>
                </w:p>
              </w:tc>
              <w:tc>
                <w:tcPr>
                  <w:tcW w:w="1252" w:type="dxa"/>
                  <w:shd w:val="clear" w:color="auto" w:fill="auto"/>
                  <w:vAlign w:val="center"/>
                </w:tcPr>
                <w:p w14:paraId="0D7E1F80">
                  <w:pPr>
                    <w:widowControl/>
                    <w:jc w:val="center"/>
                    <w:rPr>
                      <w:strike w:val="0"/>
                      <w:dstrike w:val="0"/>
                      <w:color w:val="auto"/>
                      <w:szCs w:val="21"/>
                      <w:highlight w:val="none"/>
                    </w:rPr>
                  </w:pPr>
                  <w:r>
                    <w:rPr>
                      <w:strike w:val="0"/>
                      <w:dstrike w:val="0"/>
                      <w:color w:val="auto"/>
                      <w:szCs w:val="21"/>
                      <w:highlight w:val="none"/>
                    </w:rPr>
                    <w:t>检修废物</w:t>
                  </w:r>
                </w:p>
              </w:tc>
              <w:tc>
                <w:tcPr>
                  <w:tcW w:w="776" w:type="dxa"/>
                  <w:shd w:val="clear" w:color="auto" w:fill="auto"/>
                  <w:vAlign w:val="center"/>
                </w:tcPr>
                <w:p w14:paraId="20E91EB6">
                  <w:pPr>
                    <w:adjustRightInd w:val="0"/>
                    <w:snapToGrid w:val="0"/>
                    <w:jc w:val="center"/>
                    <w:rPr>
                      <w:strike w:val="0"/>
                      <w:dstrike w:val="0"/>
                      <w:color w:val="auto"/>
                      <w:szCs w:val="21"/>
                      <w:highlight w:val="none"/>
                    </w:rPr>
                  </w:pPr>
                  <w:r>
                    <w:rPr>
                      <w:strike w:val="0"/>
                      <w:dstrike w:val="0"/>
                      <w:color w:val="auto"/>
                      <w:szCs w:val="21"/>
                      <w:highlight w:val="none"/>
                    </w:rPr>
                    <w:t>HW09</w:t>
                  </w:r>
                </w:p>
              </w:tc>
              <w:tc>
                <w:tcPr>
                  <w:tcW w:w="1196" w:type="dxa"/>
                  <w:shd w:val="clear" w:color="auto" w:fill="auto"/>
                  <w:vAlign w:val="center"/>
                </w:tcPr>
                <w:p w14:paraId="42F95DCA">
                  <w:pPr>
                    <w:adjustRightInd w:val="0"/>
                    <w:snapToGrid w:val="0"/>
                    <w:jc w:val="center"/>
                    <w:rPr>
                      <w:strike w:val="0"/>
                      <w:dstrike w:val="0"/>
                      <w:color w:val="auto"/>
                      <w:szCs w:val="21"/>
                      <w:highlight w:val="none"/>
                    </w:rPr>
                  </w:pPr>
                  <w:r>
                    <w:rPr>
                      <w:rFonts w:eastAsia="TimesNewRomanPSMT"/>
                      <w:strike w:val="0"/>
                      <w:dstrike w:val="0"/>
                      <w:color w:val="auto"/>
                      <w:szCs w:val="21"/>
                      <w:highlight w:val="none"/>
                    </w:rPr>
                    <w:t>900-007-09</w:t>
                  </w:r>
                </w:p>
              </w:tc>
              <w:tc>
                <w:tcPr>
                  <w:tcW w:w="834" w:type="dxa"/>
                  <w:vMerge w:val="continue"/>
                  <w:vAlign w:val="center"/>
                </w:tcPr>
                <w:p w14:paraId="020F46A2">
                  <w:pPr>
                    <w:topLinePunct/>
                    <w:contextualSpacing/>
                    <w:jc w:val="center"/>
                    <w:rPr>
                      <w:strike w:val="0"/>
                      <w:dstrike w:val="0"/>
                      <w:color w:val="auto"/>
                      <w:szCs w:val="21"/>
                      <w:highlight w:val="none"/>
                    </w:rPr>
                  </w:pPr>
                </w:p>
              </w:tc>
              <w:tc>
                <w:tcPr>
                  <w:tcW w:w="735" w:type="dxa"/>
                  <w:vMerge w:val="continue"/>
                  <w:vAlign w:val="center"/>
                </w:tcPr>
                <w:p w14:paraId="2CDB4A8A">
                  <w:pPr>
                    <w:topLinePunct/>
                    <w:contextualSpacing/>
                    <w:jc w:val="center"/>
                    <w:rPr>
                      <w:strike w:val="0"/>
                      <w:dstrike w:val="0"/>
                      <w:color w:val="auto"/>
                      <w:szCs w:val="21"/>
                      <w:highlight w:val="none"/>
                    </w:rPr>
                  </w:pPr>
                </w:p>
              </w:tc>
              <w:tc>
                <w:tcPr>
                  <w:tcW w:w="651" w:type="dxa"/>
                  <w:vAlign w:val="center"/>
                </w:tcPr>
                <w:p w14:paraId="51DDDE4C">
                  <w:pPr>
                    <w:spacing w:line="360" w:lineRule="exact"/>
                    <w:jc w:val="center"/>
                    <w:rPr>
                      <w:strike w:val="0"/>
                      <w:dstrike w:val="0"/>
                      <w:color w:val="auto"/>
                      <w:szCs w:val="21"/>
                      <w:highlight w:val="none"/>
                    </w:rPr>
                  </w:pPr>
                  <w:r>
                    <w:rPr>
                      <w:strike w:val="0"/>
                      <w:dstrike w:val="0"/>
                      <w:color w:val="auto"/>
                      <w:szCs w:val="21"/>
                      <w:highlight w:val="none"/>
                    </w:rPr>
                    <w:t>散装</w:t>
                  </w:r>
                </w:p>
              </w:tc>
              <w:tc>
                <w:tcPr>
                  <w:tcW w:w="642" w:type="dxa"/>
                  <w:vMerge w:val="continue"/>
                  <w:vAlign w:val="center"/>
                </w:tcPr>
                <w:p w14:paraId="40644E1A">
                  <w:pPr>
                    <w:topLinePunct/>
                    <w:contextualSpacing/>
                    <w:jc w:val="center"/>
                    <w:rPr>
                      <w:strike w:val="0"/>
                      <w:dstrike w:val="0"/>
                      <w:color w:val="auto"/>
                      <w:szCs w:val="21"/>
                      <w:highlight w:val="none"/>
                    </w:rPr>
                  </w:pPr>
                </w:p>
              </w:tc>
              <w:tc>
                <w:tcPr>
                  <w:tcW w:w="852" w:type="dxa"/>
                  <w:vMerge w:val="continue"/>
                  <w:vAlign w:val="center"/>
                </w:tcPr>
                <w:p w14:paraId="53C782CA">
                  <w:pPr>
                    <w:topLinePunct/>
                    <w:contextualSpacing/>
                    <w:jc w:val="center"/>
                    <w:rPr>
                      <w:strike w:val="0"/>
                      <w:dstrike w:val="0"/>
                      <w:color w:val="auto"/>
                      <w:szCs w:val="21"/>
                      <w:highlight w:val="none"/>
                    </w:rPr>
                  </w:pPr>
                </w:p>
              </w:tc>
            </w:tr>
            <w:tr w14:paraId="6960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jc w:val="center"/>
              </w:trPr>
              <w:tc>
                <w:tcPr>
                  <w:tcW w:w="505" w:type="dxa"/>
                  <w:shd w:val="clear" w:color="auto" w:fill="auto"/>
                  <w:vAlign w:val="center"/>
                </w:tcPr>
                <w:p w14:paraId="7194F439">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3</w:t>
                  </w:r>
                </w:p>
              </w:tc>
              <w:tc>
                <w:tcPr>
                  <w:tcW w:w="958" w:type="dxa"/>
                  <w:vMerge w:val="continue"/>
                  <w:vAlign w:val="center"/>
                </w:tcPr>
                <w:p w14:paraId="7225F18E">
                  <w:pPr>
                    <w:topLinePunct/>
                    <w:contextualSpacing/>
                    <w:jc w:val="center"/>
                    <w:rPr>
                      <w:strike w:val="0"/>
                      <w:dstrike w:val="0"/>
                      <w:color w:val="auto"/>
                      <w:szCs w:val="21"/>
                      <w:highlight w:val="none"/>
                    </w:rPr>
                  </w:pPr>
                </w:p>
              </w:tc>
              <w:tc>
                <w:tcPr>
                  <w:tcW w:w="1252" w:type="dxa"/>
                  <w:shd w:val="clear" w:color="auto" w:fill="auto"/>
                  <w:vAlign w:val="center"/>
                </w:tcPr>
                <w:p w14:paraId="186B54E2">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sz w:val="21"/>
                      <w:szCs w:val="21"/>
                      <w:highlight w:val="none"/>
                    </w:rPr>
                    <w:t>废旧滤芯</w:t>
                  </w:r>
                </w:p>
              </w:tc>
              <w:tc>
                <w:tcPr>
                  <w:tcW w:w="776" w:type="dxa"/>
                  <w:shd w:val="clear" w:color="auto" w:fill="auto"/>
                  <w:vAlign w:val="center"/>
                </w:tcPr>
                <w:p w14:paraId="5312DBD8">
                  <w:pPr>
                    <w:adjustRightInd w:val="0"/>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 w:val="21"/>
                      <w:szCs w:val="21"/>
                      <w:highlight w:val="none"/>
                    </w:rPr>
                    <w:t>HW</w:t>
                  </w:r>
                  <w:r>
                    <w:rPr>
                      <w:rFonts w:hint="eastAsia"/>
                      <w:strike w:val="0"/>
                      <w:dstrike w:val="0"/>
                      <w:color w:val="auto"/>
                      <w:sz w:val="21"/>
                      <w:szCs w:val="21"/>
                      <w:highlight w:val="none"/>
                      <w:lang w:val="en-US" w:eastAsia="zh-CN"/>
                    </w:rPr>
                    <w:t>49</w:t>
                  </w:r>
                </w:p>
              </w:tc>
              <w:tc>
                <w:tcPr>
                  <w:tcW w:w="1196" w:type="dxa"/>
                  <w:shd w:val="clear" w:color="auto" w:fill="auto"/>
                  <w:vAlign w:val="center"/>
                </w:tcPr>
                <w:p w14:paraId="7AC9585F">
                  <w:pPr>
                    <w:adjustRightInd w:val="0"/>
                    <w:snapToGrid w:val="0"/>
                    <w:jc w:val="center"/>
                    <w:rPr>
                      <w:rFonts w:hint="eastAsia" w:ascii="Times New Roman" w:hAnsi="Times New Roman" w:eastAsia="TimesNewRomanPSMT" w:cs="Times New Roman"/>
                      <w:strike w:val="0"/>
                      <w:dstrike w:val="0"/>
                      <w:color w:val="auto"/>
                      <w:kern w:val="2"/>
                      <w:sz w:val="21"/>
                      <w:szCs w:val="21"/>
                      <w:highlight w:val="none"/>
                      <w:lang w:val="en-US" w:eastAsia="zh-CN" w:bidi="ar-SA"/>
                    </w:rPr>
                  </w:pPr>
                  <w:r>
                    <w:rPr>
                      <w:rFonts w:hint="eastAsia" w:eastAsia="TimesNewRomanPSMT"/>
                      <w:strike w:val="0"/>
                      <w:dstrike w:val="0"/>
                      <w:color w:val="auto"/>
                      <w:sz w:val="21"/>
                      <w:szCs w:val="21"/>
                      <w:highlight w:val="none"/>
                      <w:lang w:eastAsia="zh-CN"/>
                    </w:rPr>
                    <w:t>900-041-49</w:t>
                  </w:r>
                </w:p>
              </w:tc>
              <w:tc>
                <w:tcPr>
                  <w:tcW w:w="834" w:type="dxa"/>
                  <w:vMerge w:val="continue"/>
                  <w:vAlign w:val="center"/>
                </w:tcPr>
                <w:p w14:paraId="51A5FBA2">
                  <w:pPr>
                    <w:topLinePunct/>
                    <w:contextualSpacing/>
                    <w:jc w:val="center"/>
                    <w:rPr>
                      <w:strike w:val="0"/>
                      <w:dstrike w:val="0"/>
                      <w:color w:val="auto"/>
                      <w:szCs w:val="21"/>
                      <w:highlight w:val="none"/>
                    </w:rPr>
                  </w:pPr>
                </w:p>
              </w:tc>
              <w:tc>
                <w:tcPr>
                  <w:tcW w:w="735" w:type="dxa"/>
                  <w:vMerge w:val="continue"/>
                  <w:vAlign w:val="center"/>
                </w:tcPr>
                <w:p w14:paraId="36FDAD76">
                  <w:pPr>
                    <w:topLinePunct/>
                    <w:contextualSpacing/>
                    <w:jc w:val="center"/>
                    <w:rPr>
                      <w:strike w:val="0"/>
                      <w:dstrike w:val="0"/>
                      <w:color w:val="auto"/>
                      <w:szCs w:val="21"/>
                      <w:highlight w:val="none"/>
                    </w:rPr>
                  </w:pPr>
                </w:p>
              </w:tc>
              <w:tc>
                <w:tcPr>
                  <w:tcW w:w="651" w:type="dxa"/>
                  <w:shd w:val="clear" w:color="auto" w:fill="auto"/>
                  <w:vAlign w:val="center"/>
                </w:tcPr>
                <w:p w14:paraId="1767880B">
                  <w:pPr>
                    <w:topLinePunct/>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袋装</w:t>
                  </w:r>
                </w:p>
              </w:tc>
              <w:tc>
                <w:tcPr>
                  <w:tcW w:w="642" w:type="dxa"/>
                  <w:vMerge w:val="continue"/>
                  <w:vAlign w:val="center"/>
                </w:tcPr>
                <w:p w14:paraId="148E8DE8">
                  <w:pPr>
                    <w:topLinePunct/>
                    <w:contextualSpacing/>
                    <w:jc w:val="center"/>
                    <w:rPr>
                      <w:strike w:val="0"/>
                      <w:dstrike w:val="0"/>
                      <w:color w:val="auto"/>
                      <w:szCs w:val="21"/>
                      <w:highlight w:val="none"/>
                    </w:rPr>
                  </w:pPr>
                </w:p>
              </w:tc>
              <w:tc>
                <w:tcPr>
                  <w:tcW w:w="852" w:type="dxa"/>
                  <w:vMerge w:val="continue"/>
                  <w:vAlign w:val="center"/>
                </w:tcPr>
                <w:p w14:paraId="08356CC1">
                  <w:pPr>
                    <w:topLinePunct/>
                    <w:contextualSpacing/>
                    <w:jc w:val="center"/>
                    <w:rPr>
                      <w:strike w:val="0"/>
                      <w:dstrike w:val="0"/>
                      <w:color w:val="auto"/>
                      <w:szCs w:val="21"/>
                      <w:highlight w:val="none"/>
                    </w:rPr>
                  </w:pPr>
                </w:p>
              </w:tc>
            </w:tr>
            <w:tr w14:paraId="0B1B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jc w:val="center"/>
              </w:trPr>
              <w:tc>
                <w:tcPr>
                  <w:tcW w:w="505" w:type="dxa"/>
                  <w:shd w:val="clear" w:color="auto" w:fill="auto"/>
                  <w:vAlign w:val="center"/>
                </w:tcPr>
                <w:p w14:paraId="2F7F10B4">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4</w:t>
                  </w:r>
                </w:p>
              </w:tc>
              <w:tc>
                <w:tcPr>
                  <w:tcW w:w="958" w:type="dxa"/>
                  <w:vMerge w:val="continue"/>
                  <w:vAlign w:val="center"/>
                </w:tcPr>
                <w:p w14:paraId="5E27F0AB">
                  <w:pPr>
                    <w:contextualSpacing/>
                    <w:jc w:val="center"/>
                    <w:rPr>
                      <w:strike w:val="0"/>
                      <w:dstrike w:val="0"/>
                      <w:color w:val="auto"/>
                      <w:szCs w:val="21"/>
                      <w:highlight w:val="none"/>
                    </w:rPr>
                  </w:pPr>
                </w:p>
              </w:tc>
              <w:tc>
                <w:tcPr>
                  <w:tcW w:w="1252" w:type="dxa"/>
                  <w:shd w:val="clear" w:color="auto" w:fill="auto"/>
                  <w:vAlign w:val="center"/>
                </w:tcPr>
                <w:p w14:paraId="63E6C85A">
                  <w:pPr>
                    <w:widowControl/>
                    <w:jc w:val="center"/>
                    <w:rPr>
                      <w:strike w:val="0"/>
                      <w:dstrike w:val="0"/>
                      <w:color w:val="auto"/>
                      <w:kern w:val="0"/>
                      <w:szCs w:val="21"/>
                      <w:highlight w:val="none"/>
                    </w:rPr>
                  </w:pPr>
                  <w:r>
                    <w:rPr>
                      <w:strike w:val="0"/>
                      <w:dstrike w:val="0"/>
                      <w:color w:val="auto"/>
                      <w:kern w:val="0"/>
                      <w:szCs w:val="21"/>
                      <w:highlight w:val="none"/>
                    </w:rPr>
                    <w:t>空压机</w:t>
                  </w:r>
                  <w:r>
                    <w:rPr>
                      <w:rFonts w:hint="eastAsia"/>
                      <w:strike w:val="0"/>
                      <w:dstrike w:val="0"/>
                      <w:color w:val="auto"/>
                      <w:kern w:val="0"/>
                      <w:szCs w:val="21"/>
                      <w:highlight w:val="none"/>
                    </w:rPr>
                    <w:t>油/水混合物（空压机）</w:t>
                  </w:r>
                </w:p>
              </w:tc>
              <w:tc>
                <w:tcPr>
                  <w:tcW w:w="776" w:type="dxa"/>
                  <w:shd w:val="clear" w:color="auto" w:fill="auto"/>
                  <w:vAlign w:val="center"/>
                </w:tcPr>
                <w:p w14:paraId="5614097D">
                  <w:pPr>
                    <w:adjustRightInd w:val="0"/>
                    <w:snapToGrid w:val="0"/>
                    <w:jc w:val="center"/>
                    <w:rPr>
                      <w:strike w:val="0"/>
                      <w:dstrike w:val="0"/>
                      <w:color w:val="auto"/>
                      <w:szCs w:val="21"/>
                      <w:highlight w:val="none"/>
                    </w:rPr>
                  </w:pPr>
                  <w:r>
                    <w:rPr>
                      <w:strike w:val="0"/>
                      <w:dstrike w:val="0"/>
                      <w:color w:val="auto"/>
                      <w:szCs w:val="21"/>
                      <w:highlight w:val="none"/>
                    </w:rPr>
                    <w:t>HW09</w:t>
                  </w:r>
                </w:p>
              </w:tc>
              <w:tc>
                <w:tcPr>
                  <w:tcW w:w="1196" w:type="dxa"/>
                  <w:shd w:val="clear" w:color="auto" w:fill="auto"/>
                  <w:vAlign w:val="center"/>
                </w:tcPr>
                <w:p w14:paraId="19F8490F">
                  <w:pPr>
                    <w:adjustRightInd w:val="0"/>
                    <w:snapToGrid w:val="0"/>
                    <w:jc w:val="center"/>
                    <w:rPr>
                      <w:strike w:val="0"/>
                      <w:dstrike w:val="0"/>
                      <w:color w:val="auto"/>
                      <w:szCs w:val="21"/>
                      <w:highlight w:val="none"/>
                    </w:rPr>
                  </w:pPr>
                  <w:r>
                    <w:rPr>
                      <w:rFonts w:hint="eastAsia"/>
                      <w:strike w:val="0"/>
                      <w:dstrike w:val="0"/>
                      <w:color w:val="auto"/>
                      <w:szCs w:val="21"/>
                      <w:highlight w:val="none"/>
                      <w:lang w:eastAsia="zh-CN"/>
                    </w:rPr>
                    <w:t>900-007-09</w:t>
                  </w:r>
                </w:p>
              </w:tc>
              <w:tc>
                <w:tcPr>
                  <w:tcW w:w="834" w:type="dxa"/>
                  <w:vMerge w:val="continue"/>
                  <w:vAlign w:val="center"/>
                </w:tcPr>
                <w:p w14:paraId="4B4488FF">
                  <w:pPr>
                    <w:topLinePunct/>
                    <w:contextualSpacing/>
                    <w:jc w:val="center"/>
                    <w:rPr>
                      <w:strike w:val="0"/>
                      <w:dstrike w:val="0"/>
                      <w:color w:val="auto"/>
                      <w:szCs w:val="21"/>
                      <w:highlight w:val="none"/>
                    </w:rPr>
                  </w:pPr>
                </w:p>
              </w:tc>
              <w:tc>
                <w:tcPr>
                  <w:tcW w:w="735" w:type="dxa"/>
                  <w:vMerge w:val="continue"/>
                  <w:vAlign w:val="center"/>
                </w:tcPr>
                <w:p w14:paraId="60592149">
                  <w:pPr>
                    <w:topLinePunct/>
                    <w:contextualSpacing/>
                    <w:jc w:val="center"/>
                    <w:rPr>
                      <w:strike w:val="0"/>
                      <w:dstrike w:val="0"/>
                      <w:color w:val="auto"/>
                      <w:szCs w:val="21"/>
                      <w:highlight w:val="none"/>
                    </w:rPr>
                  </w:pPr>
                </w:p>
              </w:tc>
              <w:tc>
                <w:tcPr>
                  <w:tcW w:w="651" w:type="dxa"/>
                  <w:vAlign w:val="center"/>
                </w:tcPr>
                <w:p w14:paraId="44C52708">
                  <w:pPr>
                    <w:topLinePunct/>
                    <w:contextualSpacing/>
                    <w:jc w:val="center"/>
                    <w:rPr>
                      <w:strike w:val="0"/>
                      <w:dstrike w:val="0"/>
                      <w:color w:val="auto"/>
                      <w:szCs w:val="21"/>
                      <w:highlight w:val="none"/>
                    </w:rPr>
                  </w:pPr>
                  <w:r>
                    <w:rPr>
                      <w:strike w:val="0"/>
                      <w:dstrike w:val="0"/>
                      <w:color w:val="auto"/>
                      <w:szCs w:val="21"/>
                      <w:highlight w:val="none"/>
                    </w:rPr>
                    <w:t>袋装</w:t>
                  </w:r>
                </w:p>
              </w:tc>
              <w:tc>
                <w:tcPr>
                  <w:tcW w:w="642" w:type="dxa"/>
                  <w:vMerge w:val="continue"/>
                  <w:vAlign w:val="center"/>
                </w:tcPr>
                <w:p w14:paraId="1A9E28D6">
                  <w:pPr>
                    <w:contextualSpacing/>
                    <w:jc w:val="center"/>
                    <w:rPr>
                      <w:strike w:val="0"/>
                      <w:dstrike w:val="0"/>
                      <w:color w:val="auto"/>
                      <w:szCs w:val="21"/>
                      <w:highlight w:val="none"/>
                    </w:rPr>
                  </w:pPr>
                </w:p>
              </w:tc>
              <w:tc>
                <w:tcPr>
                  <w:tcW w:w="852" w:type="dxa"/>
                  <w:vMerge w:val="continue"/>
                  <w:vAlign w:val="center"/>
                </w:tcPr>
                <w:p w14:paraId="08A13B5A">
                  <w:pPr>
                    <w:contextualSpacing/>
                    <w:jc w:val="center"/>
                    <w:rPr>
                      <w:strike w:val="0"/>
                      <w:dstrike w:val="0"/>
                      <w:color w:val="auto"/>
                      <w:szCs w:val="21"/>
                      <w:highlight w:val="none"/>
                    </w:rPr>
                  </w:pPr>
                </w:p>
              </w:tc>
            </w:tr>
            <w:tr w14:paraId="628E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5" w:type="dxa"/>
                  <w:shd w:val="clear" w:color="auto" w:fill="auto"/>
                  <w:vAlign w:val="center"/>
                </w:tcPr>
                <w:p w14:paraId="30FB6C3A">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5</w:t>
                  </w:r>
                </w:p>
              </w:tc>
              <w:tc>
                <w:tcPr>
                  <w:tcW w:w="958" w:type="dxa"/>
                  <w:vMerge w:val="continue"/>
                  <w:vAlign w:val="center"/>
                </w:tcPr>
                <w:p w14:paraId="24105E75">
                  <w:pPr>
                    <w:topLinePunct/>
                    <w:contextualSpacing/>
                    <w:jc w:val="center"/>
                    <w:rPr>
                      <w:strike w:val="0"/>
                      <w:dstrike w:val="0"/>
                      <w:color w:val="auto"/>
                      <w:szCs w:val="21"/>
                      <w:highlight w:val="none"/>
                    </w:rPr>
                  </w:pPr>
                </w:p>
              </w:tc>
              <w:tc>
                <w:tcPr>
                  <w:tcW w:w="1252" w:type="dxa"/>
                  <w:shd w:val="clear" w:color="auto" w:fill="auto"/>
                  <w:vAlign w:val="center"/>
                </w:tcPr>
                <w:p w14:paraId="6A689D17">
                  <w:pPr>
                    <w:widowControl/>
                    <w:jc w:val="center"/>
                    <w:rPr>
                      <w:strike w:val="0"/>
                      <w:dstrike w:val="0"/>
                      <w:color w:val="auto"/>
                      <w:kern w:val="0"/>
                      <w:szCs w:val="21"/>
                      <w:highlight w:val="none"/>
                    </w:rPr>
                  </w:pPr>
                  <w:r>
                    <w:rPr>
                      <w:strike w:val="0"/>
                      <w:dstrike w:val="0"/>
                      <w:color w:val="auto"/>
                      <w:kern w:val="0"/>
                      <w:szCs w:val="21"/>
                      <w:highlight w:val="none"/>
                    </w:rPr>
                    <w:t>废空压机油</w:t>
                  </w:r>
                </w:p>
              </w:tc>
              <w:tc>
                <w:tcPr>
                  <w:tcW w:w="776" w:type="dxa"/>
                  <w:shd w:val="clear" w:color="auto" w:fill="auto"/>
                  <w:vAlign w:val="center"/>
                </w:tcPr>
                <w:p w14:paraId="0463EA4E">
                  <w:pPr>
                    <w:adjustRightInd w:val="0"/>
                    <w:snapToGrid w:val="0"/>
                    <w:jc w:val="center"/>
                    <w:rPr>
                      <w:bCs/>
                      <w:strike w:val="0"/>
                      <w:dstrike w:val="0"/>
                      <w:color w:val="auto"/>
                      <w:spacing w:val="-10"/>
                      <w:szCs w:val="21"/>
                      <w:highlight w:val="none"/>
                    </w:rPr>
                  </w:pPr>
                  <w:r>
                    <w:rPr>
                      <w:strike w:val="0"/>
                      <w:dstrike w:val="0"/>
                      <w:color w:val="auto"/>
                      <w:szCs w:val="21"/>
                      <w:highlight w:val="none"/>
                    </w:rPr>
                    <w:t>HW08</w:t>
                  </w:r>
                </w:p>
              </w:tc>
              <w:tc>
                <w:tcPr>
                  <w:tcW w:w="1196" w:type="dxa"/>
                  <w:shd w:val="clear" w:color="auto" w:fill="auto"/>
                  <w:vAlign w:val="center"/>
                </w:tcPr>
                <w:p w14:paraId="617D4781">
                  <w:pPr>
                    <w:adjustRightInd w:val="0"/>
                    <w:snapToGrid w:val="0"/>
                    <w:jc w:val="center"/>
                    <w:rPr>
                      <w:bCs/>
                      <w:strike w:val="0"/>
                      <w:dstrike w:val="0"/>
                      <w:color w:val="auto"/>
                      <w:spacing w:val="-10"/>
                      <w:szCs w:val="21"/>
                      <w:highlight w:val="none"/>
                    </w:rPr>
                  </w:pPr>
                  <w:r>
                    <w:rPr>
                      <w:strike w:val="0"/>
                      <w:dstrike w:val="0"/>
                      <w:color w:val="auto"/>
                      <w:szCs w:val="21"/>
                      <w:highlight w:val="none"/>
                    </w:rPr>
                    <w:t>900-249-08</w:t>
                  </w:r>
                </w:p>
              </w:tc>
              <w:tc>
                <w:tcPr>
                  <w:tcW w:w="834" w:type="dxa"/>
                  <w:vMerge w:val="continue"/>
                  <w:vAlign w:val="center"/>
                </w:tcPr>
                <w:p w14:paraId="19C286E8">
                  <w:pPr>
                    <w:topLinePunct/>
                    <w:contextualSpacing/>
                    <w:jc w:val="center"/>
                    <w:rPr>
                      <w:strike w:val="0"/>
                      <w:dstrike w:val="0"/>
                      <w:color w:val="auto"/>
                      <w:szCs w:val="21"/>
                      <w:highlight w:val="none"/>
                    </w:rPr>
                  </w:pPr>
                </w:p>
              </w:tc>
              <w:tc>
                <w:tcPr>
                  <w:tcW w:w="735" w:type="dxa"/>
                  <w:vMerge w:val="continue"/>
                  <w:vAlign w:val="center"/>
                </w:tcPr>
                <w:p w14:paraId="277C1A01">
                  <w:pPr>
                    <w:topLinePunct/>
                    <w:contextualSpacing/>
                    <w:jc w:val="center"/>
                    <w:rPr>
                      <w:strike w:val="0"/>
                      <w:dstrike w:val="0"/>
                      <w:color w:val="auto"/>
                      <w:szCs w:val="21"/>
                      <w:highlight w:val="none"/>
                    </w:rPr>
                  </w:pPr>
                </w:p>
              </w:tc>
              <w:tc>
                <w:tcPr>
                  <w:tcW w:w="651" w:type="dxa"/>
                  <w:vAlign w:val="center"/>
                </w:tcPr>
                <w:p w14:paraId="417DA78D">
                  <w:pPr>
                    <w:topLinePunct/>
                    <w:contextualSpacing/>
                    <w:jc w:val="center"/>
                    <w:rPr>
                      <w:strike w:val="0"/>
                      <w:dstrike w:val="0"/>
                      <w:color w:val="auto"/>
                      <w:szCs w:val="21"/>
                      <w:highlight w:val="none"/>
                    </w:rPr>
                  </w:pPr>
                  <w:r>
                    <w:rPr>
                      <w:strike w:val="0"/>
                      <w:dstrike w:val="0"/>
                      <w:color w:val="auto"/>
                      <w:szCs w:val="21"/>
                      <w:highlight w:val="none"/>
                    </w:rPr>
                    <w:t>袋装</w:t>
                  </w:r>
                </w:p>
              </w:tc>
              <w:tc>
                <w:tcPr>
                  <w:tcW w:w="642" w:type="dxa"/>
                  <w:vMerge w:val="continue"/>
                  <w:vAlign w:val="center"/>
                </w:tcPr>
                <w:p w14:paraId="79250095">
                  <w:pPr>
                    <w:topLinePunct/>
                    <w:contextualSpacing/>
                    <w:jc w:val="center"/>
                    <w:rPr>
                      <w:strike w:val="0"/>
                      <w:dstrike w:val="0"/>
                      <w:color w:val="auto"/>
                      <w:szCs w:val="21"/>
                      <w:highlight w:val="none"/>
                    </w:rPr>
                  </w:pPr>
                </w:p>
              </w:tc>
              <w:tc>
                <w:tcPr>
                  <w:tcW w:w="852" w:type="dxa"/>
                  <w:vMerge w:val="continue"/>
                  <w:vAlign w:val="center"/>
                </w:tcPr>
                <w:p w14:paraId="587A6AA6">
                  <w:pPr>
                    <w:topLinePunct/>
                    <w:contextualSpacing/>
                    <w:jc w:val="center"/>
                    <w:rPr>
                      <w:strike w:val="0"/>
                      <w:dstrike w:val="0"/>
                      <w:color w:val="auto"/>
                      <w:szCs w:val="21"/>
                      <w:highlight w:val="none"/>
                    </w:rPr>
                  </w:pPr>
                </w:p>
              </w:tc>
            </w:tr>
            <w:tr w14:paraId="5871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5" w:type="dxa"/>
                  <w:shd w:val="clear" w:color="auto" w:fill="auto"/>
                  <w:vAlign w:val="center"/>
                </w:tcPr>
                <w:p w14:paraId="43623039">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6</w:t>
                  </w:r>
                </w:p>
              </w:tc>
              <w:tc>
                <w:tcPr>
                  <w:tcW w:w="958" w:type="dxa"/>
                  <w:vMerge w:val="continue"/>
                  <w:vAlign w:val="center"/>
                </w:tcPr>
                <w:p w14:paraId="723790FE">
                  <w:pPr>
                    <w:topLinePunct/>
                    <w:contextualSpacing/>
                    <w:jc w:val="center"/>
                    <w:rPr>
                      <w:strike w:val="0"/>
                      <w:dstrike w:val="0"/>
                      <w:color w:val="auto"/>
                      <w:szCs w:val="21"/>
                      <w:highlight w:val="none"/>
                    </w:rPr>
                  </w:pPr>
                </w:p>
              </w:tc>
              <w:tc>
                <w:tcPr>
                  <w:tcW w:w="1252" w:type="dxa"/>
                  <w:shd w:val="clear" w:color="auto" w:fill="auto"/>
                  <w:vAlign w:val="center"/>
                </w:tcPr>
                <w:p w14:paraId="760802A2">
                  <w:pPr>
                    <w:widowControl/>
                    <w:jc w:val="center"/>
                    <w:rPr>
                      <w:strike w:val="0"/>
                      <w:dstrike w:val="0"/>
                      <w:color w:val="auto"/>
                      <w:kern w:val="0"/>
                      <w:szCs w:val="21"/>
                      <w:highlight w:val="none"/>
                    </w:rPr>
                  </w:pPr>
                  <w:r>
                    <w:rPr>
                      <w:rFonts w:hint="eastAsia"/>
                      <w:strike w:val="0"/>
                      <w:dstrike w:val="0"/>
                      <w:color w:val="auto"/>
                      <w:kern w:val="0"/>
                      <w:szCs w:val="21"/>
                      <w:highlight w:val="none"/>
                    </w:rPr>
                    <w:t>废油桶</w:t>
                  </w:r>
                </w:p>
              </w:tc>
              <w:tc>
                <w:tcPr>
                  <w:tcW w:w="776" w:type="dxa"/>
                  <w:shd w:val="clear" w:color="auto" w:fill="auto"/>
                  <w:vAlign w:val="center"/>
                </w:tcPr>
                <w:p w14:paraId="0CB13495">
                  <w:pPr>
                    <w:adjustRightInd w:val="0"/>
                    <w:snapToGrid w:val="0"/>
                    <w:jc w:val="center"/>
                    <w:rPr>
                      <w:bCs/>
                      <w:strike w:val="0"/>
                      <w:dstrike w:val="0"/>
                      <w:color w:val="auto"/>
                      <w:spacing w:val="-10"/>
                      <w:szCs w:val="21"/>
                      <w:highlight w:val="none"/>
                    </w:rPr>
                  </w:pPr>
                  <w:r>
                    <w:rPr>
                      <w:strike w:val="0"/>
                      <w:dstrike w:val="0"/>
                      <w:color w:val="auto"/>
                      <w:szCs w:val="21"/>
                      <w:highlight w:val="none"/>
                    </w:rPr>
                    <w:t>HW08</w:t>
                  </w:r>
                </w:p>
              </w:tc>
              <w:tc>
                <w:tcPr>
                  <w:tcW w:w="1196" w:type="dxa"/>
                  <w:shd w:val="clear" w:color="auto" w:fill="auto"/>
                  <w:vAlign w:val="center"/>
                </w:tcPr>
                <w:p w14:paraId="610B005B">
                  <w:pPr>
                    <w:adjustRightInd w:val="0"/>
                    <w:snapToGrid w:val="0"/>
                    <w:jc w:val="center"/>
                    <w:rPr>
                      <w:bCs/>
                      <w:strike w:val="0"/>
                      <w:dstrike w:val="0"/>
                      <w:color w:val="auto"/>
                      <w:spacing w:val="-10"/>
                      <w:szCs w:val="21"/>
                      <w:highlight w:val="none"/>
                    </w:rPr>
                  </w:pPr>
                  <w:r>
                    <w:rPr>
                      <w:strike w:val="0"/>
                      <w:dstrike w:val="0"/>
                      <w:color w:val="auto"/>
                      <w:szCs w:val="21"/>
                      <w:highlight w:val="none"/>
                    </w:rPr>
                    <w:t>900-249-08</w:t>
                  </w:r>
                </w:p>
              </w:tc>
              <w:tc>
                <w:tcPr>
                  <w:tcW w:w="834" w:type="dxa"/>
                  <w:vMerge w:val="continue"/>
                  <w:vAlign w:val="center"/>
                </w:tcPr>
                <w:p w14:paraId="6265A9C3">
                  <w:pPr>
                    <w:topLinePunct/>
                    <w:contextualSpacing/>
                    <w:jc w:val="center"/>
                    <w:rPr>
                      <w:strike w:val="0"/>
                      <w:dstrike w:val="0"/>
                      <w:color w:val="auto"/>
                      <w:szCs w:val="21"/>
                      <w:highlight w:val="none"/>
                    </w:rPr>
                  </w:pPr>
                </w:p>
              </w:tc>
              <w:tc>
                <w:tcPr>
                  <w:tcW w:w="735" w:type="dxa"/>
                  <w:vMerge w:val="continue"/>
                  <w:vAlign w:val="center"/>
                </w:tcPr>
                <w:p w14:paraId="0BE4367C">
                  <w:pPr>
                    <w:topLinePunct/>
                    <w:contextualSpacing/>
                    <w:jc w:val="center"/>
                    <w:rPr>
                      <w:strike w:val="0"/>
                      <w:dstrike w:val="0"/>
                      <w:color w:val="auto"/>
                      <w:szCs w:val="21"/>
                      <w:highlight w:val="none"/>
                    </w:rPr>
                  </w:pPr>
                </w:p>
              </w:tc>
              <w:tc>
                <w:tcPr>
                  <w:tcW w:w="651" w:type="dxa"/>
                  <w:vAlign w:val="center"/>
                </w:tcPr>
                <w:p w14:paraId="407718D5">
                  <w:pPr>
                    <w:topLinePunct/>
                    <w:contextualSpacing/>
                    <w:jc w:val="center"/>
                    <w:rPr>
                      <w:strike w:val="0"/>
                      <w:dstrike w:val="0"/>
                      <w:color w:val="auto"/>
                      <w:szCs w:val="21"/>
                      <w:highlight w:val="none"/>
                    </w:rPr>
                  </w:pPr>
                  <w:r>
                    <w:rPr>
                      <w:rFonts w:hint="eastAsia"/>
                      <w:strike w:val="0"/>
                      <w:dstrike w:val="0"/>
                      <w:color w:val="auto"/>
                      <w:szCs w:val="21"/>
                      <w:highlight w:val="none"/>
                    </w:rPr>
                    <w:t>散装</w:t>
                  </w:r>
                </w:p>
              </w:tc>
              <w:tc>
                <w:tcPr>
                  <w:tcW w:w="642" w:type="dxa"/>
                  <w:vMerge w:val="continue"/>
                  <w:vAlign w:val="center"/>
                </w:tcPr>
                <w:p w14:paraId="15C617B3">
                  <w:pPr>
                    <w:topLinePunct/>
                    <w:contextualSpacing/>
                    <w:jc w:val="center"/>
                    <w:rPr>
                      <w:strike w:val="0"/>
                      <w:dstrike w:val="0"/>
                      <w:color w:val="auto"/>
                      <w:szCs w:val="21"/>
                      <w:highlight w:val="none"/>
                    </w:rPr>
                  </w:pPr>
                </w:p>
              </w:tc>
              <w:tc>
                <w:tcPr>
                  <w:tcW w:w="852" w:type="dxa"/>
                  <w:vMerge w:val="continue"/>
                  <w:vAlign w:val="center"/>
                </w:tcPr>
                <w:p w14:paraId="1CE2D067">
                  <w:pPr>
                    <w:topLinePunct/>
                    <w:contextualSpacing/>
                    <w:jc w:val="center"/>
                    <w:rPr>
                      <w:strike w:val="0"/>
                      <w:dstrike w:val="0"/>
                      <w:color w:val="auto"/>
                      <w:szCs w:val="21"/>
                      <w:highlight w:val="none"/>
                    </w:rPr>
                  </w:pPr>
                </w:p>
              </w:tc>
            </w:tr>
            <w:tr w14:paraId="60A5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5" w:type="dxa"/>
                  <w:shd w:val="clear" w:color="auto" w:fill="auto"/>
                  <w:vAlign w:val="center"/>
                </w:tcPr>
                <w:p w14:paraId="32EBEB03">
                  <w:pPr>
                    <w:contextualSpacing/>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7</w:t>
                  </w:r>
                </w:p>
              </w:tc>
              <w:tc>
                <w:tcPr>
                  <w:tcW w:w="958" w:type="dxa"/>
                  <w:vMerge w:val="continue"/>
                  <w:vAlign w:val="center"/>
                </w:tcPr>
                <w:p w14:paraId="735CB8B4">
                  <w:pPr>
                    <w:topLinePunct/>
                    <w:contextualSpacing/>
                    <w:jc w:val="center"/>
                    <w:rPr>
                      <w:strike w:val="0"/>
                      <w:dstrike w:val="0"/>
                      <w:color w:val="auto"/>
                      <w:szCs w:val="21"/>
                      <w:highlight w:val="none"/>
                    </w:rPr>
                  </w:pPr>
                </w:p>
              </w:tc>
              <w:tc>
                <w:tcPr>
                  <w:tcW w:w="1252" w:type="dxa"/>
                  <w:shd w:val="clear" w:color="auto" w:fill="auto"/>
                  <w:vAlign w:val="center"/>
                </w:tcPr>
                <w:p w14:paraId="4B95C99D">
                  <w:pPr>
                    <w:widowControl/>
                    <w:jc w:val="center"/>
                    <w:rPr>
                      <w:strike w:val="0"/>
                      <w:dstrike w:val="0"/>
                      <w:color w:val="auto"/>
                      <w:kern w:val="0"/>
                      <w:szCs w:val="21"/>
                      <w:highlight w:val="none"/>
                    </w:rPr>
                  </w:pPr>
                  <w:r>
                    <w:rPr>
                      <w:strike w:val="0"/>
                      <w:dstrike w:val="0"/>
                      <w:color w:val="auto"/>
                      <w:kern w:val="0"/>
                      <w:szCs w:val="21"/>
                      <w:highlight w:val="none"/>
                    </w:rPr>
                    <w:t>含油污泥</w:t>
                  </w:r>
                </w:p>
              </w:tc>
              <w:tc>
                <w:tcPr>
                  <w:tcW w:w="776" w:type="dxa"/>
                  <w:shd w:val="clear" w:color="auto" w:fill="auto"/>
                  <w:vAlign w:val="center"/>
                </w:tcPr>
                <w:p w14:paraId="2B5A2BC0">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HW08</w:t>
                  </w:r>
                </w:p>
              </w:tc>
              <w:tc>
                <w:tcPr>
                  <w:tcW w:w="1196" w:type="dxa"/>
                  <w:shd w:val="clear" w:color="auto" w:fill="auto"/>
                  <w:vAlign w:val="center"/>
                </w:tcPr>
                <w:p w14:paraId="4F24A1EA">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900-210-08</w:t>
                  </w:r>
                </w:p>
              </w:tc>
              <w:tc>
                <w:tcPr>
                  <w:tcW w:w="834" w:type="dxa"/>
                  <w:vMerge w:val="continue"/>
                  <w:vAlign w:val="center"/>
                </w:tcPr>
                <w:p w14:paraId="02EBC1D5">
                  <w:pPr>
                    <w:topLinePunct/>
                    <w:contextualSpacing/>
                    <w:jc w:val="center"/>
                    <w:rPr>
                      <w:strike w:val="0"/>
                      <w:dstrike w:val="0"/>
                      <w:color w:val="auto"/>
                      <w:szCs w:val="21"/>
                      <w:highlight w:val="none"/>
                    </w:rPr>
                  </w:pPr>
                </w:p>
              </w:tc>
              <w:tc>
                <w:tcPr>
                  <w:tcW w:w="735" w:type="dxa"/>
                  <w:vMerge w:val="continue"/>
                  <w:vAlign w:val="center"/>
                </w:tcPr>
                <w:p w14:paraId="1E5CB024">
                  <w:pPr>
                    <w:topLinePunct/>
                    <w:contextualSpacing/>
                    <w:jc w:val="center"/>
                    <w:rPr>
                      <w:strike w:val="0"/>
                      <w:dstrike w:val="0"/>
                      <w:color w:val="auto"/>
                      <w:szCs w:val="21"/>
                      <w:highlight w:val="none"/>
                    </w:rPr>
                  </w:pPr>
                </w:p>
              </w:tc>
              <w:tc>
                <w:tcPr>
                  <w:tcW w:w="651" w:type="dxa"/>
                  <w:vAlign w:val="center"/>
                </w:tcPr>
                <w:p w14:paraId="2662A47F">
                  <w:pPr>
                    <w:topLinePunct/>
                    <w:contextualSpacing/>
                    <w:jc w:val="center"/>
                    <w:rPr>
                      <w:strike w:val="0"/>
                      <w:dstrike w:val="0"/>
                      <w:color w:val="auto"/>
                      <w:szCs w:val="21"/>
                      <w:highlight w:val="none"/>
                    </w:rPr>
                  </w:pPr>
                  <w:r>
                    <w:rPr>
                      <w:strike w:val="0"/>
                      <w:dstrike w:val="0"/>
                      <w:color w:val="auto"/>
                      <w:szCs w:val="21"/>
                      <w:highlight w:val="none"/>
                    </w:rPr>
                    <w:t>袋装</w:t>
                  </w:r>
                </w:p>
              </w:tc>
              <w:tc>
                <w:tcPr>
                  <w:tcW w:w="642" w:type="dxa"/>
                  <w:vMerge w:val="continue"/>
                  <w:vAlign w:val="center"/>
                </w:tcPr>
                <w:p w14:paraId="01FAA4C3">
                  <w:pPr>
                    <w:topLinePunct/>
                    <w:contextualSpacing/>
                    <w:jc w:val="center"/>
                    <w:rPr>
                      <w:strike w:val="0"/>
                      <w:dstrike w:val="0"/>
                      <w:color w:val="auto"/>
                      <w:szCs w:val="21"/>
                      <w:highlight w:val="none"/>
                    </w:rPr>
                  </w:pPr>
                </w:p>
              </w:tc>
              <w:tc>
                <w:tcPr>
                  <w:tcW w:w="852" w:type="dxa"/>
                  <w:vMerge w:val="continue"/>
                  <w:vAlign w:val="center"/>
                </w:tcPr>
                <w:p w14:paraId="75F0A492">
                  <w:pPr>
                    <w:topLinePunct/>
                    <w:contextualSpacing/>
                    <w:jc w:val="center"/>
                    <w:rPr>
                      <w:strike w:val="0"/>
                      <w:dstrike w:val="0"/>
                      <w:color w:val="auto"/>
                      <w:szCs w:val="21"/>
                      <w:highlight w:val="none"/>
                    </w:rPr>
                  </w:pPr>
                </w:p>
              </w:tc>
            </w:tr>
            <w:tr w14:paraId="12C4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shd w:val="clear" w:color="auto" w:fill="auto"/>
                  <w:vAlign w:val="center"/>
                </w:tcPr>
                <w:p w14:paraId="4D8EA516">
                  <w:pPr>
                    <w:contextualSpacing/>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8</w:t>
                  </w:r>
                </w:p>
              </w:tc>
              <w:tc>
                <w:tcPr>
                  <w:tcW w:w="958" w:type="dxa"/>
                  <w:vMerge w:val="continue"/>
                  <w:vAlign w:val="center"/>
                </w:tcPr>
                <w:p w14:paraId="33ED7533">
                  <w:pPr>
                    <w:topLinePunct/>
                    <w:contextualSpacing/>
                    <w:jc w:val="center"/>
                    <w:rPr>
                      <w:strike w:val="0"/>
                      <w:dstrike w:val="0"/>
                      <w:color w:val="auto"/>
                      <w:szCs w:val="21"/>
                      <w:highlight w:val="none"/>
                    </w:rPr>
                  </w:pPr>
                </w:p>
              </w:tc>
              <w:tc>
                <w:tcPr>
                  <w:tcW w:w="1252" w:type="dxa"/>
                  <w:shd w:val="clear" w:color="auto" w:fill="auto"/>
                  <w:vAlign w:val="center"/>
                </w:tcPr>
                <w:p w14:paraId="231437EE">
                  <w:pPr>
                    <w:widowControl/>
                    <w:jc w:val="center"/>
                    <w:rPr>
                      <w:strike w:val="0"/>
                      <w:dstrike w:val="0"/>
                      <w:color w:val="auto"/>
                      <w:kern w:val="0"/>
                      <w:szCs w:val="21"/>
                      <w:highlight w:val="none"/>
                    </w:rPr>
                  </w:pPr>
                  <w:r>
                    <w:rPr>
                      <w:strike w:val="0"/>
                      <w:dstrike w:val="0"/>
                      <w:color w:val="auto"/>
                      <w:kern w:val="0"/>
                      <w:szCs w:val="21"/>
                      <w:highlight w:val="none"/>
                    </w:rPr>
                    <w:t>含油棉纱手套</w:t>
                  </w:r>
                </w:p>
              </w:tc>
              <w:tc>
                <w:tcPr>
                  <w:tcW w:w="776" w:type="dxa"/>
                  <w:shd w:val="clear" w:color="auto" w:fill="auto"/>
                  <w:vAlign w:val="center"/>
                </w:tcPr>
                <w:p w14:paraId="2488D52D">
                  <w:pPr>
                    <w:adjustRightInd w:val="0"/>
                    <w:snapToGrid w:val="0"/>
                    <w:jc w:val="center"/>
                    <w:rPr>
                      <w:strike w:val="0"/>
                      <w:dstrike w:val="0"/>
                      <w:color w:val="auto"/>
                      <w:kern w:val="0"/>
                      <w:szCs w:val="21"/>
                      <w:highlight w:val="none"/>
                    </w:rPr>
                  </w:pPr>
                  <w:r>
                    <w:rPr>
                      <w:strike w:val="0"/>
                      <w:dstrike w:val="0"/>
                      <w:color w:val="auto"/>
                      <w:szCs w:val="21"/>
                      <w:highlight w:val="none"/>
                    </w:rPr>
                    <w:t>HW49</w:t>
                  </w:r>
                </w:p>
              </w:tc>
              <w:tc>
                <w:tcPr>
                  <w:tcW w:w="1196" w:type="dxa"/>
                  <w:shd w:val="clear" w:color="auto" w:fill="auto"/>
                  <w:vAlign w:val="center"/>
                </w:tcPr>
                <w:p w14:paraId="47BE7EC2">
                  <w:pPr>
                    <w:adjustRightInd w:val="0"/>
                    <w:snapToGrid w:val="0"/>
                    <w:jc w:val="center"/>
                    <w:rPr>
                      <w:strike w:val="0"/>
                      <w:dstrike w:val="0"/>
                      <w:color w:val="auto"/>
                      <w:kern w:val="0"/>
                      <w:szCs w:val="21"/>
                      <w:highlight w:val="none"/>
                    </w:rPr>
                  </w:pPr>
                  <w:r>
                    <w:rPr>
                      <w:strike w:val="0"/>
                      <w:dstrike w:val="0"/>
                      <w:color w:val="auto"/>
                      <w:szCs w:val="21"/>
                      <w:highlight w:val="none"/>
                    </w:rPr>
                    <w:t>900-041-49</w:t>
                  </w:r>
                </w:p>
              </w:tc>
              <w:tc>
                <w:tcPr>
                  <w:tcW w:w="834" w:type="dxa"/>
                  <w:vMerge w:val="continue"/>
                  <w:vAlign w:val="center"/>
                </w:tcPr>
                <w:p w14:paraId="45E1A5A4">
                  <w:pPr>
                    <w:topLinePunct/>
                    <w:contextualSpacing/>
                    <w:jc w:val="center"/>
                    <w:rPr>
                      <w:strike w:val="0"/>
                      <w:dstrike w:val="0"/>
                      <w:color w:val="auto"/>
                      <w:szCs w:val="21"/>
                      <w:highlight w:val="none"/>
                    </w:rPr>
                  </w:pPr>
                </w:p>
              </w:tc>
              <w:tc>
                <w:tcPr>
                  <w:tcW w:w="735" w:type="dxa"/>
                  <w:vMerge w:val="continue"/>
                  <w:vAlign w:val="center"/>
                </w:tcPr>
                <w:p w14:paraId="5F4935B2">
                  <w:pPr>
                    <w:topLinePunct/>
                    <w:contextualSpacing/>
                    <w:jc w:val="center"/>
                    <w:rPr>
                      <w:strike w:val="0"/>
                      <w:dstrike w:val="0"/>
                      <w:color w:val="auto"/>
                      <w:szCs w:val="21"/>
                      <w:highlight w:val="none"/>
                    </w:rPr>
                  </w:pPr>
                </w:p>
              </w:tc>
              <w:tc>
                <w:tcPr>
                  <w:tcW w:w="651" w:type="dxa"/>
                  <w:vAlign w:val="center"/>
                </w:tcPr>
                <w:p w14:paraId="0C728BFE">
                  <w:pPr>
                    <w:topLinePunct/>
                    <w:contextualSpacing/>
                    <w:jc w:val="center"/>
                    <w:rPr>
                      <w:strike w:val="0"/>
                      <w:dstrike w:val="0"/>
                      <w:color w:val="auto"/>
                      <w:szCs w:val="21"/>
                      <w:highlight w:val="none"/>
                    </w:rPr>
                  </w:pPr>
                  <w:r>
                    <w:rPr>
                      <w:strike w:val="0"/>
                      <w:dstrike w:val="0"/>
                      <w:color w:val="auto"/>
                      <w:szCs w:val="21"/>
                      <w:highlight w:val="none"/>
                    </w:rPr>
                    <w:t>袋装</w:t>
                  </w:r>
                </w:p>
              </w:tc>
              <w:tc>
                <w:tcPr>
                  <w:tcW w:w="642" w:type="dxa"/>
                  <w:vMerge w:val="continue"/>
                  <w:vAlign w:val="center"/>
                </w:tcPr>
                <w:p w14:paraId="22231109">
                  <w:pPr>
                    <w:topLinePunct/>
                    <w:contextualSpacing/>
                    <w:jc w:val="center"/>
                    <w:rPr>
                      <w:strike w:val="0"/>
                      <w:dstrike w:val="0"/>
                      <w:color w:val="auto"/>
                      <w:szCs w:val="21"/>
                      <w:highlight w:val="none"/>
                    </w:rPr>
                  </w:pPr>
                </w:p>
              </w:tc>
              <w:tc>
                <w:tcPr>
                  <w:tcW w:w="852" w:type="dxa"/>
                  <w:vMerge w:val="continue"/>
                  <w:vAlign w:val="center"/>
                </w:tcPr>
                <w:p w14:paraId="24008538">
                  <w:pPr>
                    <w:topLinePunct/>
                    <w:contextualSpacing/>
                    <w:jc w:val="center"/>
                    <w:rPr>
                      <w:strike w:val="0"/>
                      <w:dstrike w:val="0"/>
                      <w:color w:val="auto"/>
                      <w:szCs w:val="21"/>
                      <w:highlight w:val="none"/>
                    </w:rPr>
                  </w:pPr>
                </w:p>
              </w:tc>
            </w:tr>
          </w:tbl>
          <w:p w14:paraId="1AE760EB">
            <w:pPr>
              <w:spacing w:line="360" w:lineRule="auto"/>
              <w:rPr>
                <w:b/>
                <w:bCs/>
                <w:strike w:val="0"/>
                <w:dstrike w:val="0"/>
                <w:color w:val="auto"/>
                <w:sz w:val="24"/>
                <w:szCs w:val="32"/>
                <w:highlight w:val="none"/>
              </w:rPr>
            </w:pPr>
            <w:r>
              <w:rPr>
                <w:b/>
                <w:bCs/>
                <w:strike w:val="0"/>
                <w:dstrike w:val="0"/>
                <w:color w:val="auto"/>
                <w:spacing w:val="-10"/>
                <w:sz w:val="24"/>
                <w:highlight w:val="none"/>
              </w:rPr>
              <w:t xml:space="preserve">4.2.4.2 </w:t>
            </w:r>
            <w:r>
              <w:rPr>
                <w:b/>
                <w:bCs/>
                <w:strike w:val="0"/>
                <w:dstrike w:val="0"/>
                <w:color w:val="auto"/>
                <w:sz w:val="24"/>
                <w:highlight w:val="none"/>
              </w:rPr>
              <w:t>固体</w:t>
            </w:r>
            <w:r>
              <w:rPr>
                <w:b/>
                <w:bCs/>
                <w:strike w:val="0"/>
                <w:dstrike w:val="0"/>
                <w:color w:val="auto"/>
                <w:sz w:val="24"/>
                <w:szCs w:val="32"/>
                <w:highlight w:val="none"/>
              </w:rPr>
              <w:t>废物处置措施可行性分析</w:t>
            </w:r>
          </w:p>
          <w:p w14:paraId="6CD5A657">
            <w:pPr>
              <w:spacing w:line="360" w:lineRule="auto"/>
              <w:ind w:firstLine="480" w:firstLineChars="200"/>
              <w:rPr>
                <w:strike w:val="0"/>
                <w:dstrike w:val="0"/>
                <w:color w:val="auto"/>
                <w:sz w:val="24"/>
                <w:highlight w:val="none"/>
              </w:rPr>
            </w:pPr>
            <w:r>
              <w:rPr>
                <w:strike w:val="0"/>
                <w:dstrike w:val="0"/>
                <w:color w:val="auto"/>
                <w:sz w:val="24"/>
                <w:highlight w:val="none"/>
              </w:rPr>
              <w:t>本项目固体废物主要分为</w:t>
            </w:r>
            <w:r>
              <w:rPr>
                <w:strike w:val="0"/>
                <w:dstrike w:val="0"/>
                <w:color w:val="auto"/>
                <w:sz w:val="24"/>
                <w:highlight w:val="none"/>
                <w:lang w:bidi="ar"/>
              </w:rPr>
              <w:t>一般工业固废、危险废物、生活垃圾。</w:t>
            </w:r>
          </w:p>
          <w:p w14:paraId="038AA6E0">
            <w:pPr>
              <w:adjustRightInd w:val="0"/>
              <w:snapToGrid w:val="0"/>
              <w:spacing w:line="360" w:lineRule="auto"/>
              <w:ind w:firstLine="482" w:firstLineChars="200"/>
              <w:rPr>
                <w:strike w:val="0"/>
                <w:dstrike w:val="0"/>
                <w:color w:val="auto"/>
                <w:sz w:val="24"/>
                <w:highlight w:val="none"/>
              </w:rPr>
            </w:pPr>
            <w:r>
              <w:rPr>
                <w:b/>
                <w:bCs/>
                <w:strike w:val="0"/>
                <w:dstrike w:val="0"/>
                <w:color w:val="auto"/>
                <w:sz w:val="24"/>
                <w:highlight w:val="none"/>
              </w:rPr>
              <w:t>（1）防治措施</w:t>
            </w:r>
          </w:p>
          <w:p w14:paraId="26D313EE">
            <w:pPr>
              <w:spacing w:line="360" w:lineRule="auto"/>
              <w:ind w:firstLine="480" w:firstLineChars="200"/>
              <w:rPr>
                <w:rFonts w:ascii="Times New Roman" w:hAnsi="Times New Roman"/>
                <w:strike w:val="0"/>
                <w:dstrike w:val="0"/>
                <w:color w:val="auto"/>
                <w:szCs w:val="24"/>
                <w:highlight w:val="none"/>
              </w:rPr>
            </w:pPr>
            <w:r>
              <w:rPr>
                <w:strike w:val="0"/>
                <w:dstrike w:val="0"/>
                <w:color w:val="auto"/>
                <w:sz w:val="24"/>
                <w:highlight w:val="none"/>
              </w:rPr>
              <w:t>生活垃圾：</w:t>
            </w:r>
            <w:r>
              <w:rPr>
                <w:rFonts w:ascii="Times New Roman" w:hAnsi="Times New Roman"/>
                <w:strike w:val="0"/>
                <w:dstrike w:val="0"/>
                <w:color w:val="auto"/>
                <w:szCs w:val="24"/>
                <w:highlight w:val="none"/>
              </w:rPr>
              <w:t>项目运营期产生的生活垃圾实行分类袋装集中收集，及时清运，不得随意堆放，定期由环卫部门统一清运处置。</w:t>
            </w:r>
          </w:p>
          <w:p w14:paraId="1CE3E27F">
            <w:pPr>
              <w:spacing w:line="360" w:lineRule="auto"/>
              <w:ind w:firstLine="480" w:firstLineChars="200"/>
              <w:jc w:val="left"/>
              <w:rPr>
                <w:b/>
                <w:bCs/>
                <w:strike w:val="0"/>
                <w:dstrike w:val="0"/>
                <w:color w:val="auto"/>
                <w:sz w:val="24"/>
                <w:highlight w:val="none"/>
              </w:rPr>
            </w:pPr>
            <w:r>
              <w:rPr>
                <w:strike w:val="0"/>
                <w:dstrike w:val="0"/>
                <w:color w:val="auto"/>
                <w:sz w:val="24"/>
                <w:highlight w:val="none"/>
              </w:rPr>
              <w:t>一般工业固废：过滤</w:t>
            </w:r>
            <w:r>
              <w:rPr>
                <w:strike w:val="0"/>
                <w:dstrike w:val="0"/>
                <w:color w:val="auto"/>
                <w:kern w:val="0"/>
                <w:sz w:val="24"/>
                <w:highlight w:val="none"/>
              </w:rPr>
              <w:t>杂质</w:t>
            </w:r>
            <w:r>
              <w:rPr>
                <w:strike w:val="0"/>
                <w:dstrike w:val="0"/>
                <w:color w:val="auto"/>
                <w:sz w:val="24"/>
                <w:highlight w:val="none"/>
              </w:rPr>
              <w:t>经排污井收集后由环卫部门清运，</w:t>
            </w:r>
            <w:r>
              <w:rPr>
                <w:rStyle w:val="29"/>
                <w:strike w:val="0"/>
                <w:dstrike w:val="0"/>
                <w:color w:val="auto"/>
                <w:kern w:val="0"/>
                <w:sz w:val="24"/>
                <w:highlight w:val="none"/>
              </w:rPr>
              <w:t>生化池</w:t>
            </w:r>
            <w:r>
              <w:rPr>
                <w:rStyle w:val="29"/>
                <w:rFonts w:hint="eastAsia"/>
                <w:strike w:val="0"/>
                <w:dstrike w:val="0"/>
                <w:color w:val="auto"/>
                <w:kern w:val="0"/>
                <w:sz w:val="24"/>
                <w:highlight w:val="none"/>
              </w:rPr>
              <w:t>污泥</w:t>
            </w:r>
            <w:r>
              <w:rPr>
                <w:rFonts w:hint="eastAsia"/>
                <w:strike w:val="0"/>
                <w:dstrike w:val="0"/>
                <w:color w:val="auto"/>
                <w:sz w:val="24"/>
                <w:highlight w:val="none"/>
              </w:rPr>
              <w:t>委托专业单位定期清掏处置</w:t>
            </w:r>
            <w:r>
              <w:rPr>
                <w:strike w:val="0"/>
                <w:dstrike w:val="0"/>
                <w:color w:val="auto"/>
                <w:sz w:val="24"/>
                <w:highlight w:val="none"/>
              </w:rPr>
              <w:t>。</w:t>
            </w:r>
          </w:p>
          <w:p w14:paraId="4A4DFEE8">
            <w:pPr>
              <w:spacing w:line="360" w:lineRule="auto"/>
              <w:ind w:firstLine="480" w:firstLineChars="200"/>
              <w:rPr>
                <w:strike w:val="0"/>
                <w:dstrike w:val="0"/>
                <w:color w:val="auto"/>
                <w:sz w:val="24"/>
                <w:highlight w:val="none"/>
              </w:rPr>
            </w:pPr>
            <w:r>
              <w:rPr>
                <w:strike w:val="0"/>
                <w:dstrike w:val="0"/>
                <w:color w:val="auto"/>
                <w:sz w:val="24"/>
                <w:highlight w:val="none"/>
              </w:rPr>
              <w:t>危险废物：</w:t>
            </w:r>
            <w:r>
              <w:rPr>
                <w:rFonts w:hint="eastAsia"/>
                <w:strike w:val="0"/>
                <w:dstrike w:val="0"/>
                <w:color w:val="auto"/>
                <w:sz w:val="24"/>
                <w:highlight w:val="none"/>
              </w:rPr>
              <w:t>清罐废物、检修废物、</w:t>
            </w:r>
            <w:r>
              <w:rPr>
                <w:strike w:val="0"/>
                <w:dstrike w:val="0"/>
                <w:color w:val="auto"/>
                <w:sz w:val="24"/>
                <w:highlight w:val="none"/>
              </w:rPr>
              <w:t>废旧滤芯</w:t>
            </w:r>
            <w:r>
              <w:rPr>
                <w:rFonts w:hint="eastAsia"/>
                <w:strike w:val="0"/>
                <w:dstrike w:val="0"/>
                <w:color w:val="auto"/>
                <w:sz w:val="24"/>
                <w:highlight w:val="none"/>
                <w:lang w:eastAsia="zh-CN"/>
              </w:rPr>
              <w:t>、</w:t>
            </w:r>
            <w:r>
              <w:rPr>
                <w:rFonts w:hint="eastAsia"/>
                <w:strike w:val="0"/>
                <w:dstrike w:val="0"/>
                <w:color w:val="auto"/>
                <w:sz w:val="24"/>
                <w:highlight w:val="none"/>
              </w:rPr>
              <w:t>空压机油/水混合物（空压机）、废空压机油、废油桶、含油污泥、含油棉纱手套</w:t>
            </w:r>
            <w:r>
              <w:rPr>
                <w:strike w:val="0"/>
                <w:dstrike w:val="0"/>
                <w:color w:val="auto"/>
                <w:sz w:val="24"/>
                <w:highlight w:val="none"/>
              </w:rPr>
              <w:t>均属于危险废物，应分别采用专门的容器收集后分类分区暂存于</w:t>
            </w:r>
            <w:r>
              <w:rPr>
                <w:rFonts w:hint="eastAsia"/>
                <w:strike w:val="0"/>
                <w:dstrike w:val="0"/>
                <w:color w:val="auto"/>
                <w:sz w:val="24"/>
                <w:highlight w:val="none"/>
              </w:rPr>
              <w:t>危废贮存点</w:t>
            </w:r>
            <w:r>
              <w:rPr>
                <w:strike w:val="0"/>
                <w:dstrike w:val="0"/>
                <w:color w:val="auto"/>
                <w:sz w:val="24"/>
                <w:highlight w:val="none"/>
              </w:rPr>
              <w:t>内，定期</w:t>
            </w:r>
            <w:r>
              <w:rPr>
                <w:rFonts w:hint="eastAsia"/>
                <w:strike w:val="0"/>
                <w:dstrike w:val="0"/>
                <w:color w:val="auto"/>
                <w:sz w:val="24"/>
                <w:highlight w:val="none"/>
              </w:rPr>
              <w:t>交有危险废物处置资质的单位收运处置</w:t>
            </w:r>
            <w:r>
              <w:rPr>
                <w:strike w:val="0"/>
                <w:dstrike w:val="0"/>
                <w:color w:val="auto"/>
                <w:sz w:val="24"/>
                <w:highlight w:val="none"/>
              </w:rPr>
              <w:t>。</w:t>
            </w:r>
          </w:p>
          <w:p w14:paraId="6A232854">
            <w:pPr>
              <w:spacing w:line="360" w:lineRule="auto"/>
              <w:ind w:firstLine="480" w:firstLineChars="200"/>
              <w:contextualSpacing/>
              <w:rPr>
                <w:strike w:val="0"/>
                <w:dstrike w:val="0"/>
                <w:color w:val="auto"/>
                <w:sz w:val="24"/>
                <w:highlight w:val="none"/>
              </w:rPr>
            </w:pPr>
            <w:r>
              <w:rPr>
                <w:rFonts w:hint="eastAsia"/>
                <w:strike w:val="0"/>
                <w:dstrike w:val="0"/>
                <w:color w:val="auto"/>
                <w:sz w:val="24"/>
                <w:highlight w:val="none"/>
              </w:rPr>
              <w:t>危废贮存点位于厂区北侧</w:t>
            </w:r>
            <w:r>
              <w:rPr>
                <w:strike w:val="0"/>
                <w:dstrike w:val="0"/>
                <w:color w:val="auto"/>
                <w:sz w:val="24"/>
                <w:highlight w:val="none"/>
              </w:rPr>
              <w:t>，面积约2m</w:t>
            </w:r>
            <w:bookmarkStart w:id="119" w:name="OfficeAI_Del_4_17"/>
            <w:r>
              <w:rPr>
                <w:strike w:val="0"/>
                <w:dstrike w:val="0"/>
                <w:color w:val="auto"/>
                <w:sz w:val="24"/>
                <w:highlight w:val="none"/>
                <w:vertAlign w:val="superscript"/>
              </w:rPr>
              <w:t>2</w:t>
            </w:r>
            <w:bookmarkEnd w:id="119"/>
            <w:r>
              <w:rPr>
                <w:strike w:val="0"/>
                <w:dstrike w:val="0"/>
                <w:color w:val="auto"/>
                <w:sz w:val="24"/>
                <w:highlight w:val="none"/>
              </w:rPr>
              <w:t>。</w:t>
            </w:r>
            <w:r>
              <w:rPr>
                <w:rFonts w:hint="eastAsia"/>
                <w:strike w:val="0"/>
                <w:dstrike w:val="0"/>
                <w:color w:val="auto"/>
                <w:sz w:val="24"/>
                <w:highlight w:val="none"/>
              </w:rPr>
              <w:t>危废贮存点</w:t>
            </w:r>
            <w:r>
              <w:rPr>
                <w:strike w:val="0"/>
                <w:dstrike w:val="0"/>
                <w:color w:val="auto"/>
                <w:sz w:val="24"/>
                <w:highlight w:val="none"/>
              </w:rPr>
              <w:t>按《危险废物贮存污染控制标准》（GB18597-2023）要求进行防风、防晒、防雨、防漏、防渗、防腐以及其他环境污染防治措施。采用抗渗混凝土、高密度聚乙烯膜、钠基膨润土防水毯或其他防渗性能等效的材料，同时采取基础防渗，防渗层为至少1m厚黏土层（渗透系数不大于</w:t>
            </w:r>
            <w:r>
              <w:rPr>
                <w:bCs/>
                <w:strike w:val="0"/>
                <w:dstrike w:val="0"/>
                <w:color w:val="auto"/>
                <w:sz w:val="24"/>
                <w:highlight w:val="none"/>
              </w:rPr>
              <w:t>10</w:t>
            </w:r>
            <w:bookmarkStart w:id="120" w:name="OfficeAI_Del_4_156"/>
            <w:r>
              <w:rPr>
                <w:bCs/>
                <w:strike w:val="0"/>
                <w:dstrike w:val="0"/>
                <w:color w:val="auto"/>
                <w:sz w:val="24"/>
                <w:highlight w:val="none"/>
                <w:vertAlign w:val="superscript"/>
              </w:rPr>
              <w:t>-7</w:t>
            </w:r>
            <w:bookmarkEnd w:id="120"/>
            <w:r>
              <w:rPr>
                <w:bCs/>
                <w:strike w:val="0"/>
                <w:dstrike w:val="0"/>
                <w:color w:val="auto"/>
                <w:sz w:val="24"/>
                <w:highlight w:val="none"/>
              </w:rPr>
              <w:t>cm/s</w:t>
            </w:r>
            <w:r>
              <w:rPr>
                <w:strike w:val="0"/>
                <w:dstrike w:val="0"/>
                <w:color w:val="auto"/>
                <w:sz w:val="24"/>
                <w:highlight w:val="none"/>
              </w:rPr>
              <w:t>），或者</w:t>
            </w:r>
            <w:bookmarkStart w:id="121" w:name="OfficeAI_Add_4_168"/>
            <w:r>
              <w:rPr>
                <w:rFonts w:hint="eastAsia"/>
                <w:strike w:val="0"/>
                <w:dstrike w:val="0"/>
                <w:color w:val="auto"/>
                <w:sz w:val="24"/>
                <w:highlight w:val="none"/>
                <w:lang w:eastAsia="zh-CN"/>
              </w:rPr>
              <w:t>至</w:t>
            </w:r>
            <w:bookmarkEnd w:id="121"/>
            <w:r>
              <w:rPr>
                <w:strike w:val="0"/>
                <w:dstrike w:val="0"/>
                <w:color w:val="auto"/>
                <w:sz w:val="24"/>
                <w:highlight w:val="none"/>
              </w:rPr>
              <w:t>少2mm厚高密度聚乙烯膜等人工防渗材料（渗透系数不大于</w:t>
            </w:r>
            <w:r>
              <w:rPr>
                <w:bCs/>
                <w:strike w:val="0"/>
                <w:dstrike w:val="0"/>
                <w:color w:val="auto"/>
                <w:sz w:val="24"/>
                <w:highlight w:val="none"/>
              </w:rPr>
              <w:t>10</w:t>
            </w:r>
            <w:bookmarkStart w:id="122" w:name="OfficeAI_Del_4_198"/>
            <w:r>
              <w:rPr>
                <w:bCs/>
                <w:strike w:val="0"/>
                <w:dstrike w:val="0"/>
                <w:color w:val="auto"/>
                <w:sz w:val="24"/>
                <w:highlight w:val="none"/>
                <w:vertAlign w:val="superscript"/>
              </w:rPr>
              <w:t>-10</w:t>
            </w:r>
            <w:bookmarkEnd w:id="122"/>
            <w:r>
              <w:rPr>
                <w:bCs/>
                <w:strike w:val="0"/>
                <w:dstrike w:val="0"/>
                <w:color w:val="auto"/>
                <w:sz w:val="24"/>
                <w:highlight w:val="none"/>
              </w:rPr>
              <w:t>cm/s</w:t>
            </w:r>
            <w:r>
              <w:rPr>
                <w:strike w:val="0"/>
                <w:dstrike w:val="0"/>
                <w:color w:val="auto"/>
                <w:sz w:val="24"/>
                <w:highlight w:val="none"/>
              </w:rPr>
              <w:t>），或其他防渗性能等效的材料</w:t>
            </w:r>
            <w:r>
              <w:rPr>
                <w:bCs/>
                <w:strike w:val="0"/>
                <w:dstrike w:val="0"/>
                <w:color w:val="auto"/>
                <w:sz w:val="24"/>
                <w:highlight w:val="none"/>
              </w:rPr>
              <w:t>。</w:t>
            </w:r>
          </w:p>
          <w:p w14:paraId="78A198AE">
            <w:pPr>
              <w:spacing w:line="360" w:lineRule="auto"/>
              <w:ind w:firstLine="482" w:firstLineChars="200"/>
              <w:contextualSpacing/>
              <w:rPr>
                <w:b/>
                <w:bCs/>
                <w:strike w:val="0"/>
                <w:dstrike w:val="0"/>
                <w:color w:val="auto"/>
                <w:sz w:val="24"/>
                <w:highlight w:val="none"/>
              </w:rPr>
            </w:pPr>
            <w:r>
              <w:rPr>
                <w:b/>
                <w:bCs/>
                <w:strike w:val="0"/>
                <w:dstrike w:val="0"/>
                <w:color w:val="auto"/>
                <w:sz w:val="24"/>
                <w:highlight w:val="none"/>
              </w:rPr>
              <w:t>（2）固体废物管理要求与具体防治措施</w:t>
            </w:r>
          </w:p>
          <w:p w14:paraId="038C848B">
            <w:pPr>
              <w:spacing w:line="360" w:lineRule="auto"/>
              <w:ind w:firstLine="480" w:firstLineChars="200"/>
              <w:contextualSpacing/>
              <w:rPr>
                <w:strike w:val="0"/>
                <w:dstrike w:val="0"/>
                <w:color w:val="auto"/>
                <w:sz w:val="24"/>
                <w:highlight w:val="none"/>
              </w:rPr>
            </w:pPr>
            <w:r>
              <w:rPr>
                <w:strike w:val="0"/>
                <w:dstrike w:val="0"/>
                <w:color w:val="auto"/>
                <w:sz w:val="24"/>
                <w:highlight w:val="none"/>
              </w:rPr>
              <w:t>应当使用符合标准的容器盛装危险废物；装载危险废物的容器及材质要满足相应的强度要求；装载危险废物的容器必须完好无损；盛装危险废物的容器材质和衬里要与危险废物相容（不相互反应）。</w:t>
            </w:r>
          </w:p>
          <w:p w14:paraId="775C4027">
            <w:pPr>
              <w:spacing w:line="360" w:lineRule="auto"/>
              <w:ind w:firstLine="480" w:firstLineChars="200"/>
              <w:contextualSpacing/>
              <w:rPr>
                <w:strike w:val="0"/>
                <w:dstrike w:val="0"/>
                <w:color w:val="auto"/>
                <w:sz w:val="24"/>
                <w:highlight w:val="none"/>
              </w:rPr>
            </w:pPr>
            <w:r>
              <w:rPr>
                <w:strike w:val="0"/>
                <w:dstrike w:val="0"/>
                <w:color w:val="auto"/>
                <w:sz w:val="24"/>
                <w:highlight w:val="none"/>
              </w:rPr>
              <w:t>应按危险废物类别分别采用符合标准的容器贮存，</w:t>
            </w:r>
            <w:r>
              <w:rPr>
                <w:rFonts w:hint="eastAsia"/>
                <w:strike w:val="0"/>
                <w:dstrike w:val="0"/>
                <w:color w:val="auto"/>
                <w:sz w:val="24"/>
                <w:highlight w:val="none"/>
                <w:lang w:val="en-US" w:eastAsia="zh-CN"/>
              </w:rPr>
              <w:t>张贴</w:t>
            </w:r>
            <w:r>
              <w:rPr>
                <w:strike w:val="0"/>
                <w:dstrike w:val="0"/>
                <w:color w:val="auto"/>
                <w:sz w:val="24"/>
                <w:highlight w:val="none"/>
              </w:rPr>
              <w:t>危险废物标签，由专人负责管理。</w:t>
            </w:r>
          </w:p>
          <w:p w14:paraId="120A3803">
            <w:pPr>
              <w:spacing w:line="360" w:lineRule="auto"/>
              <w:ind w:firstLine="480" w:firstLineChars="200"/>
              <w:contextualSpacing/>
              <w:rPr>
                <w:strike w:val="0"/>
                <w:dstrike w:val="0"/>
                <w:color w:val="auto"/>
                <w:sz w:val="24"/>
                <w:highlight w:val="none"/>
              </w:rPr>
            </w:pPr>
            <w:r>
              <w:rPr>
                <w:rFonts w:hint="eastAsia"/>
                <w:strike w:val="0"/>
                <w:dstrike w:val="0"/>
                <w:color w:val="auto"/>
                <w:sz w:val="24"/>
                <w:highlight w:val="none"/>
              </w:rPr>
              <w:t>危废贮存点</w:t>
            </w:r>
            <w:r>
              <w:rPr>
                <w:strike w:val="0"/>
                <w:dstrike w:val="0"/>
                <w:color w:val="auto"/>
                <w:sz w:val="24"/>
                <w:highlight w:val="none"/>
              </w:rPr>
              <w:t>应符合《危险废物贮存污染控制标准》（GB18579-2023）要求，按规范进行防渗漏处理，设置明显的专用标志，禁止混入不相容的危险废物。</w:t>
            </w:r>
          </w:p>
          <w:p w14:paraId="32116009">
            <w:pPr>
              <w:spacing w:line="360" w:lineRule="auto"/>
              <w:ind w:firstLine="480" w:firstLineChars="200"/>
              <w:contextualSpacing/>
              <w:rPr>
                <w:strike w:val="0"/>
                <w:dstrike w:val="0"/>
                <w:color w:val="auto"/>
                <w:sz w:val="24"/>
                <w:highlight w:val="none"/>
              </w:rPr>
            </w:pPr>
            <w:r>
              <w:rPr>
                <w:strike w:val="0"/>
                <w:dstrike w:val="0"/>
                <w:color w:val="auto"/>
                <w:sz w:val="24"/>
                <w:highlight w:val="none"/>
              </w:rPr>
              <w:t>在交由有资质的危废处置单位清运处理时，应严格按照《危险废物转移联单管理办法》填写危险废物转移五联单，并由双方单位留</w:t>
            </w:r>
            <w:bookmarkStart w:id="123" w:name="OfficeAI_Add_3_58"/>
            <w:r>
              <w:rPr>
                <w:rFonts w:hint="eastAsia"/>
                <w:strike w:val="0"/>
                <w:dstrike w:val="0"/>
                <w:color w:val="auto"/>
                <w:sz w:val="24"/>
                <w:highlight w:val="none"/>
                <w:lang w:eastAsia="zh-CN"/>
              </w:rPr>
              <w:t>存</w:t>
            </w:r>
            <w:bookmarkEnd w:id="123"/>
            <w:r>
              <w:rPr>
                <w:strike w:val="0"/>
                <w:dstrike w:val="0"/>
                <w:color w:val="auto"/>
                <w:sz w:val="24"/>
                <w:highlight w:val="none"/>
              </w:rPr>
              <w:t>备查。</w:t>
            </w:r>
          </w:p>
          <w:p w14:paraId="661F3F3C">
            <w:pPr>
              <w:spacing w:line="360" w:lineRule="auto"/>
              <w:ind w:firstLine="480" w:firstLineChars="200"/>
              <w:contextualSpacing/>
              <w:rPr>
                <w:strike w:val="0"/>
                <w:dstrike w:val="0"/>
                <w:color w:val="auto"/>
                <w:sz w:val="24"/>
                <w:highlight w:val="none"/>
              </w:rPr>
            </w:pPr>
            <w:r>
              <w:rPr>
                <w:rFonts w:hint="eastAsia"/>
                <w:strike w:val="0"/>
                <w:dstrike w:val="0"/>
                <w:color w:val="auto"/>
                <w:sz w:val="24"/>
                <w:highlight w:val="none"/>
              </w:rPr>
              <w:t>危废贮存点</w:t>
            </w:r>
            <w:r>
              <w:rPr>
                <w:strike w:val="0"/>
                <w:dstrike w:val="0"/>
                <w:color w:val="auto"/>
                <w:sz w:val="24"/>
                <w:highlight w:val="none"/>
              </w:rPr>
              <w:t>应设防雨、防风、防晒和防渗漏措施，并有专人管理，按相关规定设置了警示标志。</w:t>
            </w:r>
            <w:r>
              <w:rPr>
                <w:rFonts w:hint="eastAsia"/>
                <w:strike w:val="0"/>
                <w:dstrike w:val="0"/>
                <w:color w:val="auto"/>
                <w:sz w:val="24"/>
                <w:highlight w:val="none"/>
              </w:rPr>
              <w:t>危废贮存点</w:t>
            </w:r>
            <w:r>
              <w:rPr>
                <w:strike w:val="0"/>
                <w:dstrike w:val="0"/>
                <w:color w:val="auto"/>
                <w:sz w:val="24"/>
                <w:highlight w:val="none"/>
              </w:rPr>
              <w:t>内清理出来的泄漏物，一律按危险废物处理。按国家污染源管理要求对危险废物贮存设施进行监测。</w:t>
            </w:r>
          </w:p>
          <w:p w14:paraId="22094EDB">
            <w:pPr>
              <w:autoSpaceDE w:val="0"/>
              <w:autoSpaceDN w:val="0"/>
              <w:spacing w:line="360" w:lineRule="auto"/>
              <w:ind w:firstLine="480" w:firstLineChars="200"/>
              <w:contextualSpacing/>
              <w:rPr>
                <w:strike w:val="0"/>
                <w:dstrike w:val="0"/>
                <w:color w:val="auto"/>
                <w:sz w:val="24"/>
                <w:highlight w:val="none"/>
              </w:rPr>
            </w:pPr>
            <w:r>
              <w:rPr>
                <w:strike w:val="0"/>
                <w:dstrike w:val="0"/>
                <w:color w:val="auto"/>
                <w:sz w:val="24"/>
                <w:highlight w:val="none"/>
              </w:rPr>
              <w:t>加强危险废物贮存设施的运行与管理，并对危险废物贮存设施进行安全防护与监测。</w:t>
            </w:r>
          </w:p>
          <w:p w14:paraId="60DB685A">
            <w:pPr>
              <w:spacing w:line="360" w:lineRule="auto"/>
              <w:ind w:firstLine="480" w:firstLineChars="200"/>
              <w:rPr>
                <w:strike w:val="0"/>
                <w:dstrike w:val="0"/>
                <w:color w:val="auto"/>
                <w:sz w:val="24"/>
                <w:highlight w:val="none"/>
              </w:rPr>
            </w:pPr>
            <w:r>
              <w:rPr>
                <w:strike w:val="0"/>
                <w:dstrike w:val="0"/>
                <w:color w:val="auto"/>
                <w:sz w:val="24"/>
                <w:highlight w:val="none"/>
              </w:rPr>
              <w:t>危险废物由专人负责管理其</w:t>
            </w:r>
            <w:bookmarkStart w:id="124" w:name="OfficeAI_Add_6_12"/>
            <w:r>
              <w:rPr>
                <w:rFonts w:hint="eastAsia"/>
                <w:strike w:val="0"/>
                <w:dstrike w:val="0"/>
                <w:color w:val="auto"/>
                <w:sz w:val="24"/>
                <w:highlight w:val="none"/>
                <w:lang w:eastAsia="zh-CN"/>
              </w:rPr>
              <w:t>出</w:t>
            </w:r>
            <w:bookmarkEnd w:id="124"/>
            <w:r>
              <w:rPr>
                <w:strike w:val="0"/>
                <w:dstrike w:val="0"/>
                <w:color w:val="auto"/>
                <w:sz w:val="24"/>
                <w:highlight w:val="none"/>
              </w:rPr>
              <w:t>入</w:t>
            </w:r>
            <w:bookmarkStart w:id="125" w:name="OfficeAI_Add_6_15"/>
            <w:r>
              <w:rPr>
                <w:rFonts w:hint="eastAsia"/>
                <w:strike w:val="0"/>
                <w:dstrike w:val="0"/>
                <w:color w:val="auto"/>
                <w:sz w:val="24"/>
                <w:highlight w:val="none"/>
                <w:lang w:eastAsia="zh-CN"/>
              </w:rPr>
              <w:t>，</w:t>
            </w:r>
            <w:bookmarkEnd w:id="125"/>
            <w:r>
              <w:rPr>
                <w:strike w:val="0"/>
                <w:dstrike w:val="0"/>
                <w:color w:val="auto"/>
                <w:sz w:val="24"/>
                <w:highlight w:val="none"/>
              </w:rPr>
              <w:t>完善出入登记台</w:t>
            </w:r>
            <w:bookmarkStart w:id="126" w:name="OfficeAI_Add_6_24"/>
            <w:r>
              <w:rPr>
                <w:rFonts w:hint="eastAsia"/>
                <w:strike w:val="0"/>
                <w:dstrike w:val="0"/>
                <w:color w:val="auto"/>
                <w:sz w:val="24"/>
                <w:highlight w:val="none"/>
                <w:lang w:eastAsia="zh-CN"/>
              </w:rPr>
              <w:t>账</w:t>
            </w:r>
            <w:bookmarkEnd w:id="126"/>
            <w:r>
              <w:rPr>
                <w:strike w:val="0"/>
                <w:dstrike w:val="0"/>
                <w:color w:val="auto"/>
                <w:sz w:val="24"/>
                <w:highlight w:val="none"/>
              </w:rPr>
              <w:t>，采用联单制管理办法，及时交具有危险废物处理资质的单位处理。</w:t>
            </w:r>
          </w:p>
          <w:p w14:paraId="0BF11FEA">
            <w:pPr>
              <w:pStyle w:val="10"/>
              <w:spacing w:before="0" w:after="0" w:line="360" w:lineRule="auto"/>
              <w:ind w:right="0" w:firstLine="480" w:firstLineChars="200"/>
              <w:rPr>
                <w:strike w:val="0"/>
                <w:dstrike w:val="0"/>
                <w:color w:val="auto"/>
                <w:sz w:val="24"/>
                <w:szCs w:val="24"/>
                <w:highlight w:val="none"/>
              </w:rPr>
            </w:pPr>
            <w:r>
              <w:rPr>
                <w:strike w:val="0"/>
                <w:dstrike w:val="0"/>
                <w:color w:val="auto"/>
                <w:sz w:val="24"/>
                <w:szCs w:val="24"/>
                <w:highlight w:val="none"/>
              </w:rPr>
              <w:t>综上所述，在落实本次评价提出的处置措施后，固体废物</w:t>
            </w:r>
            <w:r>
              <w:rPr>
                <w:bCs/>
                <w:strike w:val="0"/>
                <w:dstrike w:val="0"/>
                <w:color w:val="auto"/>
                <w:sz w:val="24"/>
                <w:szCs w:val="24"/>
                <w:highlight w:val="none"/>
              </w:rPr>
              <w:t>均能得到有效收集和处理，</w:t>
            </w:r>
            <w:r>
              <w:rPr>
                <w:strike w:val="0"/>
                <w:dstrike w:val="0"/>
                <w:color w:val="auto"/>
                <w:sz w:val="24"/>
                <w:szCs w:val="24"/>
                <w:highlight w:val="none"/>
              </w:rPr>
              <w:t>不会对环境产生二次污染，对环境影响小，满足环保要求。</w:t>
            </w:r>
          </w:p>
          <w:p w14:paraId="5485756F">
            <w:pPr>
              <w:adjustRightInd w:val="0"/>
              <w:snapToGrid w:val="0"/>
              <w:spacing w:line="360" w:lineRule="auto"/>
              <w:rPr>
                <w:b/>
                <w:strike w:val="0"/>
                <w:dstrike w:val="0"/>
                <w:color w:val="auto"/>
                <w:sz w:val="24"/>
                <w:highlight w:val="none"/>
              </w:rPr>
            </w:pPr>
            <w:r>
              <w:rPr>
                <w:b/>
                <w:bCs/>
                <w:strike w:val="0"/>
                <w:dstrike w:val="0"/>
                <w:color w:val="auto"/>
                <w:sz w:val="24"/>
                <w:highlight w:val="none"/>
              </w:rPr>
              <w:t xml:space="preserve">4.2.5 </w:t>
            </w:r>
            <w:r>
              <w:rPr>
                <w:b/>
                <w:strike w:val="0"/>
                <w:dstrike w:val="0"/>
                <w:color w:val="auto"/>
                <w:sz w:val="24"/>
                <w:highlight w:val="none"/>
              </w:rPr>
              <w:t>地下水及土壤</w:t>
            </w:r>
            <w:r>
              <w:rPr>
                <w:rFonts w:hint="eastAsia"/>
                <w:b/>
                <w:bCs/>
                <w:strike w:val="0"/>
                <w:dstrike w:val="0"/>
                <w:color w:val="auto"/>
                <w:sz w:val="24"/>
                <w:highlight w:val="none"/>
              </w:rPr>
              <w:t>影响分析及其防治措施</w:t>
            </w:r>
          </w:p>
          <w:p w14:paraId="769CA571">
            <w:pPr>
              <w:adjustRightInd w:val="0"/>
              <w:snapToGrid w:val="0"/>
              <w:spacing w:line="360" w:lineRule="auto"/>
              <w:rPr>
                <w:b/>
                <w:strike w:val="0"/>
                <w:dstrike w:val="0"/>
                <w:color w:val="auto"/>
                <w:sz w:val="24"/>
                <w:highlight w:val="none"/>
              </w:rPr>
            </w:pPr>
            <w:r>
              <w:rPr>
                <w:b/>
                <w:strike w:val="0"/>
                <w:dstrike w:val="0"/>
                <w:color w:val="auto"/>
                <w:sz w:val="24"/>
                <w:highlight w:val="none"/>
              </w:rPr>
              <w:t>4.2.5.1 地下水</w:t>
            </w:r>
          </w:p>
          <w:p w14:paraId="64F528E7">
            <w:pPr>
              <w:spacing w:line="360" w:lineRule="auto"/>
              <w:ind w:firstLine="480" w:firstLineChars="200"/>
              <w:rPr>
                <w:strike w:val="0"/>
                <w:dstrike w:val="0"/>
                <w:color w:val="auto"/>
                <w:kern w:val="0"/>
                <w:sz w:val="24"/>
                <w:highlight w:val="none"/>
              </w:rPr>
            </w:pPr>
            <w:r>
              <w:rPr>
                <w:rFonts w:hint="eastAsia"/>
                <w:strike w:val="0"/>
                <w:dstrike w:val="0"/>
                <w:color w:val="auto"/>
                <w:kern w:val="0"/>
                <w:sz w:val="24"/>
                <w:highlight w:val="none"/>
              </w:rPr>
              <w:t>本项目</w:t>
            </w:r>
            <w:r>
              <w:rPr>
                <w:strike w:val="0"/>
                <w:dstrike w:val="0"/>
                <w:color w:val="auto"/>
                <w:kern w:val="0"/>
                <w:sz w:val="24"/>
                <w:highlight w:val="none"/>
              </w:rPr>
              <w:t>主要</w:t>
            </w:r>
            <w:bookmarkStart w:id="127" w:name="OfficeAI_Del_0_5"/>
            <w:r>
              <w:rPr>
                <w:strike w:val="0"/>
                <w:dstrike w:val="0"/>
                <w:color w:val="auto"/>
                <w:kern w:val="0"/>
                <w:sz w:val="24"/>
                <w:highlight w:val="none"/>
              </w:rPr>
              <w:t>为</w:t>
            </w:r>
            <w:bookmarkEnd w:id="127"/>
            <w:bookmarkStart w:id="128" w:name="OfficeAI_Add_0_6"/>
            <w:r>
              <w:rPr>
                <w:rFonts w:hint="eastAsia"/>
                <w:strike w:val="0"/>
                <w:dstrike w:val="0"/>
                <w:color w:val="auto"/>
                <w:kern w:val="0"/>
                <w:sz w:val="24"/>
                <w:highlight w:val="none"/>
                <w:lang w:eastAsia="zh-CN"/>
              </w:rPr>
              <w:t>因</w:t>
            </w:r>
            <w:bookmarkEnd w:id="128"/>
            <w:r>
              <w:rPr>
                <w:strike w:val="0"/>
                <w:dstrike w:val="0"/>
                <w:color w:val="auto"/>
                <w:kern w:val="0"/>
                <w:sz w:val="24"/>
                <w:highlight w:val="none"/>
              </w:rPr>
              <w:t>设备设施故障、违规操作等原因引起汽油泄漏后渗入地下水造成影响</w:t>
            </w:r>
            <w:r>
              <w:rPr>
                <w:rFonts w:hint="eastAsia"/>
                <w:strike w:val="0"/>
                <w:dstrike w:val="0"/>
                <w:color w:val="auto"/>
                <w:kern w:val="0"/>
                <w:sz w:val="24"/>
                <w:highlight w:val="none"/>
                <w:lang w:eastAsia="zh-CN"/>
              </w:rPr>
              <w:t>，</w:t>
            </w:r>
            <w:r>
              <w:rPr>
                <w:rFonts w:hint="eastAsia"/>
                <w:strike w:val="0"/>
                <w:dstrike w:val="0"/>
                <w:color w:val="auto"/>
                <w:kern w:val="0"/>
                <w:sz w:val="24"/>
                <w:highlight w:val="none"/>
                <w:lang w:val="en-US" w:eastAsia="zh-CN"/>
              </w:rPr>
              <w:t>正常情况下不会对地下水环境造成影响</w:t>
            </w:r>
            <w:r>
              <w:rPr>
                <w:strike w:val="0"/>
                <w:dstrike w:val="0"/>
                <w:color w:val="auto"/>
                <w:kern w:val="0"/>
                <w:sz w:val="24"/>
                <w:highlight w:val="none"/>
              </w:rPr>
              <w:t>。</w:t>
            </w:r>
          </w:p>
          <w:p w14:paraId="2193F4CA">
            <w:pPr>
              <w:numPr>
                <w:ilvl w:val="0"/>
                <w:numId w:val="12"/>
              </w:numPr>
              <w:spacing w:line="360" w:lineRule="auto"/>
              <w:ind w:firstLine="480" w:firstLineChars="200"/>
              <w:rPr>
                <w:bCs/>
                <w:strike w:val="0"/>
                <w:dstrike w:val="0"/>
                <w:color w:val="auto"/>
                <w:sz w:val="24"/>
                <w:highlight w:val="none"/>
              </w:rPr>
            </w:pPr>
            <w:r>
              <w:rPr>
                <w:bCs/>
                <w:strike w:val="0"/>
                <w:dstrike w:val="0"/>
                <w:color w:val="auto"/>
                <w:sz w:val="24"/>
                <w:highlight w:val="none"/>
              </w:rPr>
              <w:t>重点防渗区</w:t>
            </w:r>
          </w:p>
          <w:p w14:paraId="5282AC27">
            <w:pPr>
              <w:spacing w:line="360" w:lineRule="auto"/>
              <w:ind w:firstLine="480" w:firstLineChars="200"/>
              <w:rPr>
                <w:strike w:val="0"/>
                <w:dstrike w:val="0"/>
                <w:color w:val="auto"/>
                <w:sz w:val="24"/>
                <w:highlight w:val="none"/>
              </w:rPr>
            </w:pPr>
            <w:r>
              <w:rPr>
                <w:strike w:val="0"/>
                <w:dstrike w:val="0"/>
                <w:color w:val="auto"/>
                <w:sz w:val="24"/>
                <w:highlight w:val="none"/>
              </w:rPr>
              <w:t>将罩棚下整个区域、储油罐区、加油区、卸油区、储气罐区、工艺管道、</w:t>
            </w:r>
            <w:r>
              <w:rPr>
                <w:rFonts w:hint="eastAsia"/>
                <w:strike w:val="0"/>
                <w:dstrike w:val="0"/>
                <w:color w:val="auto"/>
                <w:sz w:val="24"/>
                <w:highlight w:val="none"/>
              </w:rPr>
              <w:t>危废贮存点</w:t>
            </w:r>
            <w:r>
              <w:rPr>
                <w:strike w:val="0"/>
                <w:dstrike w:val="0"/>
                <w:color w:val="auto"/>
                <w:sz w:val="24"/>
                <w:highlight w:val="none"/>
              </w:rPr>
              <w:t>、隔油池作为重点防渗区。</w:t>
            </w:r>
          </w:p>
          <w:p w14:paraId="66AB4954">
            <w:pPr>
              <w:spacing w:line="360" w:lineRule="auto"/>
              <w:ind w:firstLine="480" w:firstLineChars="200"/>
              <w:rPr>
                <w:strike w:val="0"/>
                <w:dstrike w:val="0"/>
                <w:color w:val="auto"/>
                <w:sz w:val="24"/>
                <w:highlight w:val="none"/>
              </w:rPr>
            </w:pPr>
            <w:r>
              <w:rPr>
                <w:strike w:val="0"/>
                <w:dstrike w:val="0"/>
                <w:color w:val="auto"/>
                <w:sz w:val="24"/>
                <w:highlight w:val="none"/>
              </w:rPr>
              <w:t>采取的污染防治措施为：</w:t>
            </w:r>
          </w:p>
          <w:p w14:paraId="6F3172DC">
            <w:pPr>
              <w:spacing w:line="360" w:lineRule="auto"/>
              <w:ind w:firstLine="480" w:firstLineChars="200"/>
              <w:rPr>
                <w:strike w:val="0"/>
                <w:dstrike w:val="0"/>
                <w:color w:val="auto"/>
                <w:sz w:val="24"/>
                <w:highlight w:val="none"/>
              </w:rPr>
            </w:pPr>
            <w:r>
              <w:rPr>
                <w:strike w:val="0"/>
                <w:dstrike w:val="0"/>
                <w:color w:val="auto"/>
                <w:sz w:val="24"/>
                <w:highlight w:val="none"/>
              </w:rPr>
              <w:t>①油罐采用双层油罐，埋地设置，并设置防渗罐池，其</w:t>
            </w:r>
            <w:bookmarkStart w:id="129" w:name="OfficeAI_Del_4_24"/>
            <w:r>
              <w:rPr>
                <w:strike w:val="0"/>
                <w:dstrike w:val="0"/>
                <w:color w:val="auto"/>
                <w:sz w:val="24"/>
                <w:highlight w:val="none"/>
              </w:rPr>
              <w:t>机</w:t>
            </w:r>
            <w:bookmarkEnd w:id="129"/>
            <w:bookmarkStart w:id="130" w:name="OfficeAI_Add_4_25"/>
            <w:r>
              <w:rPr>
                <w:rFonts w:hint="eastAsia"/>
                <w:strike w:val="0"/>
                <w:dstrike w:val="0"/>
                <w:color w:val="auto"/>
                <w:sz w:val="24"/>
                <w:highlight w:val="none"/>
                <w:lang w:eastAsia="zh-CN"/>
              </w:rPr>
              <w:t>结</w:t>
            </w:r>
            <w:bookmarkEnd w:id="130"/>
            <w:r>
              <w:rPr>
                <w:strike w:val="0"/>
                <w:dstrike w:val="0"/>
                <w:color w:val="auto"/>
                <w:sz w:val="24"/>
                <w:highlight w:val="none"/>
              </w:rPr>
              <w:t>构设计应符合《汽车加油加气加氢站技术标准》（</w:t>
            </w:r>
            <w:r>
              <w:rPr>
                <w:rFonts w:eastAsia="TimesNewRomanPSMT"/>
                <w:strike w:val="0"/>
                <w:dstrike w:val="0"/>
                <w:color w:val="auto"/>
                <w:sz w:val="24"/>
                <w:highlight w:val="none"/>
              </w:rPr>
              <w:t>GB50156-2021</w:t>
            </w:r>
            <w:r>
              <w:rPr>
                <w:strike w:val="0"/>
                <w:dstrike w:val="0"/>
                <w:color w:val="auto"/>
                <w:sz w:val="24"/>
                <w:highlight w:val="none"/>
              </w:rPr>
              <w:t>）中相关规定。一旦发生泄漏，油品暂存在防渗罐池内。油罐的液位自动监测系统，应具有油罐渗漏的监测功能和高液位报警功能。油罐底部设置漏油监测装置。储罐下方的地面做防渗处理。加油机底部设接油盘，收集加油后油枪滴漏的少量油品。</w:t>
            </w:r>
          </w:p>
          <w:p w14:paraId="7BD222CD">
            <w:pPr>
              <w:spacing w:line="360" w:lineRule="auto"/>
              <w:ind w:firstLine="480" w:firstLineChars="200"/>
              <w:rPr>
                <w:strike w:val="0"/>
                <w:dstrike w:val="0"/>
                <w:color w:val="auto"/>
                <w:sz w:val="24"/>
                <w:highlight w:val="none"/>
              </w:rPr>
            </w:pPr>
            <w:r>
              <w:rPr>
                <w:strike w:val="0"/>
                <w:dstrike w:val="0"/>
                <w:color w:val="auto"/>
                <w:sz w:val="24"/>
                <w:highlight w:val="none"/>
              </w:rPr>
              <w:t>②储气罐采用LNG卧式撬装储罐，内罐与外罐之间应设绝热层，绝热层应与LNG和天然气相适应，并应为不燃材料。外罐外部着火时，绝热层的绝热性能不应明显降低。LNG橇装设备的主箱体内侧应设拦蓄池，拦蓄池内的有效容量不应小于LNG储罐的容量。其</w:t>
            </w:r>
            <w:bookmarkStart w:id="131" w:name="OfficeAI_Add_5_119"/>
            <w:r>
              <w:rPr>
                <w:rFonts w:hint="eastAsia"/>
                <w:strike w:val="0"/>
                <w:dstrike w:val="0"/>
                <w:color w:val="auto"/>
                <w:sz w:val="24"/>
                <w:highlight w:val="none"/>
                <w:lang w:eastAsia="zh-CN"/>
              </w:rPr>
              <w:t>结</w:t>
            </w:r>
            <w:bookmarkEnd w:id="131"/>
            <w:r>
              <w:rPr>
                <w:strike w:val="0"/>
                <w:dstrike w:val="0"/>
                <w:color w:val="auto"/>
                <w:sz w:val="24"/>
                <w:highlight w:val="none"/>
              </w:rPr>
              <w:t>构设计应符合《汽车加油加气加氢站技术标准》（</w:t>
            </w:r>
            <w:r>
              <w:rPr>
                <w:rFonts w:eastAsia="TimesNewRomanPSMT"/>
                <w:strike w:val="0"/>
                <w:dstrike w:val="0"/>
                <w:color w:val="auto"/>
                <w:sz w:val="24"/>
                <w:highlight w:val="none"/>
              </w:rPr>
              <w:t>GB50156-2021</w:t>
            </w:r>
            <w:r>
              <w:rPr>
                <w:strike w:val="0"/>
                <w:dstrike w:val="0"/>
                <w:color w:val="auto"/>
                <w:sz w:val="24"/>
                <w:highlight w:val="none"/>
              </w:rPr>
              <w:t>）中相关规定。LNG储罐应设置液位计和高液位报警器，高液位报警器应与进液管道紧急切断阀联锁；LNG储罐最高液位以上部位应设置压力表；在内罐与外罐之间应设置检测环形空间绝对压力的仪器或检测接口；液位计、压力表应能就地指示，并应将检测信号传送至控制室集中显示。</w:t>
            </w:r>
          </w:p>
          <w:p w14:paraId="70D018DF">
            <w:pPr>
              <w:spacing w:line="360" w:lineRule="auto"/>
              <w:ind w:firstLine="480" w:firstLineChars="200"/>
              <w:jc w:val="left"/>
              <w:rPr>
                <w:strike w:val="0"/>
                <w:dstrike w:val="0"/>
                <w:color w:val="auto"/>
                <w:sz w:val="24"/>
                <w:highlight w:val="none"/>
              </w:rPr>
            </w:pPr>
            <w:r>
              <w:rPr>
                <w:strike w:val="0"/>
                <w:dstrike w:val="0"/>
                <w:color w:val="auto"/>
                <w:sz w:val="24"/>
                <w:highlight w:val="none"/>
              </w:rPr>
              <w:t>③</w:t>
            </w:r>
            <w:r>
              <w:rPr>
                <w:rFonts w:hAnsi="宋体"/>
                <w:strike w:val="0"/>
                <w:dstrike w:val="0"/>
                <w:color w:val="auto"/>
                <w:sz w:val="24"/>
                <w:highlight w:val="none"/>
              </w:rPr>
              <w:t>工艺管道：站内埋地油罐的出油管道，设置防渗套管保护；防渗套管采用耐油、耐腐蚀、耐老化和满足强度要求的非金属管材，壁厚不小于</w:t>
            </w:r>
            <w:r>
              <w:rPr>
                <w:strike w:val="0"/>
                <w:dstrike w:val="0"/>
                <w:color w:val="auto"/>
                <w:sz w:val="24"/>
                <w:highlight w:val="none"/>
              </w:rPr>
              <w:t>5mm</w:t>
            </w:r>
            <w:r>
              <w:rPr>
                <w:rFonts w:hAnsi="宋体"/>
                <w:strike w:val="0"/>
                <w:dstrike w:val="0"/>
                <w:color w:val="auto"/>
                <w:sz w:val="24"/>
                <w:highlight w:val="none"/>
              </w:rPr>
              <w:t>。防渗套管的端部不应埋地，并严密封口。工艺管道与防渗套管的二次空间采用液体传感器进行渗漏监测。</w:t>
            </w:r>
          </w:p>
          <w:p w14:paraId="31B29AA8">
            <w:pPr>
              <w:spacing w:line="360" w:lineRule="auto"/>
              <w:ind w:firstLine="480" w:firstLineChars="200"/>
              <w:rPr>
                <w:bCs/>
                <w:strike w:val="0"/>
                <w:dstrike w:val="0"/>
                <w:color w:val="auto"/>
                <w:sz w:val="24"/>
                <w:highlight w:val="none"/>
              </w:rPr>
            </w:pPr>
            <w:r>
              <w:rPr>
                <w:strike w:val="0"/>
                <w:dstrike w:val="0"/>
                <w:color w:val="auto"/>
                <w:sz w:val="24"/>
                <w:highlight w:val="none"/>
              </w:rPr>
              <w:fldChar w:fldCharType="begin"/>
            </w:r>
            <w:r>
              <w:rPr>
                <w:strike w:val="0"/>
                <w:dstrike w:val="0"/>
                <w:color w:val="auto"/>
                <w:sz w:val="24"/>
                <w:highlight w:val="none"/>
              </w:rPr>
              <w:instrText xml:space="preserve"> = 4 \* GB3 \* MERGEFORMAT </w:instrText>
            </w:r>
            <w:r>
              <w:rPr>
                <w:strike w:val="0"/>
                <w:dstrike w:val="0"/>
                <w:color w:val="auto"/>
                <w:sz w:val="24"/>
                <w:highlight w:val="none"/>
              </w:rPr>
              <w:fldChar w:fldCharType="separate"/>
            </w:r>
            <w:r>
              <w:rPr>
                <w:strike w:val="0"/>
                <w:dstrike w:val="0"/>
                <w:color w:val="auto"/>
                <w:sz w:val="24"/>
                <w:highlight w:val="none"/>
              </w:rPr>
              <w:t>④</w:t>
            </w:r>
            <w:r>
              <w:rPr>
                <w:strike w:val="0"/>
                <w:dstrike w:val="0"/>
                <w:color w:val="auto"/>
                <w:sz w:val="24"/>
                <w:highlight w:val="none"/>
              </w:rPr>
              <w:fldChar w:fldCharType="end"/>
            </w:r>
            <w:r>
              <w:rPr>
                <w:strike w:val="0"/>
                <w:dstrike w:val="0"/>
                <w:color w:val="auto"/>
                <w:sz w:val="24"/>
                <w:highlight w:val="none"/>
              </w:rPr>
              <w:t>罩棚区域内地面及</w:t>
            </w:r>
            <w:r>
              <w:rPr>
                <w:rFonts w:hint="eastAsia"/>
                <w:strike w:val="0"/>
                <w:dstrike w:val="0"/>
                <w:color w:val="auto"/>
                <w:sz w:val="24"/>
                <w:highlight w:val="none"/>
                <w:lang w:eastAsia="zh-CN"/>
              </w:rPr>
              <w:t>储油罐区</w:t>
            </w:r>
            <w:r>
              <w:rPr>
                <w:strike w:val="0"/>
                <w:dstrike w:val="0"/>
                <w:color w:val="auto"/>
                <w:sz w:val="24"/>
                <w:highlight w:val="none"/>
              </w:rPr>
              <w:t>池体内、加油区、卸油区、储气罐区、</w:t>
            </w:r>
            <w:r>
              <w:rPr>
                <w:rFonts w:hint="eastAsia"/>
                <w:strike w:val="0"/>
                <w:dstrike w:val="0"/>
                <w:color w:val="auto"/>
                <w:sz w:val="24"/>
                <w:highlight w:val="none"/>
              </w:rPr>
              <w:t>危废贮存点</w:t>
            </w:r>
            <w:r>
              <w:rPr>
                <w:strike w:val="0"/>
                <w:dstrike w:val="0"/>
                <w:color w:val="auto"/>
                <w:sz w:val="24"/>
                <w:highlight w:val="none"/>
              </w:rPr>
              <w:t>、隔油池防渗结构的防渗效果应满足《环境影响评价技术导则地下水环境》（</w:t>
            </w:r>
            <w:r>
              <w:rPr>
                <w:rFonts w:eastAsia="TimesNewRomanPSMT"/>
                <w:strike w:val="0"/>
                <w:dstrike w:val="0"/>
                <w:color w:val="auto"/>
                <w:sz w:val="24"/>
                <w:highlight w:val="none"/>
              </w:rPr>
              <w:t>HJ610-</w:t>
            </w:r>
            <w:bookmarkStart w:id="132" w:name="OfficeAI_Del_7_105"/>
            <w:r>
              <w:rPr>
                <w:rFonts w:eastAsia="TimesNewRomanPSMT"/>
                <w:strike w:val="0"/>
                <w:dstrike w:val="0"/>
                <w:color w:val="auto"/>
                <w:sz w:val="24"/>
                <w:highlight w:val="none"/>
              </w:rPr>
              <w:t>20</w:t>
            </w:r>
            <w:bookmarkEnd w:id="132"/>
            <w:bookmarkStart w:id="133" w:name="OfficeAI_Add_7_107"/>
            <w:r>
              <w:rPr>
                <w:rFonts w:eastAsia="TimesNewRomanPSMT"/>
                <w:strike w:val="0"/>
                <w:dstrike w:val="0"/>
                <w:color w:val="auto"/>
                <w:sz w:val="24"/>
                <w:highlight w:val="none"/>
              </w:rPr>
              <w:t>16</w:t>
            </w:r>
            <w:bookmarkEnd w:id="133"/>
            <w:r>
              <w:rPr>
                <w:strike w:val="0"/>
                <w:dstrike w:val="0"/>
                <w:color w:val="auto"/>
                <w:sz w:val="24"/>
                <w:highlight w:val="none"/>
              </w:rPr>
              <w:t>）中等效</w:t>
            </w:r>
            <w:bookmarkStart w:id="134" w:name="OfficeAI_Del_7_113"/>
            <w:r>
              <w:rPr>
                <w:strike w:val="0"/>
                <w:dstrike w:val="0"/>
                <w:color w:val="auto"/>
                <w:sz w:val="24"/>
                <w:highlight w:val="none"/>
              </w:rPr>
              <w:t>黏</w:t>
            </w:r>
            <w:bookmarkEnd w:id="134"/>
            <w:r>
              <w:rPr>
                <w:strike w:val="0"/>
                <w:dstrike w:val="0"/>
                <w:color w:val="auto"/>
                <w:sz w:val="24"/>
                <w:highlight w:val="none"/>
              </w:rPr>
              <w:t>土防渗层厚度≥</w:t>
            </w:r>
            <w:r>
              <w:rPr>
                <w:rFonts w:eastAsia="TimesNewRomanPSMT"/>
                <w:strike w:val="0"/>
                <w:dstrike w:val="0"/>
                <w:color w:val="auto"/>
                <w:sz w:val="24"/>
                <w:highlight w:val="none"/>
              </w:rPr>
              <w:t>6.0m</w:t>
            </w:r>
            <w:r>
              <w:rPr>
                <w:strike w:val="0"/>
                <w:dstrike w:val="0"/>
                <w:color w:val="auto"/>
                <w:sz w:val="24"/>
                <w:highlight w:val="none"/>
              </w:rPr>
              <w:t>，渗透系数≤</w:t>
            </w:r>
            <w:r>
              <w:rPr>
                <w:rFonts w:eastAsia="TimesNewRomanPSMT"/>
                <w:strike w:val="0"/>
                <w:dstrike w:val="0"/>
                <w:color w:val="auto"/>
                <w:sz w:val="24"/>
                <w:highlight w:val="none"/>
              </w:rPr>
              <w:t>1</w:t>
            </w:r>
            <w:r>
              <w:rPr>
                <w:strike w:val="0"/>
                <w:dstrike w:val="0"/>
                <w:color w:val="auto"/>
                <w:sz w:val="24"/>
                <w:highlight w:val="none"/>
              </w:rPr>
              <w:t>×</w:t>
            </w:r>
            <w:r>
              <w:rPr>
                <w:rFonts w:eastAsia="TimesNewRomanPSMT"/>
                <w:strike w:val="0"/>
                <w:dstrike w:val="0"/>
                <w:color w:val="auto"/>
                <w:sz w:val="24"/>
                <w:highlight w:val="none"/>
              </w:rPr>
              <w:t>10</w:t>
            </w:r>
            <w:r>
              <w:rPr>
                <w:strike w:val="0"/>
                <w:dstrike w:val="0"/>
                <w:color w:val="auto"/>
                <w:sz w:val="24"/>
                <w:highlight w:val="none"/>
                <w:vertAlign w:val="superscript"/>
              </w:rPr>
              <w:t>-7</w:t>
            </w:r>
            <w:r>
              <w:rPr>
                <w:rFonts w:eastAsia="TimesNewRomanPSMT"/>
                <w:strike w:val="0"/>
                <w:dstrike w:val="0"/>
                <w:color w:val="auto"/>
                <w:sz w:val="24"/>
                <w:highlight w:val="none"/>
              </w:rPr>
              <w:t xml:space="preserve">cm/s </w:t>
            </w:r>
            <w:r>
              <w:rPr>
                <w:strike w:val="0"/>
                <w:dstrike w:val="0"/>
                <w:color w:val="auto"/>
                <w:sz w:val="24"/>
                <w:highlight w:val="none"/>
              </w:rPr>
              <w:t>的要求</w:t>
            </w:r>
            <w:r>
              <w:rPr>
                <w:bCs/>
                <w:strike w:val="0"/>
                <w:dstrike w:val="0"/>
                <w:color w:val="auto"/>
                <w:sz w:val="24"/>
                <w:highlight w:val="none"/>
              </w:rPr>
              <w:t>。</w:t>
            </w:r>
          </w:p>
          <w:p w14:paraId="63D4241F">
            <w:pPr>
              <w:numPr>
                <w:ilvl w:val="0"/>
                <w:numId w:val="12"/>
              </w:numPr>
              <w:spacing w:line="360" w:lineRule="auto"/>
              <w:ind w:firstLine="480" w:firstLineChars="200"/>
              <w:jc w:val="left"/>
              <w:rPr>
                <w:bCs/>
                <w:strike w:val="0"/>
                <w:dstrike w:val="0"/>
                <w:color w:val="auto"/>
                <w:sz w:val="24"/>
                <w:highlight w:val="none"/>
              </w:rPr>
            </w:pPr>
            <w:r>
              <w:rPr>
                <w:bCs/>
                <w:strike w:val="0"/>
                <w:dstrike w:val="0"/>
                <w:color w:val="auto"/>
                <w:sz w:val="24"/>
                <w:highlight w:val="none"/>
              </w:rPr>
              <w:t>一般防渗区</w:t>
            </w:r>
          </w:p>
          <w:p w14:paraId="47C164E4">
            <w:pPr>
              <w:spacing w:line="360" w:lineRule="auto"/>
              <w:ind w:firstLine="480" w:firstLineChars="200"/>
              <w:jc w:val="left"/>
              <w:rPr>
                <w:bCs/>
                <w:strike w:val="0"/>
                <w:dstrike w:val="0"/>
                <w:color w:val="auto"/>
                <w:sz w:val="24"/>
                <w:highlight w:val="none"/>
              </w:rPr>
            </w:pPr>
            <w:r>
              <w:rPr>
                <w:bCs/>
                <w:strike w:val="0"/>
                <w:dstrike w:val="0"/>
                <w:color w:val="auto"/>
                <w:sz w:val="24"/>
                <w:highlight w:val="none"/>
              </w:rPr>
              <w:t>主要是</w:t>
            </w:r>
            <w:r>
              <w:rPr>
                <w:rFonts w:hint="eastAsia"/>
                <w:strike w:val="0"/>
                <w:dstrike w:val="0"/>
                <w:color w:val="auto"/>
                <w:sz w:val="24"/>
                <w:highlight w:val="none"/>
                <w:lang w:eastAsia="zh-CN"/>
              </w:rPr>
              <w:t>截流沟</w:t>
            </w:r>
            <w:r>
              <w:rPr>
                <w:rFonts w:hint="eastAsia"/>
                <w:strike w:val="0"/>
                <w:dstrike w:val="0"/>
                <w:color w:val="auto"/>
                <w:sz w:val="24"/>
                <w:highlight w:val="none"/>
              </w:rPr>
              <w:t>、加油区地面、生化池</w:t>
            </w:r>
            <w:r>
              <w:rPr>
                <w:bCs/>
                <w:strike w:val="0"/>
                <w:dstrike w:val="0"/>
                <w:color w:val="auto"/>
                <w:sz w:val="24"/>
                <w:highlight w:val="none"/>
              </w:rPr>
              <w:t>。防渗层的防渗性能不应低于1.5m厚防渗系数1×10</w:t>
            </w:r>
            <w:r>
              <w:rPr>
                <w:bCs/>
                <w:strike w:val="0"/>
                <w:dstrike w:val="0"/>
                <w:color w:val="auto"/>
                <w:sz w:val="24"/>
                <w:highlight w:val="none"/>
                <w:vertAlign w:val="superscript"/>
              </w:rPr>
              <w:t>-7</w:t>
            </w:r>
            <w:r>
              <w:rPr>
                <w:bCs/>
                <w:strike w:val="0"/>
                <w:dstrike w:val="0"/>
                <w:color w:val="auto"/>
                <w:sz w:val="24"/>
                <w:highlight w:val="none"/>
              </w:rPr>
              <w:t>cm/s的等效黏土层的防渗性能。</w:t>
            </w:r>
          </w:p>
          <w:p w14:paraId="151D431D">
            <w:pPr>
              <w:numPr>
                <w:ilvl w:val="0"/>
                <w:numId w:val="12"/>
              </w:numPr>
              <w:spacing w:line="360" w:lineRule="auto"/>
              <w:ind w:firstLine="480" w:firstLineChars="200"/>
              <w:rPr>
                <w:bCs/>
                <w:strike w:val="0"/>
                <w:dstrike w:val="0"/>
                <w:color w:val="auto"/>
                <w:sz w:val="24"/>
                <w:highlight w:val="none"/>
              </w:rPr>
            </w:pPr>
            <w:r>
              <w:rPr>
                <w:bCs/>
                <w:strike w:val="0"/>
                <w:dstrike w:val="0"/>
                <w:color w:val="auto"/>
                <w:sz w:val="24"/>
                <w:highlight w:val="none"/>
              </w:rPr>
              <w:t>简单防渗区</w:t>
            </w:r>
          </w:p>
          <w:p w14:paraId="60ED89ED">
            <w:pPr>
              <w:spacing w:line="360" w:lineRule="auto"/>
              <w:ind w:firstLine="480" w:firstLineChars="200"/>
              <w:rPr>
                <w:bCs/>
                <w:strike w:val="0"/>
                <w:dstrike w:val="0"/>
                <w:color w:val="auto"/>
                <w:sz w:val="24"/>
                <w:highlight w:val="none"/>
              </w:rPr>
            </w:pPr>
            <w:r>
              <w:rPr>
                <w:bCs/>
                <w:strike w:val="0"/>
                <w:dstrike w:val="0"/>
                <w:color w:val="auto"/>
                <w:sz w:val="24"/>
                <w:highlight w:val="none"/>
              </w:rPr>
              <w:t>除重点防渗区、一般防渗区以外的区域，即站房、</w:t>
            </w:r>
            <w:r>
              <w:rPr>
                <w:rFonts w:hint="eastAsia"/>
                <w:bCs/>
                <w:strike w:val="0"/>
                <w:dstrike w:val="0"/>
                <w:color w:val="auto"/>
                <w:sz w:val="24"/>
                <w:highlight w:val="none"/>
              </w:rPr>
              <w:t>站</w:t>
            </w:r>
            <w:r>
              <w:rPr>
                <w:bCs/>
                <w:strike w:val="0"/>
                <w:dstrike w:val="0"/>
                <w:color w:val="auto"/>
                <w:sz w:val="24"/>
                <w:highlight w:val="none"/>
              </w:rPr>
              <w:t>场内地面、道路等，采取地面硬化处理。</w:t>
            </w:r>
          </w:p>
          <w:p w14:paraId="4ADB8ED3">
            <w:pPr>
              <w:spacing w:line="360" w:lineRule="auto"/>
              <w:ind w:firstLine="480" w:firstLineChars="200"/>
              <w:rPr>
                <w:bCs/>
                <w:strike w:val="0"/>
                <w:dstrike w:val="0"/>
                <w:color w:val="auto"/>
                <w:sz w:val="24"/>
                <w:highlight w:val="none"/>
              </w:rPr>
            </w:pPr>
            <w:r>
              <w:rPr>
                <w:bCs/>
                <w:strike w:val="0"/>
                <w:dstrike w:val="0"/>
                <w:color w:val="auto"/>
                <w:sz w:val="24"/>
                <w:highlight w:val="none"/>
              </w:rPr>
              <w:t>（</w:t>
            </w:r>
            <w:r>
              <w:rPr>
                <w:rFonts w:hint="eastAsia"/>
                <w:bCs/>
                <w:strike w:val="0"/>
                <w:dstrike w:val="0"/>
                <w:color w:val="auto"/>
                <w:sz w:val="24"/>
                <w:highlight w:val="none"/>
              </w:rPr>
              <w:t>4</w:t>
            </w:r>
            <w:r>
              <w:rPr>
                <w:bCs/>
                <w:strike w:val="0"/>
                <w:dstrike w:val="0"/>
                <w:color w:val="auto"/>
                <w:sz w:val="24"/>
                <w:highlight w:val="none"/>
              </w:rPr>
              <w:t>）其他防控措施</w:t>
            </w:r>
          </w:p>
          <w:p w14:paraId="7F6770F8">
            <w:pPr>
              <w:spacing w:line="360" w:lineRule="auto"/>
              <w:ind w:firstLine="480" w:firstLineChars="200"/>
              <w:rPr>
                <w:bCs/>
                <w:strike w:val="0"/>
                <w:dstrike w:val="0"/>
                <w:color w:val="auto"/>
                <w:sz w:val="24"/>
                <w:highlight w:val="none"/>
              </w:rPr>
            </w:pPr>
            <w:r>
              <w:rPr>
                <w:rFonts w:hint="eastAsia"/>
                <w:bCs/>
                <w:strike w:val="0"/>
                <w:dstrike w:val="0"/>
                <w:color w:val="auto"/>
                <w:sz w:val="24"/>
                <w:highlight w:val="none"/>
              </w:rPr>
              <w:t>危废贮存点</w:t>
            </w:r>
            <w:r>
              <w:rPr>
                <w:bCs/>
                <w:strike w:val="0"/>
                <w:dstrike w:val="0"/>
                <w:color w:val="auto"/>
                <w:sz w:val="24"/>
                <w:highlight w:val="none"/>
              </w:rPr>
              <w:t>应设置围堰，或危险废物底部</w:t>
            </w:r>
            <w:r>
              <w:rPr>
                <w:strike w:val="0"/>
                <w:dstrike w:val="0"/>
                <w:color w:val="auto"/>
                <w:sz w:val="24"/>
                <w:highlight w:val="none"/>
              </w:rPr>
              <w:t>设托盘，同时在厂区设置灭火器、消防栓、消防沙、</w:t>
            </w:r>
            <w:r>
              <w:rPr>
                <w:rFonts w:hint="eastAsia"/>
                <w:strike w:val="0"/>
                <w:dstrike w:val="0"/>
                <w:color w:val="auto"/>
                <w:sz w:val="24"/>
                <w:highlight w:val="none"/>
              </w:rPr>
              <w:t>灭火毯、</w:t>
            </w:r>
            <w:r>
              <w:rPr>
                <w:strike w:val="0"/>
                <w:dstrike w:val="0"/>
                <w:color w:val="auto"/>
                <w:sz w:val="24"/>
                <w:highlight w:val="none"/>
              </w:rPr>
              <w:t>消防铲等</w:t>
            </w:r>
            <w:r>
              <w:rPr>
                <w:bCs/>
                <w:strike w:val="0"/>
                <w:dstrike w:val="0"/>
                <w:color w:val="auto"/>
                <w:sz w:val="24"/>
                <w:highlight w:val="none"/>
              </w:rPr>
              <w:t>，并在各处配备相应的应急物资。</w:t>
            </w:r>
          </w:p>
          <w:p w14:paraId="27321870">
            <w:pPr>
              <w:spacing w:line="360" w:lineRule="auto"/>
              <w:ind w:firstLine="480" w:firstLineChars="200"/>
              <w:jc w:val="left"/>
              <w:rPr>
                <w:strike w:val="0"/>
                <w:dstrike w:val="0"/>
                <w:color w:val="auto"/>
                <w:sz w:val="24"/>
                <w:highlight w:val="none"/>
              </w:rPr>
            </w:pPr>
            <w:r>
              <w:rPr>
                <w:rFonts w:hAnsi="宋体"/>
                <w:strike w:val="0"/>
                <w:dstrike w:val="0"/>
                <w:color w:val="auto"/>
                <w:sz w:val="24"/>
                <w:highlight w:val="none"/>
              </w:rPr>
              <w:t>通过采取以上防渗措施后，本项目不会改变区域地下水环境质量现状，对地下水环境影响较小。</w:t>
            </w:r>
          </w:p>
          <w:p w14:paraId="1C039071">
            <w:pPr>
              <w:autoSpaceDE w:val="0"/>
              <w:autoSpaceDN w:val="0"/>
              <w:adjustRightInd w:val="0"/>
              <w:snapToGrid w:val="0"/>
              <w:spacing w:line="360" w:lineRule="auto"/>
              <w:ind w:firstLine="480" w:firstLineChars="200"/>
              <w:rPr>
                <w:b/>
                <w:strike w:val="0"/>
                <w:dstrike w:val="0"/>
                <w:color w:val="auto"/>
                <w:sz w:val="24"/>
                <w:highlight w:val="none"/>
              </w:rPr>
            </w:pPr>
            <w:r>
              <w:rPr>
                <w:rFonts w:hint="eastAsia"/>
                <w:strike w:val="0"/>
                <w:dstrike w:val="0"/>
                <w:color w:val="auto"/>
                <w:sz w:val="24"/>
                <w:highlight w:val="none"/>
              </w:rPr>
              <w:t>（5）</w:t>
            </w:r>
            <w:r>
              <w:rPr>
                <w:bCs/>
                <w:strike w:val="0"/>
                <w:dstrike w:val="0"/>
                <w:color w:val="auto"/>
                <w:sz w:val="24"/>
                <w:highlight w:val="none"/>
              </w:rPr>
              <w:t>建立地下水环境监测管理体系</w:t>
            </w:r>
          </w:p>
          <w:p w14:paraId="387CB81E">
            <w:pPr>
              <w:autoSpaceDE w:val="0"/>
              <w:autoSpaceDN w:val="0"/>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包括制定地下水环境影响跟踪监测计划、建立地下水环境影响跟踪监测制度等。按照《加油站地下水污染防治技术指南（试行）》（环办水体函[2017]323号）相关规定，应设置1个地下水监测井，地下水监测井应设在埋地</w:t>
            </w:r>
            <w:r>
              <w:rPr>
                <w:rFonts w:hint="eastAsia"/>
                <w:strike w:val="0"/>
                <w:dstrike w:val="0"/>
                <w:color w:val="auto"/>
                <w:sz w:val="24"/>
                <w:highlight w:val="none"/>
              </w:rPr>
              <w:t>油罐</w:t>
            </w:r>
            <w:r>
              <w:rPr>
                <w:strike w:val="0"/>
                <w:dstrike w:val="0"/>
                <w:color w:val="auto"/>
                <w:sz w:val="24"/>
                <w:highlight w:val="none"/>
              </w:rPr>
              <w:t>地下水流向的下游，在保证安全的情况下，尽可能靠近埋地油罐。地下水监测井结构采用一孔成井工艺。设计需结合当地水文地质条件，并充分考虑区域10年内地下水位变幅，滤水管长度和设置位置应覆盖水位变幅。监测井设置的其他要求可参照《场地环境监测技术导则》（HJ/T25.2）执行。</w:t>
            </w:r>
          </w:p>
          <w:p w14:paraId="2AE4D709">
            <w:pPr>
              <w:autoSpaceDE w:val="0"/>
              <w:autoSpaceDN w:val="0"/>
              <w:adjustRightInd w:val="0"/>
              <w:snapToGrid w:val="0"/>
              <w:spacing w:line="360" w:lineRule="auto"/>
              <w:ind w:firstLine="480" w:firstLineChars="200"/>
              <w:jc w:val="left"/>
              <w:rPr>
                <w:strike w:val="0"/>
                <w:dstrike w:val="0"/>
                <w:color w:val="auto"/>
                <w:sz w:val="24"/>
                <w:highlight w:val="none"/>
              </w:rPr>
            </w:pPr>
            <w:r>
              <w:rPr>
                <w:strike w:val="0"/>
                <w:dstrike w:val="0"/>
                <w:color w:val="auto"/>
                <w:sz w:val="24"/>
                <w:highlight w:val="none"/>
              </w:rPr>
              <w:t>建设单位应制定地下水污染应急预案，明确油品发生泄漏情况下应采取的污染源控制措施及切断污染途径的措施。若发现油品泄漏，需启动环境预警和开展应急响应。应急响应措施主要有泄漏加油站停运、油品阻隔和泄漏油品回收。在1天内向环境保护主管部门报告，在5个工作日内提供泄漏加油站的初始环境报告，包括责任人的名称和电话号码，泄漏物的类型、体积和地下水污染物浓度，采取应急响应措施。</w:t>
            </w:r>
          </w:p>
          <w:p w14:paraId="5DF7CBA0">
            <w:pPr>
              <w:pStyle w:val="10"/>
              <w:spacing w:before="0" w:after="0" w:line="360" w:lineRule="auto"/>
              <w:ind w:right="0" w:firstLine="480" w:firstLineChars="200"/>
              <w:rPr>
                <w:strike w:val="0"/>
                <w:dstrike w:val="0"/>
                <w:color w:val="auto"/>
                <w:sz w:val="24"/>
                <w:szCs w:val="24"/>
                <w:highlight w:val="none"/>
              </w:rPr>
            </w:pPr>
            <w:r>
              <w:rPr>
                <w:rFonts w:hint="eastAsia"/>
                <w:strike w:val="0"/>
                <w:dstrike w:val="0"/>
                <w:color w:val="auto"/>
                <w:sz w:val="24"/>
                <w:szCs w:val="24"/>
                <w:highlight w:val="none"/>
              </w:rPr>
              <w:t>（6）地下水跟踪监测要求</w:t>
            </w:r>
          </w:p>
          <w:p w14:paraId="0F1032D4">
            <w:pPr>
              <w:adjustRightInd w:val="0"/>
              <w:snapToGrid w:val="0"/>
              <w:spacing w:line="360" w:lineRule="auto"/>
              <w:ind w:firstLine="480" w:firstLineChars="200"/>
              <w:rPr>
                <w:strike w:val="0"/>
                <w:dstrike w:val="0"/>
                <w:color w:val="auto"/>
                <w:sz w:val="24"/>
                <w:highlight w:val="none"/>
              </w:rPr>
            </w:pPr>
            <w:r>
              <w:rPr>
                <w:rFonts w:hint="eastAsia"/>
                <w:strike w:val="0"/>
                <w:dstrike w:val="0"/>
                <w:color w:val="auto"/>
                <w:sz w:val="24"/>
                <w:highlight w:val="none"/>
              </w:rPr>
              <w:t>根据</w:t>
            </w:r>
            <w:r>
              <w:rPr>
                <w:rFonts w:hAnsi="宋体"/>
                <w:strike w:val="0"/>
                <w:dstrike w:val="0"/>
                <w:color w:val="auto"/>
                <w:sz w:val="24"/>
                <w:highlight w:val="none"/>
              </w:rPr>
              <w:t>《加油站地下水污染防治技术指南（试行）》（环办水体函</w:t>
            </w:r>
            <w:r>
              <w:rPr>
                <w:strike w:val="0"/>
                <w:dstrike w:val="0"/>
                <w:color w:val="auto"/>
                <w:sz w:val="24"/>
                <w:highlight w:val="none"/>
              </w:rPr>
              <w:t>[2017]323</w:t>
            </w:r>
            <w:r>
              <w:rPr>
                <w:rFonts w:hAnsi="宋体"/>
                <w:strike w:val="0"/>
                <w:dstrike w:val="0"/>
                <w:color w:val="auto"/>
                <w:sz w:val="24"/>
                <w:highlight w:val="none"/>
              </w:rPr>
              <w:t>号）</w:t>
            </w:r>
            <w:r>
              <w:rPr>
                <w:rFonts w:hint="eastAsia" w:hAnsi="宋体"/>
                <w:strike w:val="0"/>
                <w:dstrike w:val="0"/>
                <w:color w:val="auto"/>
                <w:sz w:val="24"/>
                <w:highlight w:val="none"/>
              </w:rPr>
              <w:t>，制定地下水跟踪要求。</w:t>
            </w:r>
            <w:r>
              <w:rPr>
                <w:strike w:val="0"/>
                <w:dstrike w:val="0"/>
                <w:color w:val="auto"/>
                <w:sz w:val="24"/>
                <w:highlight w:val="none"/>
              </w:rPr>
              <w:t>项目地下水跟踪监测计划见下表</w:t>
            </w:r>
            <w:r>
              <w:rPr>
                <w:rFonts w:eastAsia="TimesNewRomanPSMT"/>
                <w:strike w:val="0"/>
                <w:dstrike w:val="0"/>
                <w:color w:val="auto"/>
                <w:sz w:val="24"/>
                <w:highlight w:val="none"/>
              </w:rPr>
              <w:t>4.2-2</w:t>
            </w:r>
            <w:r>
              <w:rPr>
                <w:rFonts w:hint="eastAsia" w:eastAsia="TimesNewRomanPSMT"/>
                <w:strike w:val="0"/>
                <w:dstrike w:val="0"/>
                <w:color w:val="auto"/>
                <w:sz w:val="24"/>
                <w:highlight w:val="none"/>
                <w:lang w:val="en-US" w:eastAsia="zh-CN"/>
              </w:rPr>
              <w:t>2</w:t>
            </w:r>
            <w:r>
              <w:rPr>
                <w:strike w:val="0"/>
                <w:dstrike w:val="0"/>
                <w:color w:val="auto"/>
                <w:sz w:val="24"/>
                <w:highlight w:val="none"/>
              </w:rPr>
              <w:t>。</w:t>
            </w:r>
          </w:p>
          <w:p w14:paraId="4EB0D5F0">
            <w:pPr>
              <w:adjustRightInd w:val="0"/>
              <w:snapToGrid w:val="0"/>
              <w:jc w:val="center"/>
              <w:rPr>
                <w:b/>
                <w:bCs/>
                <w:strike w:val="0"/>
                <w:dstrike w:val="0"/>
                <w:color w:val="auto"/>
                <w:sz w:val="24"/>
                <w:szCs w:val="32"/>
                <w:highlight w:val="none"/>
              </w:rPr>
            </w:pPr>
            <w:r>
              <w:rPr>
                <w:b/>
                <w:bCs/>
                <w:strike w:val="0"/>
                <w:dstrike w:val="0"/>
                <w:color w:val="auto"/>
                <w:sz w:val="24"/>
                <w:szCs w:val="32"/>
                <w:highlight w:val="none"/>
              </w:rPr>
              <w:t>表4.2-2</w:t>
            </w:r>
            <w:r>
              <w:rPr>
                <w:rFonts w:hint="eastAsia"/>
                <w:b/>
                <w:bCs/>
                <w:strike w:val="0"/>
                <w:dstrike w:val="0"/>
                <w:color w:val="auto"/>
                <w:sz w:val="24"/>
                <w:szCs w:val="32"/>
                <w:highlight w:val="none"/>
                <w:lang w:val="en-US" w:eastAsia="zh-CN"/>
              </w:rPr>
              <w:t>2</w:t>
            </w:r>
            <w:r>
              <w:rPr>
                <w:b/>
                <w:bCs/>
                <w:strike w:val="0"/>
                <w:dstrike w:val="0"/>
                <w:color w:val="auto"/>
                <w:sz w:val="24"/>
                <w:szCs w:val="32"/>
                <w:highlight w:val="none"/>
              </w:rPr>
              <w:t xml:space="preserve">  地下水跟踪监测计划一览表</w:t>
            </w:r>
          </w:p>
          <w:tbl>
            <w:tblPr>
              <w:tblStyle w:val="23"/>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373"/>
              <w:gridCol w:w="2654"/>
              <w:gridCol w:w="1120"/>
              <w:gridCol w:w="2092"/>
            </w:tblGrid>
            <w:tr w14:paraId="3435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Align w:val="center"/>
                </w:tcPr>
                <w:p w14:paraId="30D4388A">
                  <w:pPr>
                    <w:adjustRightInd w:val="0"/>
                    <w:snapToGrid w:val="0"/>
                    <w:jc w:val="center"/>
                    <w:rPr>
                      <w:b/>
                      <w:bCs/>
                      <w:strike w:val="0"/>
                      <w:dstrike w:val="0"/>
                      <w:color w:val="auto"/>
                      <w:highlight w:val="none"/>
                    </w:rPr>
                  </w:pPr>
                  <w:r>
                    <w:rPr>
                      <w:b/>
                      <w:bCs/>
                      <w:strike w:val="0"/>
                      <w:dstrike w:val="0"/>
                      <w:color w:val="auto"/>
                      <w:highlight w:val="none"/>
                    </w:rPr>
                    <w:t>监测对象</w:t>
                  </w:r>
                </w:p>
              </w:tc>
              <w:tc>
                <w:tcPr>
                  <w:tcW w:w="1373" w:type="dxa"/>
                  <w:vAlign w:val="center"/>
                </w:tcPr>
                <w:p w14:paraId="6E4C9BE1">
                  <w:pPr>
                    <w:adjustRightInd w:val="0"/>
                    <w:snapToGrid w:val="0"/>
                    <w:jc w:val="center"/>
                    <w:rPr>
                      <w:b/>
                      <w:bCs/>
                      <w:strike w:val="0"/>
                      <w:dstrike w:val="0"/>
                      <w:color w:val="auto"/>
                      <w:highlight w:val="none"/>
                    </w:rPr>
                  </w:pPr>
                  <w:r>
                    <w:rPr>
                      <w:b/>
                      <w:bCs/>
                      <w:strike w:val="0"/>
                      <w:dstrike w:val="0"/>
                      <w:color w:val="auto"/>
                      <w:highlight w:val="none"/>
                    </w:rPr>
                    <w:t>监测点位</w:t>
                  </w:r>
                </w:p>
              </w:tc>
              <w:tc>
                <w:tcPr>
                  <w:tcW w:w="2654" w:type="dxa"/>
                  <w:vAlign w:val="center"/>
                </w:tcPr>
                <w:p w14:paraId="44009ACB">
                  <w:pPr>
                    <w:adjustRightInd w:val="0"/>
                    <w:snapToGrid w:val="0"/>
                    <w:jc w:val="center"/>
                    <w:rPr>
                      <w:b/>
                      <w:bCs/>
                      <w:strike w:val="0"/>
                      <w:dstrike w:val="0"/>
                      <w:color w:val="auto"/>
                      <w:highlight w:val="none"/>
                    </w:rPr>
                  </w:pPr>
                  <w:r>
                    <w:rPr>
                      <w:b/>
                      <w:bCs/>
                      <w:strike w:val="0"/>
                      <w:dstrike w:val="0"/>
                      <w:color w:val="auto"/>
                      <w:highlight w:val="none"/>
                    </w:rPr>
                    <w:t>监测因子</w:t>
                  </w:r>
                </w:p>
              </w:tc>
              <w:tc>
                <w:tcPr>
                  <w:tcW w:w="1120" w:type="dxa"/>
                  <w:vAlign w:val="center"/>
                </w:tcPr>
                <w:p w14:paraId="646D409A">
                  <w:pPr>
                    <w:adjustRightInd w:val="0"/>
                    <w:snapToGrid w:val="0"/>
                    <w:jc w:val="center"/>
                    <w:rPr>
                      <w:b/>
                      <w:bCs/>
                      <w:strike w:val="0"/>
                      <w:dstrike w:val="0"/>
                      <w:color w:val="auto"/>
                      <w:highlight w:val="none"/>
                    </w:rPr>
                  </w:pPr>
                  <w:r>
                    <w:rPr>
                      <w:b/>
                      <w:bCs/>
                      <w:strike w:val="0"/>
                      <w:dstrike w:val="0"/>
                      <w:color w:val="auto"/>
                      <w:highlight w:val="none"/>
                    </w:rPr>
                    <w:t>监测频次</w:t>
                  </w:r>
                </w:p>
              </w:tc>
              <w:tc>
                <w:tcPr>
                  <w:tcW w:w="2092" w:type="dxa"/>
                  <w:vAlign w:val="center"/>
                </w:tcPr>
                <w:p w14:paraId="508D766A">
                  <w:pPr>
                    <w:adjustRightInd w:val="0"/>
                    <w:snapToGrid w:val="0"/>
                    <w:jc w:val="center"/>
                    <w:rPr>
                      <w:b/>
                      <w:bCs/>
                      <w:strike w:val="0"/>
                      <w:dstrike w:val="0"/>
                      <w:color w:val="auto"/>
                      <w:highlight w:val="none"/>
                    </w:rPr>
                  </w:pPr>
                  <w:r>
                    <w:rPr>
                      <w:b/>
                      <w:bCs/>
                      <w:strike w:val="0"/>
                      <w:dstrike w:val="0"/>
                      <w:color w:val="auto"/>
                      <w:highlight w:val="none"/>
                    </w:rPr>
                    <w:t>执行标准</w:t>
                  </w:r>
                </w:p>
              </w:tc>
            </w:tr>
            <w:tr w14:paraId="314F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Align w:val="center"/>
                </w:tcPr>
                <w:p w14:paraId="0EDC4A07">
                  <w:pPr>
                    <w:adjustRightInd w:val="0"/>
                    <w:snapToGrid w:val="0"/>
                    <w:jc w:val="center"/>
                    <w:rPr>
                      <w:strike w:val="0"/>
                      <w:dstrike w:val="0"/>
                      <w:color w:val="auto"/>
                      <w:szCs w:val="21"/>
                      <w:highlight w:val="none"/>
                    </w:rPr>
                  </w:pPr>
                  <w:r>
                    <w:rPr>
                      <w:strike w:val="0"/>
                      <w:dstrike w:val="0"/>
                      <w:color w:val="auto"/>
                      <w:szCs w:val="21"/>
                      <w:highlight w:val="none"/>
                    </w:rPr>
                    <w:t>地下水</w:t>
                  </w:r>
                </w:p>
              </w:tc>
              <w:tc>
                <w:tcPr>
                  <w:tcW w:w="1373" w:type="dxa"/>
                  <w:vAlign w:val="center"/>
                </w:tcPr>
                <w:p w14:paraId="3A89A027">
                  <w:pPr>
                    <w:adjustRightInd w:val="0"/>
                    <w:snapToGrid w:val="0"/>
                    <w:jc w:val="center"/>
                    <w:rPr>
                      <w:strike w:val="0"/>
                      <w:dstrike w:val="0"/>
                      <w:color w:val="auto"/>
                      <w:szCs w:val="21"/>
                      <w:highlight w:val="none"/>
                    </w:rPr>
                  </w:pPr>
                  <w:r>
                    <w:rPr>
                      <w:strike w:val="0"/>
                      <w:dstrike w:val="0"/>
                      <w:color w:val="auto"/>
                      <w:szCs w:val="21"/>
                      <w:highlight w:val="none"/>
                    </w:rPr>
                    <w:t>储油罐区地下水监测井</w:t>
                  </w:r>
                </w:p>
              </w:tc>
              <w:tc>
                <w:tcPr>
                  <w:tcW w:w="2654" w:type="dxa"/>
                  <w:vAlign w:val="center"/>
                </w:tcPr>
                <w:p w14:paraId="7FA625ED">
                  <w:pPr>
                    <w:jc w:val="center"/>
                    <w:rPr>
                      <w:strike w:val="0"/>
                      <w:dstrike w:val="0"/>
                      <w:color w:val="auto"/>
                      <w:szCs w:val="21"/>
                      <w:highlight w:val="none"/>
                    </w:rPr>
                  </w:pPr>
                  <w:r>
                    <w:rPr>
                      <w:strike w:val="0"/>
                      <w:dstrike w:val="0"/>
                      <w:color w:val="auto"/>
                      <w:szCs w:val="21"/>
                      <w:highlight w:val="none"/>
                    </w:rPr>
                    <w:t>石油类、石油烃（</w:t>
                  </w:r>
                  <w:r>
                    <w:rPr>
                      <w:rFonts w:eastAsia="TimesNewRomanPSMT"/>
                      <w:strike w:val="0"/>
                      <w:dstrike w:val="0"/>
                      <w:color w:val="auto"/>
                      <w:szCs w:val="21"/>
                      <w:highlight w:val="none"/>
                    </w:rPr>
                    <w:t>C6~C9</w:t>
                  </w:r>
                  <w:r>
                    <w:rPr>
                      <w:strike w:val="0"/>
                      <w:dstrike w:val="0"/>
                      <w:color w:val="auto"/>
                      <w:szCs w:val="21"/>
                      <w:highlight w:val="none"/>
                    </w:rPr>
                    <w:t>）、石油烃（</w:t>
                  </w:r>
                  <w:r>
                    <w:rPr>
                      <w:rFonts w:eastAsia="TimesNewRomanPSMT"/>
                      <w:strike w:val="0"/>
                      <w:dstrike w:val="0"/>
                      <w:color w:val="auto"/>
                      <w:szCs w:val="21"/>
                      <w:highlight w:val="none"/>
                    </w:rPr>
                    <w:t>C10~C40</w:t>
                  </w:r>
                  <w:r>
                    <w:rPr>
                      <w:strike w:val="0"/>
                      <w:dstrike w:val="0"/>
                      <w:color w:val="auto"/>
                      <w:szCs w:val="21"/>
                      <w:highlight w:val="none"/>
                    </w:rPr>
                    <w:t>）、甲基叔丁基醚</w:t>
                  </w:r>
                </w:p>
              </w:tc>
              <w:tc>
                <w:tcPr>
                  <w:tcW w:w="1120" w:type="dxa"/>
                  <w:vAlign w:val="center"/>
                </w:tcPr>
                <w:p w14:paraId="68594459">
                  <w:pPr>
                    <w:adjustRightInd w:val="0"/>
                    <w:snapToGrid w:val="0"/>
                    <w:jc w:val="center"/>
                    <w:rPr>
                      <w:strike w:val="0"/>
                      <w:dstrike w:val="0"/>
                      <w:color w:val="auto"/>
                      <w:szCs w:val="21"/>
                      <w:highlight w:val="none"/>
                    </w:rPr>
                  </w:pPr>
                  <w:r>
                    <w:rPr>
                      <w:strike w:val="0"/>
                      <w:dstrike w:val="0"/>
                      <w:color w:val="auto"/>
                      <w:szCs w:val="21"/>
                      <w:highlight w:val="none"/>
                    </w:rPr>
                    <w:t>1次/年</w:t>
                  </w:r>
                </w:p>
              </w:tc>
              <w:tc>
                <w:tcPr>
                  <w:tcW w:w="2092" w:type="dxa"/>
                  <w:vAlign w:val="center"/>
                </w:tcPr>
                <w:p w14:paraId="00F4557A">
                  <w:pPr>
                    <w:jc w:val="center"/>
                    <w:rPr>
                      <w:strike w:val="0"/>
                      <w:dstrike w:val="0"/>
                      <w:color w:val="auto"/>
                      <w:szCs w:val="21"/>
                      <w:highlight w:val="none"/>
                    </w:rPr>
                  </w:pPr>
                  <w:r>
                    <w:rPr>
                      <w:strike w:val="0"/>
                      <w:dstrike w:val="0"/>
                      <w:color w:val="auto"/>
                      <w:szCs w:val="21"/>
                      <w:highlight w:val="none"/>
                    </w:rPr>
                    <w:t>《地下水质量标准》（</w:t>
                  </w:r>
                  <w:r>
                    <w:rPr>
                      <w:rFonts w:eastAsia="TimesNewRomanPSMT"/>
                      <w:strike w:val="0"/>
                      <w:dstrike w:val="0"/>
                      <w:color w:val="auto"/>
                      <w:szCs w:val="21"/>
                      <w:highlight w:val="none"/>
                    </w:rPr>
                    <w:t>GB/T14848-2017</w:t>
                  </w:r>
                  <w:r>
                    <w:rPr>
                      <w:strike w:val="0"/>
                      <w:dstrike w:val="0"/>
                      <w:color w:val="auto"/>
                      <w:szCs w:val="21"/>
                      <w:highlight w:val="none"/>
                    </w:rPr>
                    <w:t>）Ⅲ类水质标准要求</w:t>
                  </w:r>
                </w:p>
              </w:tc>
            </w:tr>
          </w:tbl>
          <w:p w14:paraId="081C8730">
            <w:pPr>
              <w:spacing w:line="360" w:lineRule="auto"/>
              <w:rPr>
                <w:b/>
                <w:strike w:val="0"/>
                <w:dstrike w:val="0"/>
                <w:color w:val="auto"/>
                <w:sz w:val="24"/>
                <w:highlight w:val="none"/>
              </w:rPr>
            </w:pPr>
            <w:r>
              <w:rPr>
                <w:b/>
                <w:strike w:val="0"/>
                <w:dstrike w:val="0"/>
                <w:color w:val="auto"/>
                <w:sz w:val="24"/>
                <w:highlight w:val="none"/>
                <w:lang w:bidi="ar"/>
              </w:rPr>
              <w:t>4.2.5.</w:t>
            </w:r>
            <w:r>
              <w:rPr>
                <w:rFonts w:hint="eastAsia"/>
                <w:b/>
                <w:strike w:val="0"/>
                <w:dstrike w:val="0"/>
                <w:color w:val="auto"/>
                <w:sz w:val="24"/>
                <w:highlight w:val="none"/>
                <w:lang w:bidi="ar"/>
              </w:rPr>
              <w:t>2</w:t>
            </w:r>
            <w:r>
              <w:rPr>
                <w:b/>
                <w:strike w:val="0"/>
                <w:dstrike w:val="0"/>
                <w:color w:val="auto"/>
                <w:sz w:val="24"/>
                <w:highlight w:val="none"/>
                <w:lang w:bidi="ar"/>
              </w:rPr>
              <w:t xml:space="preserve"> 土壤</w:t>
            </w:r>
          </w:p>
          <w:p w14:paraId="0A6C068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outlineLvl w:val="9"/>
              <w:rPr>
                <w:strike w:val="0"/>
                <w:dstrike w:val="0"/>
                <w:color w:val="auto"/>
                <w:sz w:val="24"/>
                <w:highlight w:val="none"/>
              </w:rPr>
            </w:pPr>
            <w:r>
              <w:rPr>
                <w:rFonts w:hint="eastAsia"/>
                <w:strike w:val="0"/>
                <w:dstrike w:val="0"/>
                <w:color w:val="auto"/>
                <w:sz w:val="24"/>
                <w:highlight w:val="none"/>
              </w:rPr>
              <w:t>本项目</w:t>
            </w:r>
            <w:r>
              <w:rPr>
                <w:strike w:val="0"/>
                <w:dstrike w:val="0"/>
                <w:color w:val="auto"/>
                <w:sz w:val="24"/>
                <w:highlight w:val="none"/>
              </w:rPr>
              <w:t>土壤污染类型主要为大气沉降、地表漫流、垂直入渗。</w:t>
            </w:r>
          </w:p>
          <w:p w14:paraId="08DAAA0C">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outlineLvl w:val="9"/>
              <w:rPr>
                <w:strike w:val="0"/>
                <w:dstrike w:val="0"/>
                <w:color w:val="auto"/>
                <w:sz w:val="24"/>
                <w:highlight w:val="none"/>
              </w:rPr>
            </w:pPr>
            <w:r>
              <w:rPr>
                <w:strike w:val="0"/>
                <w:dstrike w:val="0"/>
                <w:color w:val="auto"/>
                <w:sz w:val="24"/>
                <w:highlight w:val="none"/>
              </w:rPr>
              <w:t>大气沉降：加油废气</w:t>
            </w:r>
            <w:bookmarkStart w:id="135" w:name="OfficeAI_Add_1_9"/>
            <w:r>
              <w:rPr>
                <w:rFonts w:hint="eastAsia"/>
                <w:strike w:val="0"/>
                <w:dstrike w:val="0"/>
                <w:color w:val="auto"/>
                <w:sz w:val="24"/>
                <w:highlight w:val="none"/>
                <w:lang w:eastAsia="zh-CN"/>
              </w:rPr>
              <w:t>经</w:t>
            </w:r>
            <w:bookmarkEnd w:id="135"/>
            <w:r>
              <w:rPr>
                <w:strike w:val="0"/>
                <w:dstrike w:val="0"/>
                <w:color w:val="auto"/>
                <w:sz w:val="24"/>
                <w:highlight w:val="none"/>
              </w:rPr>
              <w:t>油气回收装置回收后，少量废气经通气立管排放，评价范围内存在局部沉降。</w:t>
            </w:r>
          </w:p>
          <w:p w14:paraId="53E3BD21">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outlineLvl w:val="9"/>
              <w:rPr>
                <w:strike w:val="0"/>
                <w:dstrike w:val="0"/>
                <w:color w:val="auto"/>
                <w:sz w:val="24"/>
                <w:highlight w:val="none"/>
              </w:rPr>
            </w:pPr>
            <w:r>
              <w:rPr>
                <w:strike w:val="0"/>
                <w:dstrike w:val="0"/>
                <w:color w:val="auto"/>
                <w:sz w:val="24"/>
                <w:highlight w:val="none"/>
              </w:rPr>
              <w:t>地</w:t>
            </w:r>
            <w:bookmarkStart w:id="136" w:name="OfficeAI_Add_2_2"/>
            <w:r>
              <w:rPr>
                <w:rFonts w:hint="eastAsia"/>
                <w:strike w:val="0"/>
                <w:dstrike w:val="0"/>
                <w:color w:val="auto"/>
                <w:sz w:val="24"/>
                <w:highlight w:val="none"/>
                <w:lang w:eastAsia="zh-CN"/>
              </w:rPr>
              <w:t>表</w:t>
            </w:r>
            <w:bookmarkEnd w:id="136"/>
            <w:r>
              <w:rPr>
                <w:strike w:val="0"/>
                <w:dstrike w:val="0"/>
                <w:color w:val="auto"/>
                <w:sz w:val="24"/>
                <w:highlight w:val="none"/>
              </w:rPr>
              <w:t>漫流：由于加油设备或储罐阀门等部件损坏以及操作不当或者卸油工作时操作不当等，引起加油站油品溢出或泄漏，泄漏</w:t>
            </w:r>
            <w:r>
              <w:rPr>
                <w:rFonts w:hint="eastAsia"/>
                <w:strike w:val="0"/>
                <w:dstrike w:val="0"/>
                <w:color w:val="auto"/>
                <w:sz w:val="24"/>
                <w:highlight w:val="none"/>
                <w:lang w:val="en-US" w:eastAsia="zh-CN"/>
              </w:rPr>
              <w:t>油料</w:t>
            </w:r>
            <w:r>
              <w:rPr>
                <w:strike w:val="0"/>
                <w:dstrike w:val="0"/>
                <w:color w:val="auto"/>
                <w:sz w:val="24"/>
                <w:highlight w:val="none"/>
              </w:rPr>
              <w:t>若处置不当溢流到场外，将进入土壤，将污染周边土壤及影响植被正常生长。</w:t>
            </w:r>
          </w:p>
          <w:p w14:paraId="3E854E23">
            <w:pPr>
              <w:pStyle w:val="10"/>
              <w:keepNext w:val="0"/>
              <w:keepLines w:val="0"/>
              <w:pageBreakBefore w:val="0"/>
              <w:kinsoku/>
              <w:wordWrap/>
              <w:overflowPunct/>
              <w:topLinePunct w:val="0"/>
              <w:autoSpaceDE/>
              <w:autoSpaceDN/>
              <w:bidi w:val="0"/>
              <w:adjustRightInd/>
              <w:snapToGrid w:val="0"/>
              <w:spacing w:before="0" w:after="0" w:line="360" w:lineRule="auto"/>
              <w:ind w:right="0" w:firstLine="480" w:firstLineChars="200"/>
              <w:jc w:val="both"/>
              <w:textAlignment w:val="auto"/>
              <w:outlineLvl w:val="9"/>
              <w:rPr>
                <w:strike w:val="0"/>
                <w:dstrike w:val="0"/>
                <w:color w:val="auto"/>
                <w:sz w:val="24"/>
                <w:szCs w:val="24"/>
                <w:highlight w:val="none"/>
              </w:rPr>
            </w:pPr>
            <w:r>
              <w:rPr>
                <w:strike w:val="0"/>
                <w:dstrike w:val="0"/>
                <w:color w:val="auto"/>
                <w:sz w:val="24"/>
                <w:szCs w:val="24"/>
                <w:highlight w:val="none"/>
              </w:rPr>
              <w:t>垂直入渗：污水处理设施有防渗能力减弱后入渗的可能；埋地</w:t>
            </w:r>
            <w:r>
              <w:rPr>
                <w:rFonts w:hint="eastAsia"/>
                <w:strike w:val="0"/>
                <w:dstrike w:val="0"/>
                <w:color w:val="auto"/>
                <w:sz w:val="24"/>
                <w:szCs w:val="24"/>
                <w:highlight w:val="none"/>
              </w:rPr>
              <w:t>油罐</w:t>
            </w:r>
            <w:r>
              <w:rPr>
                <w:strike w:val="0"/>
                <w:dstrike w:val="0"/>
                <w:color w:val="auto"/>
                <w:sz w:val="24"/>
                <w:szCs w:val="24"/>
                <w:highlight w:val="none"/>
              </w:rPr>
              <w:t>存在油料</w:t>
            </w:r>
            <w:r>
              <w:rPr>
                <w:rFonts w:hint="eastAsia"/>
                <w:strike w:val="0"/>
                <w:dstrike w:val="0"/>
                <w:color w:val="auto"/>
                <w:sz w:val="24"/>
                <w:szCs w:val="24"/>
                <w:highlight w:val="none"/>
              </w:rPr>
              <w:t>泄漏</w:t>
            </w:r>
            <w:r>
              <w:rPr>
                <w:strike w:val="0"/>
                <w:dstrike w:val="0"/>
                <w:color w:val="auto"/>
                <w:sz w:val="24"/>
                <w:szCs w:val="24"/>
                <w:highlight w:val="none"/>
              </w:rPr>
              <w:t>后入渗的可能。</w:t>
            </w:r>
          </w:p>
          <w:p w14:paraId="2C7C2161">
            <w:pPr>
              <w:pStyle w:val="10"/>
              <w:spacing w:before="0" w:after="0" w:line="460" w:lineRule="exact"/>
              <w:ind w:right="0" w:firstLine="482" w:firstLineChars="200"/>
              <w:rPr>
                <w:b/>
                <w:bCs/>
                <w:strike w:val="0"/>
                <w:dstrike w:val="0"/>
                <w:color w:val="auto"/>
                <w:sz w:val="24"/>
                <w:szCs w:val="24"/>
                <w:highlight w:val="none"/>
              </w:rPr>
            </w:pPr>
            <w:r>
              <w:rPr>
                <w:b/>
                <w:bCs/>
                <w:strike w:val="0"/>
                <w:dstrike w:val="0"/>
                <w:color w:val="auto"/>
                <w:sz w:val="24"/>
                <w:szCs w:val="24"/>
                <w:highlight w:val="none"/>
              </w:rPr>
              <w:t>防控措施：</w:t>
            </w:r>
          </w:p>
          <w:p w14:paraId="7C2EEC01">
            <w:pPr>
              <w:snapToGrid w:val="0"/>
              <w:spacing w:line="360" w:lineRule="auto"/>
              <w:ind w:firstLine="480" w:firstLineChars="200"/>
              <w:rPr>
                <w:strike w:val="0"/>
                <w:dstrike w:val="0"/>
                <w:color w:val="auto"/>
                <w:sz w:val="24"/>
                <w:highlight w:val="none"/>
              </w:rPr>
            </w:pPr>
            <w:r>
              <w:rPr>
                <w:strike w:val="0"/>
                <w:dstrike w:val="0"/>
                <w:color w:val="auto"/>
                <w:sz w:val="24"/>
                <w:highlight w:val="none"/>
              </w:rPr>
              <w:t>①建立土壤和地下水污染隐患排查治理制度，定期对重点区域、重点设施开展隐患排查。发现污染隐患的，应当制定整改方案，及时采取技术、管理措施消除隐患。隐患排查、治理情况应当如实记录并建立档案。</w:t>
            </w:r>
          </w:p>
          <w:p w14:paraId="59BE50FE">
            <w:pPr>
              <w:snapToGrid w:val="0"/>
              <w:spacing w:line="360" w:lineRule="auto"/>
              <w:ind w:firstLine="480" w:firstLineChars="200"/>
              <w:rPr>
                <w:strike w:val="0"/>
                <w:dstrike w:val="0"/>
                <w:color w:val="auto"/>
                <w:sz w:val="24"/>
                <w:highlight w:val="none"/>
              </w:rPr>
            </w:pPr>
            <w:r>
              <w:rPr>
                <w:strike w:val="0"/>
                <w:dstrike w:val="0"/>
                <w:color w:val="auto"/>
                <w:sz w:val="24"/>
                <w:highlight w:val="none"/>
              </w:rPr>
              <w:t>②建议污水处理设施、</w:t>
            </w:r>
            <w:r>
              <w:rPr>
                <w:rFonts w:hint="eastAsia"/>
                <w:strike w:val="0"/>
                <w:dstrike w:val="0"/>
                <w:color w:val="auto"/>
                <w:sz w:val="24"/>
                <w:highlight w:val="none"/>
              </w:rPr>
              <w:t>油罐</w:t>
            </w:r>
            <w:r>
              <w:rPr>
                <w:strike w:val="0"/>
                <w:dstrike w:val="0"/>
                <w:color w:val="auto"/>
                <w:sz w:val="24"/>
                <w:highlight w:val="none"/>
              </w:rPr>
              <w:t>、加油区、卸油区等存在土壤污染风险的设施，按照国家有关标准和规范的要求，设计、建设和安装有关防腐蚀、防泄漏设施和泄漏监测装置，防止有毒有害物质污染土壤和地下水。</w:t>
            </w:r>
          </w:p>
          <w:p w14:paraId="42C1557A">
            <w:pPr>
              <w:snapToGrid w:val="0"/>
              <w:spacing w:line="360" w:lineRule="auto"/>
              <w:ind w:firstLine="480" w:firstLineChars="200"/>
              <w:rPr>
                <w:strike w:val="0"/>
                <w:dstrike w:val="0"/>
                <w:color w:val="auto"/>
                <w:sz w:val="24"/>
                <w:highlight w:val="none"/>
              </w:rPr>
            </w:pPr>
            <w:r>
              <w:rPr>
                <w:strike w:val="0"/>
                <w:dstrike w:val="0"/>
                <w:color w:val="auto"/>
                <w:sz w:val="24"/>
                <w:highlight w:val="none"/>
              </w:rPr>
              <w:t>③建议通过油料周转量核算正常损耗率，通过异常损耗率可间接反映可能存在污染事故。</w:t>
            </w:r>
          </w:p>
          <w:p w14:paraId="2EF3B3F8">
            <w:pPr>
              <w:snapToGrid w:val="0"/>
              <w:spacing w:line="360" w:lineRule="auto"/>
              <w:ind w:firstLine="480" w:firstLineChars="200"/>
              <w:rPr>
                <w:strike w:val="0"/>
                <w:dstrike w:val="0"/>
                <w:color w:val="auto"/>
                <w:sz w:val="24"/>
                <w:highlight w:val="none"/>
              </w:rPr>
            </w:pPr>
            <w:r>
              <w:rPr>
                <w:strike w:val="0"/>
                <w:dstrike w:val="0"/>
                <w:color w:val="auto"/>
                <w:sz w:val="24"/>
                <w:highlight w:val="none"/>
              </w:rPr>
              <w:t>④定期维护相应分区防渗措施，维持相应防渗区的防渗能力。</w:t>
            </w:r>
          </w:p>
          <w:p w14:paraId="48E760F0">
            <w:pPr>
              <w:adjustRightInd w:val="0"/>
              <w:snapToGrid w:val="0"/>
              <w:spacing w:line="360" w:lineRule="auto"/>
              <w:ind w:firstLine="480" w:firstLineChars="200"/>
              <w:rPr>
                <w:strike w:val="0"/>
                <w:dstrike w:val="0"/>
                <w:color w:val="auto"/>
                <w:sz w:val="24"/>
                <w:highlight w:val="none"/>
              </w:rPr>
            </w:pPr>
            <w:r>
              <w:rPr>
                <w:strike w:val="0"/>
                <w:dstrike w:val="0"/>
                <w:color w:val="auto"/>
                <w:sz w:val="24"/>
                <w:highlight w:val="none"/>
              </w:rPr>
              <w:t>通过加强维护保障污水处理设施</w:t>
            </w:r>
            <w:bookmarkStart w:id="137" w:name="OfficeAI_Add_5_15"/>
            <w:r>
              <w:rPr>
                <w:rFonts w:hint="eastAsia"/>
                <w:strike w:val="0"/>
                <w:dstrike w:val="0"/>
                <w:color w:val="auto"/>
                <w:sz w:val="24"/>
                <w:highlight w:val="none"/>
                <w:lang w:eastAsia="zh-CN"/>
              </w:rPr>
              <w:t>、</w:t>
            </w:r>
            <w:bookmarkEnd w:id="137"/>
            <w:r>
              <w:rPr>
                <w:strike w:val="0"/>
                <w:dstrike w:val="0"/>
                <w:color w:val="auto"/>
                <w:sz w:val="24"/>
                <w:highlight w:val="none"/>
              </w:rPr>
              <w:t>加油设备与油罐，从源头控制、过程防控上避免对土壤环境</w:t>
            </w:r>
            <w:bookmarkStart w:id="138" w:name="OfficeAI_Add_5_42"/>
            <w:r>
              <w:rPr>
                <w:rFonts w:hint="eastAsia"/>
                <w:strike w:val="0"/>
                <w:dstrike w:val="0"/>
                <w:color w:val="auto"/>
                <w:sz w:val="24"/>
                <w:highlight w:val="none"/>
                <w:lang w:eastAsia="zh-CN"/>
              </w:rPr>
              <w:t>造成影响</w:t>
            </w:r>
            <w:bookmarkEnd w:id="138"/>
            <w:r>
              <w:rPr>
                <w:strike w:val="0"/>
                <w:dstrike w:val="0"/>
                <w:color w:val="auto"/>
                <w:sz w:val="24"/>
                <w:highlight w:val="none"/>
              </w:rPr>
              <w:t>，</w:t>
            </w:r>
            <w:bookmarkStart w:id="139" w:name="OfficeAI_Add_5_47"/>
            <w:r>
              <w:rPr>
                <w:rFonts w:hint="eastAsia"/>
                <w:strike w:val="0"/>
                <w:dstrike w:val="0"/>
                <w:color w:val="auto"/>
                <w:sz w:val="24"/>
                <w:highlight w:val="none"/>
                <w:lang w:eastAsia="zh-CN"/>
              </w:rPr>
              <w:t>使</w:t>
            </w:r>
            <w:bookmarkEnd w:id="139"/>
            <w:r>
              <w:rPr>
                <w:strike w:val="0"/>
                <w:dstrike w:val="0"/>
                <w:color w:val="auto"/>
                <w:sz w:val="24"/>
                <w:highlight w:val="none"/>
              </w:rPr>
              <w:t>土壤环境可接受。</w:t>
            </w:r>
          </w:p>
          <w:p w14:paraId="64B6F994">
            <w:pPr>
              <w:adjustRightInd w:val="0"/>
              <w:snapToGrid w:val="0"/>
              <w:spacing w:line="360" w:lineRule="auto"/>
              <w:rPr>
                <w:b/>
                <w:strike w:val="0"/>
                <w:dstrike w:val="0"/>
                <w:color w:val="auto"/>
                <w:sz w:val="24"/>
                <w:highlight w:val="none"/>
              </w:rPr>
            </w:pPr>
            <w:r>
              <w:rPr>
                <w:b/>
                <w:strike w:val="0"/>
                <w:dstrike w:val="0"/>
                <w:color w:val="auto"/>
                <w:sz w:val="24"/>
                <w:highlight w:val="none"/>
              </w:rPr>
              <w:t>4.2.6 环境风险分析</w:t>
            </w:r>
          </w:p>
          <w:p w14:paraId="62350B58">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根据《环境风险专项评价报告》的分析，本项目建成后，环境风险物质有汽油、柴油、液化天然气，存在发生泄漏、火灾爆炸等污染事故的可能，但概率较低，在采取风险防控</w:t>
            </w:r>
            <w:bookmarkStart w:id="140" w:name="OfficeAI_Add_0_77"/>
            <w:r>
              <w:rPr>
                <w:rFonts w:hint="eastAsia"/>
                <w:strike w:val="0"/>
                <w:dstrike w:val="0"/>
                <w:color w:val="auto"/>
                <w:sz w:val="24"/>
                <w:szCs w:val="32"/>
                <w:highlight w:val="none"/>
                <w:lang w:eastAsia="zh-CN"/>
              </w:rPr>
              <w:t>、</w:t>
            </w:r>
            <w:bookmarkEnd w:id="140"/>
            <w:r>
              <w:rPr>
                <w:strike w:val="0"/>
                <w:dstrike w:val="0"/>
                <w:color w:val="auto"/>
                <w:sz w:val="24"/>
                <w:szCs w:val="32"/>
                <w:highlight w:val="none"/>
              </w:rPr>
              <w:t>地下水防渗、截流隔油</w:t>
            </w:r>
            <w:bookmarkStart w:id="141" w:name="OfficeAI_Add_0_89"/>
            <w:r>
              <w:rPr>
                <w:rFonts w:hint="eastAsia"/>
                <w:strike w:val="0"/>
                <w:dstrike w:val="0"/>
                <w:color w:val="auto"/>
                <w:sz w:val="24"/>
                <w:szCs w:val="32"/>
                <w:highlight w:val="none"/>
                <w:lang w:eastAsia="zh-CN"/>
              </w:rPr>
              <w:t>、</w:t>
            </w:r>
            <w:bookmarkEnd w:id="141"/>
            <w:r>
              <w:rPr>
                <w:strike w:val="0"/>
                <w:dstrike w:val="0"/>
                <w:color w:val="auto"/>
                <w:sz w:val="24"/>
                <w:szCs w:val="32"/>
                <w:highlight w:val="none"/>
              </w:rPr>
              <w:t>应急监测等措施后，发生环境风险事故的影响后果较小。</w:t>
            </w:r>
          </w:p>
          <w:p w14:paraId="256535D5">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本项目天然气(甲烷)储存量超过临界量，根据《建设项目环境影响报告表编制技术指南》(污染影响类)(试行)，本项目需要设置环境风险专项评价。根据本项目环境风险专项评价，</w:t>
            </w:r>
            <w:r>
              <w:rPr>
                <w:strike w:val="0"/>
                <w:dstrike w:val="0"/>
                <w:color w:val="auto"/>
                <w:sz w:val="24"/>
                <w:highlight w:val="none"/>
              </w:rPr>
              <w:t>判定本项目地表水风险潜势为I，评价等级为简单分析，大气风险潜势为II</w:t>
            </w:r>
            <w:r>
              <w:rPr>
                <w:rFonts w:hint="eastAsia"/>
                <w:strike w:val="0"/>
                <w:dstrike w:val="0"/>
                <w:color w:val="auto"/>
                <w:sz w:val="24"/>
                <w:highlight w:val="none"/>
              </w:rPr>
              <w:t>，</w:t>
            </w:r>
            <w:r>
              <w:rPr>
                <w:strike w:val="0"/>
                <w:dstrike w:val="0"/>
                <w:color w:val="auto"/>
                <w:sz w:val="24"/>
                <w:highlight w:val="none"/>
              </w:rPr>
              <w:t>综合评价等级为三级评价。</w:t>
            </w:r>
          </w:p>
          <w:p w14:paraId="6714B3BC">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本项目</w:t>
            </w:r>
            <w:r>
              <w:rPr>
                <w:rFonts w:hint="eastAsia"/>
                <w:strike w:val="0"/>
                <w:dstrike w:val="0"/>
                <w:color w:val="auto"/>
                <w:sz w:val="24"/>
                <w:szCs w:val="32"/>
                <w:highlight w:val="none"/>
              </w:rPr>
              <w:t>站区采取分区防渗处理，场内设置截流沟，并设置拦蓄区</w:t>
            </w:r>
            <w:r>
              <w:rPr>
                <w:strike w:val="0"/>
                <w:dstrike w:val="0"/>
                <w:color w:val="auto"/>
                <w:sz w:val="24"/>
                <w:szCs w:val="32"/>
                <w:highlight w:val="none"/>
              </w:rPr>
              <w:t>，事故废水</w:t>
            </w:r>
            <w:r>
              <w:rPr>
                <w:rFonts w:hint="eastAsia"/>
                <w:strike w:val="0"/>
                <w:dstrike w:val="0"/>
                <w:color w:val="auto"/>
                <w:sz w:val="24"/>
                <w:szCs w:val="32"/>
                <w:highlight w:val="none"/>
              </w:rPr>
              <w:t>可</w:t>
            </w:r>
            <w:r>
              <w:rPr>
                <w:strike w:val="0"/>
                <w:dstrike w:val="0"/>
                <w:color w:val="auto"/>
                <w:sz w:val="24"/>
                <w:szCs w:val="32"/>
                <w:highlight w:val="none"/>
              </w:rPr>
              <w:t>被截流、储存，</w:t>
            </w:r>
            <w:r>
              <w:rPr>
                <w:rFonts w:hint="eastAsia"/>
                <w:strike w:val="0"/>
                <w:dstrike w:val="0"/>
                <w:color w:val="auto"/>
                <w:sz w:val="24"/>
                <w:szCs w:val="32"/>
                <w:highlight w:val="none"/>
              </w:rPr>
              <w:t>委托有资质的单位</w:t>
            </w:r>
            <w:r>
              <w:rPr>
                <w:strike w:val="0"/>
                <w:dstrike w:val="0"/>
                <w:color w:val="auto"/>
                <w:sz w:val="24"/>
                <w:szCs w:val="32"/>
                <w:highlight w:val="none"/>
              </w:rPr>
              <w:t>及时</w:t>
            </w:r>
            <w:r>
              <w:rPr>
                <w:rFonts w:hint="eastAsia"/>
                <w:strike w:val="0"/>
                <w:dstrike w:val="0"/>
                <w:color w:val="auto"/>
                <w:sz w:val="24"/>
                <w:szCs w:val="32"/>
                <w:highlight w:val="none"/>
              </w:rPr>
              <w:t>对事故废水进行</w:t>
            </w:r>
            <w:r>
              <w:rPr>
                <w:strike w:val="0"/>
                <w:dstrike w:val="0"/>
                <w:color w:val="auto"/>
                <w:sz w:val="24"/>
                <w:szCs w:val="32"/>
                <w:highlight w:val="none"/>
              </w:rPr>
              <w:t>抽运处理</w:t>
            </w:r>
            <w:r>
              <w:rPr>
                <w:rFonts w:hint="eastAsia"/>
                <w:strike w:val="0"/>
                <w:dstrike w:val="0"/>
                <w:color w:val="auto"/>
                <w:sz w:val="24"/>
                <w:szCs w:val="32"/>
                <w:highlight w:val="none"/>
              </w:rPr>
              <w:t>；同时配备灭火器、消防沙、灭火毯等应急物资。</w:t>
            </w:r>
            <w:r>
              <w:rPr>
                <w:strike w:val="0"/>
                <w:dstrike w:val="0"/>
                <w:color w:val="auto"/>
                <w:sz w:val="24"/>
                <w:szCs w:val="32"/>
                <w:highlight w:val="none"/>
              </w:rPr>
              <w:t>因此，本项目</w:t>
            </w:r>
            <w:r>
              <w:rPr>
                <w:rFonts w:hint="eastAsia"/>
                <w:strike w:val="0"/>
                <w:dstrike w:val="0"/>
                <w:color w:val="auto"/>
                <w:sz w:val="24"/>
                <w:szCs w:val="32"/>
                <w:highlight w:val="none"/>
              </w:rPr>
              <w:t>泄漏、</w:t>
            </w:r>
            <w:r>
              <w:rPr>
                <w:strike w:val="0"/>
                <w:dstrike w:val="0"/>
                <w:color w:val="auto"/>
                <w:sz w:val="24"/>
                <w:szCs w:val="32"/>
                <w:highlight w:val="none"/>
              </w:rPr>
              <w:t>火灾爆炸事故对</w:t>
            </w:r>
            <w:r>
              <w:rPr>
                <w:rFonts w:hint="eastAsia"/>
                <w:strike w:val="0"/>
                <w:dstrike w:val="0"/>
                <w:color w:val="auto"/>
                <w:sz w:val="24"/>
                <w:szCs w:val="32"/>
                <w:highlight w:val="none"/>
              </w:rPr>
              <w:t>大气、地下水和</w:t>
            </w:r>
            <w:r>
              <w:rPr>
                <w:strike w:val="0"/>
                <w:dstrike w:val="0"/>
                <w:color w:val="auto"/>
                <w:sz w:val="24"/>
                <w:szCs w:val="32"/>
                <w:highlight w:val="none"/>
              </w:rPr>
              <w:t>地表水环境影响不大。</w:t>
            </w:r>
          </w:p>
          <w:p w14:paraId="0D900633">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项目环境风险完全可以通过政府各有关职能部门加强监督指导，企业内部制定严格的管理条例和岗位责任制，加强职工的安全生产教育，提高风险意识，</w:t>
            </w:r>
            <w:bookmarkStart w:id="142" w:name="OfficeAI_Add_3_69"/>
            <w:r>
              <w:rPr>
                <w:rFonts w:hint="eastAsia"/>
                <w:strike w:val="0"/>
                <w:dstrike w:val="0"/>
                <w:color w:val="auto"/>
                <w:sz w:val="24"/>
                <w:szCs w:val="32"/>
                <w:highlight w:val="none"/>
                <w:lang w:eastAsia="zh-CN"/>
              </w:rPr>
              <w:t>从而</w:t>
            </w:r>
            <w:bookmarkEnd w:id="142"/>
            <w:r>
              <w:rPr>
                <w:strike w:val="0"/>
                <w:dstrike w:val="0"/>
                <w:color w:val="auto"/>
                <w:sz w:val="24"/>
                <w:szCs w:val="32"/>
                <w:highlight w:val="none"/>
              </w:rPr>
              <w:t>最大限度地减少可能发生的环境风险，站区内同时设置应急事故抢险救灾组织机构，有完善的应急措施。因此在加强环境风险管理，制定完善的应急预案的前提下，项目的环境风险是可以接受的。</w:t>
            </w:r>
          </w:p>
          <w:p w14:paraId="5916FC71">
            <w:pPr>
              <w:pStyle w:val="38"/>
              <w:ind w:firstLine="0"/>
              <w:rPr>
                <w:rFonts w:ascii="Times New Roman" w:hAnsi="Times New Roman" w:cs="Times New Roman"/>
                <w:strike w:val="0"/>
                <w:dstrike w:val="0"/>
                <w:color w:val="auto"/>
                <w:highlight w:val="none"/>
              </w:rPr>
            </w:pPr>
          </w:p>
          <w:p w14:paraId="2ADD0212">
            <w:pPr>
              <w:pStyle w:val="38"/>
              <w:ind w:firstLine="0"/>
              <w:rPr>
                <w:rFonts w:ascii="Times New Roman" w:hAnsi="Times New Roman" w:cs="Times New Roman"/>
                <w:strike w:val="0"/>
                <w:dstrike w:val="0"/>
                <w:color w:val="auto"/>
                <w:highlight w:val="none"/>
              </w:rPr>
            </w:pPr>
          </w:p>
          <w:p w14:paraId="23FE4548">
            <w:pPr>
              <w:pStyle w:val="38"/>
              <w:ind w:firstLine="0"/>
              <w:rPr>
                <w:rFonts w:ascii="Times New Roman" w:hAnsi="Times New Roman" w:cs="Times New Roman"/>
                <w:strike w:val="0"/>
                <w:dstrike w:val="0"/>
                <w:color w:val="auto"/>
                <w:highlight w:val="none"/>
              </w:rPr>
            </w:pPr>
          </w:p>
          <w:p w14:paraId="6D9E90FB">
            <w:pPr>
              <w:pStyle w:val="38"/>
              <w:ind w:firstLine="0"/>
              <w:rPr>
                <w:rFonts w:ascii="Times New Roman" w:hAnsi="Times New Roman" w:cs="Times New Roman"/>
                <w:strike w:val="0"/>
                <w:dstrike w:val="0"/>
                <w:color w:val="auto"/>
                <w:highlight w:val="none"/>
              </w:rPr>
            </w:pPr>
          </w:p>
          <w:p w14:paraId="4E38A1E1">
            <w:pPr>
              <w:pStyle w:val="38"/>
              <w:ind w:firstLine="0"/>
              <w:rPr>
                <w:rFonts w:ascii="Times New Roman" w:hAnsi="Times New Roman" w:cs="Times New Roman"/>
                <w:strike w:val="0"/>
                <w:dstrike w:val="0"/>
                <w:color w:val="auto"/>
                <w:highlight w:val="none"/>
              </w:rPr>
            </w:pPr>
          </w:p>
          <w:p w14:paraId="3A83B102">
            <w:pPr>
              <w:pStyle w:val="38"/>
              <w:ind w:firstLine="0"/>
              <w:rPr>
                <w:rFonts w:ascii="Times New Roman" w:hAnsi="Times New Roman" w:cs="Times New Roman"/>
                <w:strike w:val="0"/>
                <w:dstrike w:val="0"/>
                <w:color w:val="auto"/>
                <w:highlight w:val="none"/>
              </w:rPr>
            </w:pPr>
          </w:p>
          <w:p w14:paraId="0B9A98DA">
            <w:pPr>
              <w:pStyle w:val="38"/>
              <w:ind w:firstLine="0"/>
              <w:rPr>
                <w:rFonts w:ascii="Times New Roman" w:hAnsi="Times New Roman" w:cs="Times New Roman"/>
                <w:strike w:val="0"/>
                <w:dstrike w:val="0"/>
                <w:color w:val="auto"/>
                <w:highlight w:val="none"/>
              </w:rPr>
            </w:pPr>
          </w:p>
          <w:p w14:paraId="32FB4771">
            <w:pPr>
              <w:pStyle w:val="38"/>
              <w:ind w:firstLine="0"/>
              <w:rPr>
                <w:rFonts w:ascii="Times New Roman" w:hAnsi="Times New Roman" w:cs="Times New Roman"/>
                <w:strike w:val="0"/>
                <w:dstrike w:val="0"/>
                <w:color w:val="auto"/>
                <w:highlight w:val="none"/>
              </w:rPr>
            </w:pPr>
          </w:p>
          <w:p w14:paraId="78F48450">
            <w:pPr>
              <w:pStyle w:val="38"/>
              <w:ind w:firstLine="0"/>
              <w:rPr>
                <w:rFonts w:ascii="Times New Roman" w:hAnsi="Times New Roman" w:cs="Times New Roman"/>
                <w:strike w:val="0"/>
                <w:dstrike w:val="0"/>
                <w:color w:val="auto"/>
                <w:highlight w:val="none"/>
              </w:rPr>
            </w:pPr>
          </w:p>
          <w:p w14:paraId="010F5AB0">
            <w:pPr>
              <w:pStyle w:val="38"/>
              <w:ind w:firstLine="0"/>
              <w:rPr>
                <w:rFonts w:ascii="Times New Roman" w:hAnsi="Times New Roman" w:cs="Times New Roman"/>
                <w:strike w:val="0"/>
                <w:dstrike w:val="0"/>
                <w:color w:val="auto"/>
                <w:highlight w:val="none"/>
              </w:rPr>
            </w:pPr>
          </w:p>
          <w:p w14:paraId="650297BA">
            <w:pPr>
              <w:pStyle w:val="38"/>
              <w:ind w:firstLine="0"/>
              <w:rPr>
                <w:rFonts w:ascii="Times New Roman" w:hAnsi="Times New Roman" w:cs="Times New Roman"/>
                <w:strike w:val="0"/>
                <w:dstrike w:val="0"/>
                <w:color w:val="auto"/>
                <w:highlight w:val="none"/>
              </w:rPr>
            </w:pPr>
          </w:p>
          <w:p w14:paraId="15A20286">
            <w:pPr>
              <w:pStyle w:val="38"/>
              <w:ind w:firstLine="0"/>
              <w:rPr>
                <w:rFonts w:ascii="Times New Roman" w:hAnsi="Times New Roman" w:cs="Times New Roman"/>
                <w:strike w:val="0"/>
                <w:dstrike w:val="0"/>
                <w:color w:val="auto"/>
                <w:highlight w:val="none"/>
              </w:rPr>
            </w:pPr>
          </w:p>
          <w:p w14:paraId="15225583">
            <w:pPr>
              <w:pStyle w:val="38"/>
              <w:ind w:firstLine="0"/>
              <w:rPr>
                <w:rFonts w:ascii="Times New Roman" w:hAnsi="Times New Roman" w:cs="Times New Roman"/>
                <w:strike w:val="0"/>
                <w:dstrike w:val="0"/>
                <w:color w:val="auto"/>
                <w:highlight w:val="none"/>
              </w:rPr>
            </w:pPr>
          </w:p>
          <w:p w14:paraId="0CDEC38D">
            <w:pPr>
              <w:pStyle w:val="38"/>
              <w:ind w:firstLine="0"/>
              <w:rPr>
                <w:rFonts w:ascii="Times New Roman" w:hAnsi="Times New Roman" w:cs="Times New Roman"/>
                <w:strike w:val="0"/>
                <w:dstrike w:val="0"/>
                <w:color w:val="auto"/>
                <w:highlight w:val="none"/>
              </w:rPr>
            </w:pPr>
          </w:p>
          <w:p w14:paraId="599E6D67">
            <w:pPr>
              <w:pStyle w:val="38"/>
              <w:ind w:firstLine="0"/>
              <w:rPr>
                <w:rFonts w:ascii="Times New Roman" w:hAnsi="Times New Roman" w:cs="Times New Roman"/>
                <w:strike w:val="0"/>
                <w:dstrike w:val="0"/>
                <w:color w:val="auto"/>
                <w:highlight w:val="none"/>
              </w:rPr>
            </w:pPr>
          </w:p>
          <w:p w14:paraId="522643CA">
            <w:pPr>
              <w:pStyle w:val="38"/>
              <w:ind w:firstLine="0"/>
              <w:rPr>
                <w:rFonts w:ascii="Times New Roman" w:hAnsi="Times New Roman" w:cs="Times New Roman"/>
                <w:strike w:val="0"/>
                <w:dstrike w:val="0"/>
                <w:color w:val="auto"/>
                <w:highlight w:val="none"/>
              </w:rPr>
            </w:pPr>
          </w:p>
          <w:p w14:paraId="4B100A5B">
            <w:pPr>
              <w:pStyle w:val="38"/>
              <w:ind w:firstLine="0"/>
              <w:rPr>
                <w:rFonts w:ascii="Times New Roman" w:hAnsi="Times New Roman" w:cs="Times New Roman"/>
                <w:strike w:val="0"/>
                <w:dstrike w:val="0"/>
                <w:color w:val="auto"/>
                <w:highlight w:val="none"/>
              </w:rPr>
            </w:pPr>
          </w:p>
          <w:p w14:paraId="44563AFA">
            <w:pPr>
              <w:pStyle w:val="38"/>
              <w:ind w:firstLine="0"/>
              <w:rPr>
                <w:rFonts w:ascii="Times New Roman" w:hAnsi="Times New Roman" w:cs="Times New Roman"/>
                <w:strike w:val="0"/>
                <w:dstrike w:val="0"/>
                <w:color w:val="auto"/>
                <w:highlight w:val="none"/>
              </w:rPr>
            </w:pPr>
          </w:p>
          <w:p w14:paraId="6BC1796C">
            <w:pPr>
              <w:pStyle w:val="38"/>
              <w:ind w:firstLine="0"/>
              <w:rPr>
                <w:rFonts w:ascii="Times New Roman" w:hAnsi="Times New Roman" w:cs="Times New Roman"/>
                <w:strike w:val="0"/>
                <w:dstrike w:val="0"/>
                <w:color w:val="auto"/>
                <w:highlight w:val="none"/>
              </w:rPr>
            </w:pPr>
          </w:p>
          <w:p w14:paraId="28F750AF">
            <w:pPr>
              <w:pStyle w:val="38"/>
              <w:ind w:firstLine="0"/>
              <w:rPr>
                <w:rFonts w:ascii="Times New Roman" w:hAnsi="Times New Roman" w:cs="Times New Roman"/>
                <w:strike w:val="0"/>
                <w:dstrike w:val="0"/>
                <w:color w:val="auto"/>
                <w:highlight w:val="none"/>
              </w:rPr>
            </w:pPr>
          </w:p>
          <w:p w14:paraId="6D3ED3DF">
            <w:pPr>
              <w:pStyle w:val="38"/>
              <w:ind w:firstLine="0"/>
              <w:rPr>
                <w:rFonts w:ascii="Times New Roman" w:hAnsi="Times New Roman" w:cs="Times New Roman"/>
                <w:strike w:val="0"/>
                <w:dstrike w:val="0"/>
                <w:color w:val="auto"/>
                <w:highlight w:val="none"/>
              </w:rPr>
            </w:pPr>
          </w:p>
          <w:p w14:paraId="7669C88A">
            <w:pPr>
              <w:pStyle w:val="38"/>
              <w:ind w:firstLine="0"/>
              <w:rPr>
                <w:rFonts w:ascii="Times New Roman" w:hAnsi="Times New Roman" w:cs="Times New Roman"/>
                <w:strike w:val="0"/>
                <w:dstrike w:val="0"/>
                <w:color w:val="auto"/>
                <w:highlight w:val="none"/>
              </w:rPr>
            </w:pPr>
          </w:p>
          <w:p w14:paraId="7FDE8913">
            <w:pPr>
              <w:pStyle w:val="38"/>
              <w:ind w:firstLine="0"/>
              <w:rPr>
                <w:rFonts w:ascii="Times New Roman" w:hAnsi="Times New Roman" w:cs="Times New Roman"/>
                <w:strike w:val="0"/>
                <w:dstrike w:val="0"/>
                <w:color w:val="auto"/>
                <w:highlight w:val="none"/>
              </w:rPr>
            </w:pPr>
          </w:p>
          <w:p w14:paraId="07563818">
            <w:pPr>
              <w:pStyle w:val="38"/>
              <w:ind w:firstLine="0"/>
              <w:rPr>
                <w:rFonts w:ascii="Times New Roman" w:hAnsi="Times New Roman" w:cs="Times New Roman"/>
                <w:strike w:val="0"/>
                <w:dstrike w:val="0"/>
                <w:color w:val="auto"/>
                <w:highlight w:val="none"/>
              </w:rPr>
            </w:pPr>
          </w:p>
          <w:p w14:paraId="64434E6A">
            <w:pPr>
              <w:pStyle w:val="38"/>
              <w:ind w:firstLine="0"/>
              <w:rPr>
                <w:rFonts w:ascii="Times New Roman" w:hAnsi="Times New Roman" w:cs="Times New Roman"/>
                <w:strike w:val="0"/>
                <w:dstrike w:val="0"/>
                <w:color w:val="auto"/>
                <w:highlight w:val="none"/>
              </w:rPr>
            </w:pPr>
          </w:p>
          <w:p w14:paraId="78D8498E">
            <w:pPr>
              <w:pStyle w:val="38"/>
              <w:ind w:firstLine="0"/>
              <w:rPr>
                <w:rFonts w:ascii="Times New Roman" w:hAnsi="Times New Roman" w:cs="Times New Roman"/>
                <w:strike w:val="0"/>
                <w:dstrike w:val="0"/>
                <w:color w:val="auto"/>
                <w:highlight w:val="none"/>
              </w:rPr>
            </w:pPr>
          </w:p>
          <w:p w14:paraId="30219C05">
            <w:pPr>
              <w:pStyle w:val="38"/>
              <w:ind w:firstLine="0"/>
              <w:rPr>
                <w:rFonts w:ascii="Times New Roman" w:hAnsi="Times New Roman" w:cs="Times New Roman"/>
                <w:strike w:val="0"/>
                <w:dstrike w:val="0"/>
                <w:color w:val="auto"/>
                <w:highlight w:val="none"/>
              </w:rPr>
            </w:pPr>
          </w:p>
          <w:p w14:paraId="163087F4">
            <w:pPr>
              <w:pStyle w:val="38"/>
              <w:ind w:firstLine="0"/>
              <w:rPr>
                <w:rFonts w:ascii="Times New Roman" w:hAnsi="Times New Roman" w:cs="Times New Roman"/>
                <w:strike w:val="0"/>
                <w:dstrike w:val="0"/>
                <w:color w:val="auto"/>
                <w:highlight w:val="none"/>
              </w:rPr>
            </w:pPr>
          </w:p>
          <w:p w14:paraId="1974A111">
            <w:pPr>
              <w:pStyle w:val="38"/>
              <w:ind w:firstLine="0"/>
              <w:rPr>
                <w:rFonts w:ascii="Times New Roman" w:hAnsi="Times New Roman" w:cs="Times New Roman"/>
                <w:strike w:val="0"/>
                <w:dstrike w:val="0"/>
                <w:color w:val="auto"/>
                <w:highlight w:val="none"/>
              </w:rPr>
            </w:pPr>
          </w:p>
          <w:p w14:paraId="2635B827">
            <w:pPr>
              <w:pStyle w:val="38"/>
              <w:ind w:firstLine="0"/>
              <w:rPr>
                <w:rFonts w:ascii="Times New Roman" w:hAnsi="Times New Roman" w:cs="Times New Roman"/>
                <w:strike w:val="0"/>
                <w:dstrike w:val="0"/>
                <w:color w:val="auto"/>
                <w:highlight w:val="none"/>
              </w:rPr>
            </w:pPr>
          </w:p>
        </w:tc>
      </w:tr>
    </w:tbl>
    <w:p w14:paraId="723673E3">
      <w:pPr>
        <w:rPr>
          <w:rFonts w:eastAsia="黑体"/>
          <w:strike w:val="0"/>
          <w:dstrike w:val="0"/>
          <w:snapToGrid w:val="0"/>
          <w:color w:val="auto"/>
          <w:sz w:val="30"/>
          <w:szCs w:val="30"/>
          <w:highlight w:val="none"/>
        </w:rPr>
      </w:pPr>
      <w:r>
        <w:rPr>
          <w:rFonts w:eastAsia="黑体"/>
          <w:strike w:val="0"/>
          <w:dstrike w:val="0"/>
          <w:snapToGrid w:val="0"/>
          <w:color w:val="auto"/>
          <w:sz w:val="30"/>
          <w:szCs w:val="30"/>
          <w:highlight w:val="none"/>
        </w:rPr>
        <w:br w:type="page"/>
      </w:r>
    </w:p>
    <w:p w14:paraId="6FAD04A6">
      <w:pPr>
        <w:pStyle w:val="18"/>
        <w:spacing w:before="0" w:beforeAutospacing="0" w:after="0" w:afterAutospacing="0" w:line="360" w:lineRule="auto"/>
        <w:jc w:val="center"/>
        <w:outlineLvl w:val="0"/>
        <w:rPr>
          <w:rFonts w:ascii="Times New Roman" w:hAnsi="Times New Roman" w:eastAsia="黑体"/>
          <w:strike w:val="0"/>
          <w:dstrike w:val="0"/>
          <w:snapToGrid w:val="0"/>
          <w:color w:val="auto"/>
          <w:sz w:val="30"/>
          <w:szCs w:val="30"/>
          <w:highlight w:val="none"/>
        </w:rPr>
      </w:pPr>
      <w:r>
        <w:rPr>
          <w:rFonts w:ascii="Times New Roman" w:hAnsi="Times New Roman" w:eastAsia="黑体"/>
          <w:strike w:val="0"/>
          <w:dstrike w:val="0"/>
          <w:snapToGrid w:val="0"/>
          <w:color w:val="auto"/>
          <w:sz w:val="30"/>
          <w:szCs w:val="30"/>
          <w:highlight w:val="none"/>
        </w:rPr>
        <w:t>五、</w:t>
      </w:r>
      <w:bookmarkStart w:id="143" w:name="_Hlk54167917"/>
      <w:r>
        <w:rPr>
          <w:rFonts w:ascii="Times New Roman" w:hAnsi="Times New Roman" w:eastAsia="黑体"/>
          <w:strike w:val="0"/>
          <w:dstrike w:val="0"/>
          <w:snapToGrid w:val="0"/>
          <w:color w:val="auto"/>
          <w:sz w:val="30"/>
          <w:szCs w:val="30"/>
          <w:highlight w:val="none"/>
        </w:rPr>
        <w:t>环境保护措施监督检查清单</w:t>
      </w:r>
      <w:bookmarkEnd w:id="143"/>
    </w:p>
    <w:tbl>
      <w:tblPr>
        <w:tblStyle w:val="22"/>
        <w:tblW w:w="92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122"/>
        <w:gridCol w:w="958"/>
        <w:gridCol w:w="1269"/>
        <w:gridCol w:w="2290"/>
        <w:gridCol w:w="2472"/>
      </w:tblGrid>
      <w:tr w14:paraId="0587A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142" w:type="dxa"/>
            <w:tcBorders>
              <w:tl2br w:val="single" w:color="auto" w:sz="4" w:space="0"/>
            </w:tcBorders>
            <w:vAlign w:val="center"/>
          </w:tcPr>
          <w:p w14:paraId="1B202210">
            <w:pPr>
              <w:adjustRightInd w:val="0"/>
              <w:snapToGrid w:val="0"/>
              <w:ind w:firstLine="422" w:firstLineChars="200"/>
              <w:jc w:val="right"/>
              <w:rPr>
                <w:b/>
                <w:bCs/>
                <w:strike w:val="0"/>
                <w:dstrike w:val="0"/>
                <w:color w:val="auto"/>
                <w:szCs w:val="21"/>
                <w:highlight w:val="none"/>
              </w:rPr>
            </w:pPr>
            <w:r>
              <w:rPr>
                <w:b/>
                <w:bCs/>
                <w:strike w:val="0"/>
                <w:dstrike w:val="0"/>
                <w:color w:val="auto"/>
                <w:szCs w:val="21"/>
                <w:highlight w:val="none"/>
              </w:rPr>
              <w:t>内容</w:t>
            </w:r>
          </w:p>
          <w:p w14:paraId="60BB2816">
            <w:pPr>
              <w:adjustRightInd w:val="0"/>
              <w:snapToGrid w:val="0"/>
              <w:jc w:val="left"/>
              <w:rPr>
                <w:b/>
                <w:bCs/>
                <w:strike w:val="0"/>
                <w:dstrike w:val="0"/>
                <w:color w:val="auto"/>
                <w:szCs w:val="21"/>
                <w:highlight w:val="none"/>
              </w:rPr>
            </w:pPr>
            <w:r>
              <w:rPr>
                <w:b/>
                <w:bCs/>
                <w:strike w:val="0"/>
                <w:dstrike w:val="0"/>
                <w:color w:val="auto"/>
                <w:szCs w:val="21"/>
                <w:highlight w:val="none"/>
              </w:rPr>
              <w:t>要素</w:t>
            </w:r>
          </w:p>
        </w:tc>
        <w:tc>
          <w:tcPr>
            <w:tcW w:w="2080" w:type="dxa"/>
            <w:gridSpan w:val="2"/>
            <w:vAlign w:val="center"/>
          </w:tcPr>
          <w:p w14:paraId="707CBAC8">
            <w:pPr>
              <w:adjustRightInd w:val="0"/>
              <w:snapToGrid w:val="0"/>
              <w:jc w:val="center"/>
              <w:rPr>
                <w:b/>
                <w:bCs/>
                <w:strike w:val="0"/>
                <w:dstrike w:val="0"/>
                <w:color w:val="auto"/>
                <w:szCs w:val="21"/>
                <w:highlight w:val="none"/>
              </w:rPr>
            </w:pPr>
            <w:r>
              <w:rPr>
                <w:b/>
                <w:bCs/>
                <w:strike w:val="0"/>
                <w:dstrike w:val="0"/>
                <w:color w:val="auto"/>
                <w:szCs w:val="21"/>
                <w:highlight w:val="none"/>
              </w:rPr>
              <w:t>排放口(编号、名称)/污染源</w:t>
            </w:r>
          </w:p>
        </w:tc>
        <w:tc>
          <w:tcPr>
            <w:tcW w:w="1269" w:type="dxa"/>
            <w:vAlign w:val="center"/>
          </w:tcPr>
          <w:p w14:paraId="111ADE09">
            <w:pPr>
              <w:adjustRightInd w:val="0"/>
              <w:snapToGrid w:val="0"/>
              <w:jc w:val="center"/>
              <w:rPr>
                <w:b/>
                <w:bCs/>
                <w:strike w:val="0"/>
                <w:dstrike w:val="0"/>
                <w:color w:val="auto"/>
                <w:szCs w:val="21"/>
                <w:highlight w:val="none"/>
              </w:rPr>
            </w:pPr>
            <w:r>
              <w:rPr>
                <w:b/>
                <w:bCs/>
                <w:strike w:val="0"/>
                <w:dstrike w:val="0"/>
                <w:color w:val="auto"/>
                <w:szCs w:val="21"/>
                <w:highlight w:val="none"/>
              </w:rPr>
              <w:t>污染物项目</w:t>
            </w:r>
          </w:p>
        </w:tc>
        <w:tc>
          <w:tcPr>
            <w:tcW w:w="2290" w:type="dxa"/>
            <w:vAlign w:val="center"/>
          </w:tcPr>
          <w:p w14:paraId="53404BD2">
            <w:pPr>
              <w:adjustRightInd w:val="0"/>
              <w:snapToGrid w:val="0"/>
              <w:jc w:val="center"/>
              <w:rPr>
                <w:b/>
                <w:bCs/>
                <w:strike w:val="0"/>
                <w:dstrike w:val="0"/>
                <w:color w:val="auto"/>
                <w:szCs w:val="21"/>
                <w:highlight w:val="none"/>
              </w:rPr>
            </w:pPr>
            <w:r>
              <w:rPr>
                <w:b/>
                <w:bCs/>
                <w:strike w:val="0"/>
                <w:dstrike w:val="0"/>
                <w:color w:val="auto"/>
                <w:szCs w:val="21"/>
                <w:highlight w:val="none"/>
              </w:rPr>
              <w:t>环境保护措施</w:t>
            </w:r>
          </w:p>
        </w:tc>
        <w:tc>
          <w:tcPr>
            <w:tcW w:w="2472" w:type="dxa"/>
            <w:vAlign w:val="center"/>
          </w:tcPr>
          <w:p w14:paraId="017467C3">
            <w:pPr>
              <w:adjustRightInd w:val="0"/>
              <w:snapToGrid w:val="0"/>
              <w:jc w:val="center"/>
              <w:rPr>
                <w:b/>
                <w:bCs/>
                <w:strike w:val="0"/>
                <w:dstrike w:val="0"/>
                <w:color w:val="auto"/>
                <w:szCs w:val="21"/>
                <w:highlight w:val="none"/>
              </w:rPr>
            </w:pPr>
            <w:r>
              <w:rPr>
                <w:b/>
                <w:bCs/>
                <w:strike w:val="0"/>
                <w:dstrike w:val="0"/>
                <w:color w:val="auto"/>
                <w:szCs w:val="21"/>
                <w:highlight w:val="none"/>
              </w:rPr>
              <w:t>执行标准</w:t>
            </w:r>
          </w:p>
        </w:tc>
      </w:tr>
      <w:tr w14:paraId="4B430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42" w:type="dxa"/>
            <w:vMerge w:val="restart"/>
            <w:vAlign w:val="center"/>
          </w:tcPr>
          <w:p w14:paraId="5935CB10">
            <w:pPr>
              <w:adjustRightInd w:val="0"/>
              <w:snapToGrid w:val="0"/>
              <w:jc w:val="center"/>
              <w:rPr>
                <w:strike w:val="0"/>
                <w:dstrike w:val="0"/>
                <w:color w:val="auto"/>
                <w:szCs w:val="21"/>
                <w:highlight w:val="none"/>
              </w:rPr>
            </w:pPr>
            <w:r>
              <w:rPr>
                <w:strike w:val="0"/>
                <w:dstrike w:val="0"/>
                <w:color w:val="auto"/>
                <w:szCs w:val="21"/>
                <w:highlight w:val="none"/>
              </w:rPr>
              <w:t>大气环境</w:t>
            </w:r>
          </w:p>
        </w:tc>
        <w:tc>
          <w:tcPr>
            <w:tcW w:w="1122" w:type="dxa"/>
            <w:vMerge w:val="restart"/>
            <w:shd w:val="clear" w:color="auto" w:fill="auto"/>
            <w:vAlign w:val="center"/>
          </w:tcPr>
          <w:p w14:paraId="63489328">
            <w:pPr>
              <w:widowControl/>
              <w:jc w:val="center"/>
              <w:rPr>
                <w:strike w:val="0"/>
                <w:dstrike w:val="0"/>
                <w:color w:val="auto"/>
                <w:kern w:val="0"/>
                <w:szCs w:val="21"/>
                <w:highlight w:val="none"/>
              </w:rPr>
            </w:pPr>
            <w:r>
              <w:rPr>
                <w:strike w:val="0"/>
                <w:dstrike w:val="0"/>
                <w:color w:val="auto"/>
                <w:szCs w:val="21"/>
                <w:highlight w:val="none"/>
              </w:rPr>
              <w:t>地下油罐装料蒸汽排放</w:t>
            </w:r>
          </w:p>
        </w:tc>
        <w:tc>
          <w:tcPr>
            <w:tcW w:w="958" w:type="dxa"/>
            <w:shd w:val="clear" w:color="auto" w:fill="auto"/>
            <w:vAlign w:val="center"/>
          </w:tcPr>
          <w:p w14:paraId="039717F8">
            <w:pPr>
              <w:widowControl/>
              <w:jc w:val="center"/>
              <w:rPr>
                <w:strike w:val="0"/>
                <w:dstrike w:val="0"/>
                <w:color w:val="auto"/>
                <w:kern w:val="0"/>
                <w:szCs w:val="21"/>
                <w:highlight w:val="none"/>
              </w:rPr>
            </w:pPr>
            <w:r>
              <w:rPr>
                <w:strike w:val="0"/>
                <w:dstrike w:val="0"/>
                <w:color w:val="auto"/>
                <w:kern w:val="0"/>
                <w:szCs w:val="21"/>
                <w:highlight w:val="none"/>
              </w:rPr>
              <w:t>柴油卸油废气</w:t>
            </w:r>
          </w:p>
        </w:tc>
        <w:tc>
          <w:tcPr>
            <w:tcW w:w="1269" w:type="dxa"/>
            <w:shd w:val="clear" w:color="auto" w:fill="auto"/>
            <w:vAlign w:val="center"/>
          </w:tcPr>
          <w:p w14:paraId="24550DFE">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90" w:type="dxa"/>
            <w:shd w:val="clear" w:color="auto" w:fill="auto"/>
            <w:vAlign w:val="center"/>
          </w:tcPr>
          <w:p w14:paraId="0315D64B">
            <w:pPr>
              <w:jc w:val="center"/>
              <w:rPr>
                <w:strike w:val="0"/>
                <w:dstrike w:val="0"/>
                <w:color w:val="auto"/>
                <w:kern w:val="0"/>
                <w:szCs w:val="21"/>
                <w:highlight w:val="none"/>
              </w:rPr>
            </w:pPr>
            <w:r>
              <w:rPr>
                <w:strike w:val="0"/>
                <w:dstrike w:val="0"/>
                <w:color w:val="auto"/>
                <w:kern w:val="0"/>
                <w:szCs w:val="21"/>
                <w:highlight w:val="none"/>
              </w:rPr>
              <w:t>/</w:t>
            </w:r>
          </w:p>
        </w:tc>
        <w:tc>
          <w:tcPr>
            <w:tcW w:w="2472" w:type="dxa"/>
            <w:vMerge w:val="restart"/>
            <w:vAlign w:val="center"/>
          </w:tcPr>
          <w:p w14:paraId="3C613C57">
            <w:pPr>
              <w:rPr>
                <w:b/>
                <w:bCs/>
                <w:strike w:val="0"/>
                <w:dstrike w:val="0"/>
                <w:color w:val="auto"/>
                <w:kern w:val="0"/>
                <w:szCs w:val="21"/>
                <w:highlight w:val="none"/>
              </w:rPr>
            </w:pPr>
            <w:r>
              <w:rPr>
                <w:strike w:val="0"/>
                <w:dstrike w:val="0"/>
                <w:color w:val="auto"/>
                <w:szCs w:val="21"/>
                <w:highlight w:val="none"/>
              </w:rPr>
              <w:t>《加油站大气污染物排放标准》（</w:t>
            </w:r>
            <w:r>
              <w:rPr>
                <w:rFonts w:eastAsia="TimesNewRomanPSMT"/>
                <w:strike w:val="0"/>
                <w:dstrike w:val="0"/>
                <w:color w:val="auto"/>
                <w:szCs w:val="21"/>
                <w:highlight w:val="none"/>
              </w:rPr>
              <w:t>GB20952-2020</w:t>
            </w:r>
            <w:r>
              <w:rPr>
                <w:strike w:val="0"/>
                <w:dstrike w:val="0"/>
                <w:color w:val="auto"/>
                <w:szCs w:val="21"/>
                <w:highlight w:val="none"/>
              </w:rPr>
              <w:t>）</w:t>
            </w:r>
          </w:p>
        </w:tc>
      </w:tr>
      <w:tr w14:paraId="2519E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42" w:type="dxa"/>
            <w:vMerge w:val="continue"/>
            <w:vAlign w:val="center"/>
          </w:tcPr>
          <w:p w14:paraId="52F3941B">
            <w:pPr>
              <w:adjustRightInd w:val="0"/>
              <w:snapToGrid w:val="0"/>
              <w:jc w:val="center"/>
              <w:rPr>
                <w:strike w:val="0"/>
                <w:dstrike w:val="0"/>
                <w:color w:val="auto"/>
                <w:szCs w:val="21"/>
                <w:highlight w:val="none"/>
              </w:rPr>
            </w:pPr>
          </w:p>
        </w:tc>
        <w:tc>
          <w:tcPr>
            <w:tcW w:w="1122" w:type="dxa"/>
            <w:vMerge w:val="continue"/>
            <w:shd w:val="clear" w:color="auto" w:fill="auto"/>
            <w:vAlign w:val="center"/>
          </w:tcPr>
          <w:p w14:paraId="04F7D3B5">
            <w:pPr>
              <w:widowControl/>
              <w:jc w:val="center"/>
              <w:rPr>
                <w:strike w:val="0"/>
                <w:dstrike w:val="0"/>
                <w:color w:val="auto"/>
                <w:kern w:val="0"/>
                <w:szCs w:val="21"/>
                <w:highlight w:val="none"/>
              </w:rPr>
            </w:pPr>
          </w:p>
        </w:tc>
        <w:tc>
          <w:tcPr>
            <w:tcW w:w="958" w:type="dxa"/>
            <w:shd w:val="clear" w:color="auto" w:fill="auto"/>
            <w:vAlign w:val="center"/>
          </w:tcPr>
          <w:p w14:paraId="74E8D57D">
            <w:pPr>
              <w:widowControl/>
              <w:jc w:val="center"/>
              <w:rPr>
                <w:strike w:val="0"/>
                <w:dstrike w:val="0"/>
                <w:color w:val="auto"/>
                <w:kern w:val="0"/>
                <w:szCs w:val="21"/>
                <w:highlight w:val="none"/>
              </w:rPr>
            </w:pPr>
            <w:r>
              <w:rPr>
                <w:strike w:val="0"/>
                <w:dstrike w:val="0"/>
                <w:color w:val="auto"/>
                <w:kern w:val="0"/>
                <w:szCs w:val="21"/>
                <w:highlight w:val="none"/>
              </w:rPr>
              <w:t>汽油卸油废气</w:t>
            </w:r>
          </w:p>
        </w:tc>
        <w:tc>
          <w:tcPr>
            <w:tcW w:w="1269" w:type="dxa"/>
            <w:shd w:val="clear" w:color="auto" w:fill="auto"/>
            <w:vAlign w:val="center"/>
          </w:tcPr>
          <w:p w14:paraId="4109C25F">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90" w:type="dxa"/>
            <w:shd w:val="clear" w:color="auto" w:fill="auto"/>
            <w:vAlign w:val="center"/>
          </w:tcPr>
          <w:p w14:paraId="0A1FECE3">
            <w:pPr>
              <w:widowControl/>
              <w:jc w:val="center"/>
              <w:rPr>
                <w:strike w:val="0"/>
                <w:dstrike w:val="0"/>
                <w:color w:val="auto"/>
                <w:kern w:val="0"/>
                <w:szCs w:val="21"/>
                <w:highlight w:val="none"/>
              </w:rPr>
            </w:pPr>
            <w:r>
              <w:rPr>
                <w:strike w:val="0"/>
                <w:dstrike w:val="0"/>
                <w:color w:val="auto"/>
                <w:kern w:val="0"/>
                <w:szCs w:val="21"/>
                <w:highlight w:val="none"/>
              </w:rPr>
              <w:t>油气回收系统（一</w:t>
            </w:r>
            <w:r>
              <w:rPr>
                <w:strike w:val="0"/>
                <w:dstrike w:val="0"/>
                <w:color w:val="auto"/>
                <w:szCs w:val="21"/>
                <w:highlight w:val="none"/>
              </w:rPr>
              <w:t>次油气回收系统</w:t>
            </w:r>
            <w:r>
              <w:rPr>
                <w:strike w:val="0"/>
                <w:dstrike w:val="0"/>
                <w:color w:val="auto"/>
                <w:kern w:val="0"/>
                <w:szCs w:val="21"/>
                <w:highlight w:val="none"/>
              </w:rPr>
              <w:t>）</w:t>
            </w:r>
          </w:p>
        </w:tc>
        <w:tc>
          <w:tcPr>
            <w:tcW w:w="2472" w:type="dxa"/>
            <w:vMerge w:val="continue"/>
            <w:vAlign w:val="center"/>
          </w:tcPr>
          <w:p w14:paraId="58FD1961">
            <w:pPr>
              <w:rPr>
                <w:strike w:val="0"/>
                <w:dstrike w:val="0"/>
                <w:color w:val="auto"/>
                <w:szCs w:val="21"/>
                <w:highlight w:val="none"/>
              </w:rPr>
            </w:pPr>
          </w:p>
        </w:tc>
      </w:tr>
      <w:tr w14:paraId="2B50D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142" w:type="dxa"/>
            <w:vMerge w:val="continue"/>
            <w:vAlign w:val="center"/>
          </w:tcPr>
          <w:p w14:paraId="791B4A8B">
            <w:pPr>
              <w:adjustRightInd w:val="0"/>
              <w:snapToGrid w:val="0"/>
              <w:jc w:val="center"/>
              <w:rPr>
                <w:strike w:val="0"/>
                <w:dstrike w:val="0"/>
                <w:color w:val="auto"/>
                <w:szCs w:val="21"/>
                <w:highlight w:val="none"/>
              </w:rPr>
            </w:pPr>
          </w:p>
          <w:p w14:paraId="07AF5BA1">
            <w:pPr>
              <w:pStyle w:val="11"/>
              <w:rPr>
                <w:rFonts w:ascii="Times New Roman" w:hAnsi="Times New Roman"/>
                <w:strike w:val="0"/>
                <w:dstrike w:val="0"/>
                <w:color w:val="auto"/>
                <w:sz w:val="21"/>
                <w:szCs w:val="21"/>
                <w:highlight w:val="none"/>
              </w:rPr>
            </w:pPr>
          </w:p>
        </w:tc>
        <w:tc>
          <w:tcPr>
            <w:tcW w:w="1122" w:type="dxa"/>
            <w:shd w:val="clear" w:color="auto" w:fill="auto"/>
            <w:vAlign w:val="center"/>
          </w:tcPr>
          <w:p w14:paraId="1149E137">
            <w:pPr>
              <w:widowControl/>
              <w:jc w:val="center"/>
              <w:rPr>
                <w:strike w:val="0"/>
                <w:dstrike w:val="0"/>
                <w:color w:val="auto"/>
                <w:kern w:val="0"/>
                <w:szCs w:val="21"/>
                <w:highlight w:val="none"/>
              </w:rPr>
            </w:pPr>
            <w:r>
              <w:rPr>
                <w:strike w:val="0"/>
                <w:dstrike w:val="0"/>
                <w:color w:val="auto"/>
                <w:kern w:val="0"/>
                <w:szCs w:val="21"/>
                <w:highlight w:val="none"/>
              </w:rPr>
              <w:t>汽油罐、柴油罐储油</w:t>
            </w:r>
          </w:p>
        </w:tc>
        <w:tc>
          <w:tcPr>
            <w:tcW w:w="958" w:type="dxa"/>
            <w:shd w:val="clear" w:color="auto" w:fill="auto"/>
            <w:vAlign w:val="center"/>
          </w:tcPr>
          <w:p w14:paraId="0A098511">
            <w:pPr>
              <w:widowControl/>
              <w:jc w:val="center"/>
              <w:rPr>
                <w:strike w:val="0"/>
                <w:dstrike w:val="0"/>
                <w:color w:val="auto"/>
                <w:kern w:val="0"/>
                <w:szCs w:val="21"/>
                <w:highlight w:val="none"/>
              </w:rPr>
            </w:pPr>
            <w:r>
              <w:rPr>
                <w:strike w:val="0"/>
                <w:dstrike w:val="0"/>
                <w:color w:val="auto"/>
                <w:kern w:val="0"/>
                <w:szCs w:val="21"/>
                <w:highlight w:val="none"/>
              </w:rPr>
              <w:t>储油废气</w:t>
            </w:r>
          </w:p>
        </w:tc>
        <w:tc>
          <w:tcPr>
            <w:tcW w:w="1269" w:type="dxa"/>
            <w:shd w:val="clear" w:color="auto" w:fill="auto"/>
            <w:vAlign w:val="center"/>
          </w:tcPr>
          <w:p w14:paraId="74F3B375">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90" w:type="dxa"/>
            <w:shd w:val="clear" w:color="auto" w:fill="auto"/>
            <w:vAlign w:val="center"/>
          </w:tcPr>
          <w:p w14:paraId="4BF772DB">
            <w:pPr>
              <w:jc w:val="center"/>
              <w:rPr>
                <w:strike w:val="0"/>
                <w:dstrike w:val="0"/>
                <w:color w:val="auto"/>
                <w:kern w:val="0"/>
                <w:szCs w:val="21"/>
                <w:highlight w:val="none"/>
              </w:rPr>
            </w:pPr>
            <w:r>
              <w:rPr>
                <w:strike w:val="0"/>
                <w:dstrike w:val="0"/>
                <w:color w:val="auto"/>
                <w:kern w:val="0"/>
                <w:szCs w:val="21"/>
                <w:highlight w:val="none"/>
              </w:rPr>
              <w:t>经通气立管排放</w:t>
            </w:r>
          </w:p>
        </w:tc>
        <w:tc>
          <w:tcPr>
            <w:tcW w:w="2472" w:type="dxa"/>
            <w:vMerge w:val="continue"/>
            <w:vAlign w:val="center"/>
          </w:tcPr>
          <w:p w14:paraId="70160F67">
            <w:pPr>
              <w:rPr>
                <w:strike w:val="0"/>
                <w:dstrike w:val="0"/>
                <w:color w:val="auto"/>
                <w:szCs w:val="21"/>
                <w:highlight w:val="none"/>
              </w:rPr>
            </w:pPr>
          </w:p>
        </w:tc>
      </w:tr>
      <w:tr w14:paraId="4B5DF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142" w:type="dxa"/>
            <w:vMerge w:val="continue"/>
            <w:vAlign w:val="center"/>
          </w:tcPr>
          <w:p w14:paraId="42925C9D">
            <w:pPr>
              <w:rPr>
                <w:strike w:val="0"/>
                <w:dstrike w:val="0"/>
                <w:color w:val="auto"/>
                <w:szCs w:val="21"/>
                <w:highlight w:val="none"/>
              </w:rPr>
            </w:pPr>
          </w:p>
        </w:tc>
        <w:tc>
          <w:tcPr>
            <w:tcW w:w="1122" w:type="dxa"/>
            <w:vMerge w:val="restart"/>
            <w:shd w:val="clear" w:color="auto" w:fill="auto"/>
            <w:vAlign w:val="center"/>
          </w:tcPr>
          <w:p w14:paraId="71456265">
            <w:pPr>
              <w:widowControl/>
              <w:jc w:val="center"/>
              <w:rPr>
                <w:strike w:val="0"/>
                <w:dstrike w:val="0"/>
                <w:color w:val="auto"/>
                <w:kern w:val="0"/>
                <w:szCs w:val="21"/>
                <w:highlight w:val="none"/>
              </w:rPr>
            </w:pPr>
            <w:r>
              <w:rPr>
                <w:strike w:val="0"/>
                <w:dstrike w:val="0"/>
                <w:color w:val="auto"/>
                <w:kern w:val="0"/>
                <w:szCs w:val="21"/>
                <w:highlight w:val="none"/>
              </w:rPr>
              <w:t>加油枪</w:t>
            </w:r>
          </w:p>
        </w:tc>
        <w:tc>
          <w:tcPr>
            <w:tcW w:w="958" w:type="dxa"/>
            <w:shd w:val="clear" w:color="auto" w:fill="auto"/>
            <w:vAlign w:val="center"/>
          </w:tcPr>
          <w:p w14:paraId="0E3D6BB3">
            <w:pPr>
              <w:widowControl/>
              <w:jc w:val="center"/>
              <w:rPr>
                <w:strike w:val="0"/>
                <w:dstrike w:val="0"/>
                <w:color w:val="auto"/>
                <w:kern w:val="0"/>
                <w:szCs w:val="21"/>
                <w:highlight w:val="none"/>
              </w:rPr>
            </w:pPr>
            <w:r>
              <w:rPr>
                <w:strike w:val="0"/>
                <w:dstrike w:val="0"/>
                <w:color w:val="auto"/>
                <w:kern w:val="0"/>
                <w:szCs w:val="21"/>
                <w:highlight w:val="none"/>
              </w:rPr>
              <w:t>柴油加油废气</w:t>
            </w:r>
          </w:p>
        </w:tc>
        <w:tc>
          <w:tcPr>
            <w:tcW w:w="1269" w:type="dxa"/>
            <w:shd w:val="clear" w:color="auto" w:fill="auto"/>
            <w:vAlign w:val="center"/>
          </w:tcPr>
          <w:p w14:paraId="7C7CBE1B">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90" w:type="dxa"/>
            <w:shd w:val="clear" w:color="auto" w:fill="auto"/>
            <w:vAlign w:val="center"/>
          </w:tcPr>
          <w:p w14:paraId="1CCDAB99">
            <w:pPr>
              <w:jc w:val="center"/>
              <w:rPr>
                <w:strike w:val="0"/>
                <w:dstrike w:val="0"/>
                <w:color w:val="auto"/>
                <w:kern w:val="0"/>
                <w:szCs w:val="21"/>
                <w:highlight w:val="none"/>
              </w:rPr>
            </w:pPr>
            <w:r>
              <w:rPr>
                <w:strike w:val="0"/>
                <w:dstrike w:val="0"/>
                <w:color w:val="auto"/>
                <w:kern w:val="0"/>
                <w:szCs w:val="21"/>
                <w:highlight w:val="none"/>
              </w:rPr>
              <w:t>/</w:t>
            </w:r>
          </w:p>
        </w:tc>
        <w:tc>
          <w:tcPr>
            <w:tcW w:w="2472" w:type="dxa"/>
            <w:vMerge w:val="continue"/>
            <w:vAlign w:val="center"/>
          </w:tcPr>
          <w:p w14:paraId="1B476BC4">
            <w:pPr>
              <w:rPr>
                <w:bCs/>
                <w:strike w:val="0"/>
                <w:dstrike w:val="0"/>
                <w:color w:val="auto"/>
                <w:spacing w:val="-10"/>
                <w:szCs w:val="21"/>
                <w:highlight w:val="none"/>
              </w:rPr>
            </w:pPr>
          </w:p>
        </w:tc>
      </w:tr>
      <w:tr w14:paraId="7C6B9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142" w:type="dxa"/>
            <w:vMerge w:val="continue"/>
            <w:vAlign w:val="center"/>
          </w:tcPr>
          <w:p w14:paraId="64D9D650">
            <w:pPr>
              <w:rPr>
                <w:bCs/>
                <w:strike w:val="0"/>
                <w:dstrike w:val="0"/>
                <w:color w:val="auto"/>
                <w:spacing w:val="-10"/>
                <w:szCs w:val="21"/>
                <w:highlight w:val="none"/>
              </w:rPr>
            </w:pPr>
          </w:p>
        </w:tc>
        <w:tc>
          <w:tcPr>
            <w:tcW w:w="1122" w:type="dxa"/>
            <w:vMerge w:val="continue"/>
            <w:shd w:val="clear" w:color="auto" w:fill="auto"/>
            <w:vAlign w:val="center"/>
          </w:tcPr>
          <w:p w14:paraId="46C9D81D">
            <w:pPr>
              <w:widowControl/>
              <w:jc w:val="center"/>
              <w:rPr>
                <w:strike w:val="0"/>
                <w:dstrike w:val="0"/>
                <w:color w:val="auto"/>
                <w:kern w:val="0"/>
                <w:szCs w:val="21"/>
                <w:highlight w:val="none"/>
              </w:rPr>
            </w:pPr>
          </w:p>
        </w:tc>
        <w:tc>
          <w:tcPr>
            <w:tcW w:w="958" w:type="dxa"/>
            <w:shd w:val="clear" w:color="auto" w:fill="auto"/>
            <w:vAlign w:val="center"/>
          </w:tcPr>
          <w:p w14:paraId="4DA26F57">
            <w:pPr>
              <w:widowControl/>
              <w:jc w:val="center"/>
              <w:rPr>
                <w:strike w:val="0"/>
                <w:dstrike w:val="0"/>
                <w:color w:val="auto"/>
                <w:kern w:val="0"/>
                <w:szCs w:val="21"/>
                <w:highlight w:val="none"/>
              </w:rPr>
            </w:pPr>
            <w:r>
              <w:rPr>
                <w:strike w:val="0"/>
                <w:dstrike w:val="0"/>
                <w:color w:val="auto"/>
                <w:kern w:val="0"/>
                <w:szCs w:val="21"/>
                <w:highlight w:val="none"/>
              </w:rPr>
              <w:t>汽油加油废气</w:t>
            </w:r>
          </w:p>
        </w:tc>
        <w:tc>
          <w:tcPr>
            <w:tcW w:w="1269" w:type="dxa"/>
            <w:shd w:val="clear" w:color="auto" w:fill="auto"/>
            <w:vAlign w:val="center"/>
          </w:tcPr>
          <w:p w14:paraId="050EE3AA">
            <w:pPr>
              <w:widowControl/>
              <w:jc w:val="center"/>
              <w:rPr>
                <w:strike w:val="0"/>
                <w:dstrike w:val="0"/>
                <w:color w:val="auto"/>
                <w:kern w:val="0"/>
                <w:szCs w:val="21"/>
                <w:highlight w:val="none"/>
              </w:rPr>
            </w:pPr>
            <w:r>
              <w:rPr>
                <w:strike w:val="0"/>
                <w:dstrike w:val="0"/>
                <w:color w:val="auto"/>
                <w:szCs w:val="21"/>
                <w:highlight w:val="none"/>
              </w:rPr>
              <w:t>非甲烷总烃</w:t>
            </w:r>
          </w:p>
        </w:tc>
        <w:tc>
          <w:tcPr>
            <w:tcW w:w="2290" w:type="dxa"/>
            <w:shd w:val="clear" w:color="auto" w:fill="auto"/>
            <w:vAlign w:val="center"/>
          </w:tcPr>
          <w:p w14:paraId="3B94A98D">
            <w:pPr>
              <w:jc w:val="center"/>
              <w:rPr>
                <w:strike w:val="0"/>
                <w:dstrike w:val="0"/>
                <w:color w:val="auto"/>
                <w:kern w:val="0"/>
                <w:szCs w:val="21"/>
                <w:highlight w:val="none"/>
              </w:rPr>
            </w:pPr>
            <w:r>
              <w:rPr>
                <w:strike w:val="0"/>
                <w:dstrike w:val="0"/>
                <w:color w:val="auto"/>
                <w:kern w:val="0"/>
                <w:szCs w:val="21"/>
                <w:highlight w:val="none"/>
              </w:rPr>
              <w:t>油气回收系统（</w:t>
            </w:r>
            <w:r>
              <w:rPr>
                <w:strike w:val="0"/>
                <w:dstrike w:val="0"/>
                <w:color w:val="auto"/>
                <w:szCs w:val="21"/>
                <w:highlight w:val="none"/>
              </w:rPr>
              <w:t>二次油气回收系统</w:t>
            </w:r>
            <w:r>
              <w:rPr>
                <w:strike w:val="0"/>
                <w:dstrike w:val="0"/>
                <w:color w:val="auto"/>
                <w:kern w:val="0"/>
                <w:szCs w:val="21"/>
                <w:highlight w:val="none"/>
              </w:rPr>
              <w:t>）</w:t>
            </w:r>
          </w:p>
        </w:tc>
        <w:tc>
          <w:tcPr>
            <w:tcW w:w="2472" w:type="dxa"/>
            <w:vMerge w:val="continue"/>
            <w:vAlign w:val="center"/>
          </w:tcPr>
          <w:p w14:paraId="77C49FCD">
            <w:pPr>
              <w:rPr>
                <w:bCs/>
                <w:strike w:val="0"/>
                <w:dstrike w:val="0"/>
                <w:color w:val="auto"/>
                <w:spacing w:val="-10"/>
                <w:szCs w:val="21"/>
                <w:highlight w:val="none"/>
              </w:rPr>
            </w:pPr>
          </w:p>
        </w:tc>
      </w:tr>
      <w:tr w14:paraId="63950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142" w:type="dxa"/>
            <w:vMerge w:val="continue"/>
            <w:vAlign w:val="center"/>
          </w:tcPr>
          <w:p w14:paraId="73366ABC">
            <w:pPr>
              <w:rPr>
                <w:bCs/>
                <w:strike w:val="0"/>
                <w:dstrike w:val="0"/>
                <w:color w:val="auto"/>
                <w:spacing w:val="-10"/>
                <w:szCs w:val="21"/>
                <w:highlight w:val="none"/>
              </w:rPr>
            </w:pPr>
          </w:p>
        </w:tc>
        <w:tc>
          <w:tcPr>
            <w:tcW w:w="1122" w:type="dxa"/>
            <w:shd w:val="clear" w:color="auto" w:fill="auto"/>
            <w:vAlign w:val="center"/>
          </w:tcPr>
          <w:p w14:paraId="4460AD94">
            <w:pPr>
              <w:widowControl/>
              <w:jc w:val="center"/>
              <w:rPr>
                <w:strike w:val="0"/>
                <w:dstrike w:val="0"/>
                <w:color w:val="auto"/>
                <w:kern w:val="0"/>
                <w:szCs w:val="21"/>
                <w:highlight w:val="none"/>
              </w:rPr>
            </w:pPr>
            <w:r>
              <w:rPr>
                <w:strike w:val="0"/>
                <w:dstrike w:val="0"/>
                <w:color w:val="auto"/>
                <w:kern w:val="0"/>
                <w:szCs w:val="21"/>
                <w:highlight w:val="none"/>
              </w:rPr>
              <w:t>LNG气罐车</w:t>
            </w:r>
          </w:p>
        </w:tc>
        <w:tc>
          <w:tcPr>
            <w:tcW w:w="958" w:type="dxa"/>
            <w:shd w:val="clear" w:color="auto" w:fill="auto"/>
            <w:vAlign w:val="center"/>
          </w:tcPr>
          <w:p w14:paraId="04A14F6D">
            <w:pPr>
              <w:widowControl/>
              <w:jc w:val="center"/>
              <w:rPr>
                <w:strike w:val="0"/>
                <w:dstrike w:val="0"/>
                <w:color w:val="auto"/>
                <w:kern w:val="0"/>
                <w:szCs w:val="21"/>
                <w:highlight w:val="none"/>
              </w:rPr>
            </w:pPr>
            <w:r>
              <w:rPr>
                <w:strike w:val="0"/>
                <w:dstrike w:val="0"/>
                <w:color w:val="auto"/>
                <w:szCs w:val="21"/>
                <w:highlight w:val="none"/>
              </w:rPr>
              <w:t>卸车废气</w:t>
            </w:r>
          </w:p>
        </w:tc>
        <w:tc>
          <w:tcPr>
            <w:tcW w:w="1269" w:type="dxa"/>
            <w:shd w:val="clear" w:color="auto" w:fill="auto"/>
            <w:vAlign w:val="center"/>
          </w:tcPr>
          <w:p w14:paraId="24CCAF05">
            <w:pPr>
              <w:widowControl/>
              <w:jc w:val="center"/>
              <w:rPr>
                <w:strike w:val="0"/>
                <w:dstrike w:val="0"/>
                <w:color w:val="auto"/>
                <w:szCs w:val="21"/>
                <w:highlight w:val="none"/>
              </w:rPr>
            </w:pPr>
            <w:r>
              <w:rPr>
                <w:strike w:val="0"/>
                <w:dstrike w:val="0"/>
                <w:color w:val="auto"/>
                <w:szCs w:val="21"/>
                <w:highlight w:val="none"/>
              </w:rPr>
              <w:t>非甲烷总烃</w:t>
            </w:r>
          </w:p>
        </w:tc>
        <w:tc>
          <w:tcPr>
            <w:tcW w:w="2290" w:type="dxa"/>
            <w:shd w:val="clear" w:color="auto" w:fill="auto"/>
            <w:vAlign w:val="center"/>
          </w:tcPr>
          <w:p w14:paraId="5452772E">
            <w:pPr>
              <w:jc w:val="center"/>
              <w:rPr>
                <w:strike w:val="0"/>
                <w:dstrike w:val="0"/>
                <w:color w:val="auto"/>
                <w:kern w:val="0"/>
                <w:szCs w:val="21"/>
                <w:highlight w:val="none"/>
              </w:rPr>
            </w:pPr>
            <w:r>
              <w:rPr>
                <w:rFonts w:hint="eastAsia"/>
                <w:bCs/>
                <w:strike w:val="0"/>
                <w:dstrike w:val="0"/>
                <w:color w:val="auto"/>
                <w:spacing w:val="-10"/>
                <w:szCs w:val="21"/>
                <w:highlight w:val="none"/>
              </w:rPr>
              <w:t>EAG加热器</w:t>
            </w:r>
          </w:p>
        </w:tc>
        <w:tc>
          <w:tcPr>
            <w:tcW w:w="2472" w:type="dxa"/>
            <w:vMerge w:val="continue"/>
            <w:vAlign w:val="center"/>
          </w:tcPr>
          <w:p w14:paraId="40ECDA64">
            <w:pPr>
              <w:rPr>
                <w:bCs/>
                <w:strike w:val="0"/>
                <w:dstrike w:val="0"/>
                <w:color w:val="auto"/>
                <w:spacing w:val="-10"/>
                <w:szCs w:val="21"/>
                <w:highlight w:val="none"/>
              </w:rPr>
            </w:pPr>
          </w:p>
        </w:tc>
      </w:tr>
      <w:tr w14:paraId="345CC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142" w:type="dxa"/>
            <w:vMerge w:val="continue"/>
            <w:vAlign w:val="center"/>
          </w:tcPr>
          <w:p w14:paraId="6E07FE03">
            <w:pPr>
              <w:rPr>
                <w:bCs/>
                <w:strike w:val="0"/>
                <w:dstrike w:val="0"/>
                <w:color w:val="auto"/>
                <w:spacing w:val="-10"/>
                <w:szCs w:val="21"/>
                <w:highlight w:val="none"/>
              </w:rPr>
            </w:pPr>
          </w:p>
        </w:tc>
        <w:tc>
          <w:tcPr>
            <w:tcW w:w="1122" w:type="dxa"/>
            <w:shd w:val="clear" w:color="auto" w:fill="auto"/>
            <w:vAlign w:val="center"/>
          </w:tcPr>
          <w:p w14:paraId="551D4F67">
            <w:pPr>
              <w:widowControl/>
              <w:jc w:val="center"/>
              <w:rPr>
                <w:strike w:val="0"/>
                <w:dstrike w:val="0"/>
                <w:color w:val="auto"/>
                <w:kern w:val="0"/>
                <w:szCs w:val="21"/>
                <w:highlight w:val="none"/>
              </w:rPr>
            </w:pPr>
            <w:r>
              <w:rPr>
                <w:strike w:val="0"/>
                <w:dstrike w:val="0"/>
                <w:color w:val="auto"/>
                <w:kern w:val="0"/>
                <w:szCs w:val="21"/>
                <w:highlight w:val="none"/>
              </w:rPr>
              <w:t>EAG加热器</w:t>
            </w:r>
          </w:p>
        </w:tc>
        <w:tc>
          <w:tcPr>
            <w:tcW w:w="958" w:type="dxa"/>
            <w:shd w:val="clear" w:color="auto" w:fill="auto"/>
            <w:vAlign w:val="center"/>
          </w:tcPr>
          <w:p w14:paraId="02749C45">
            <w:pPr>
              <w:widowControl/>
              <w:jc w:val="center"/>
              <w:rPr>
                <w:strike w:val="0"/>
                <w:dstrike w:val="0"/>
                <w:color w:val="auto"/>
                <w:kern w:val="0"/>
                <w:szCs w:val="21"/>
                <w:highlight w:val="none"/>
              </w:rPr>
            </w:pPr>
            <w:r>
              <w:rPr>
                <w:rFonts w:hint="eastAsia"/>
                <w:strike w:val="0"/>
                <w:dstrike w:val="0"/>
                <w:color w:val="auto"/>
                <w:kern w:val="0"/>
                <w:szCs w:val="21"/>
                <w:highlight w:val="none"/>
                <w:lang w:bidi="ar"/>
              </w:rPr>
              <w:t>安全放散废气</w:t>
            </w:r>
          </w:p>
        </w:tc>
        <w:tc>
          <w:tcPr>
            <w:tcW w:w="1269" w:type="dxa"/>
            <w:shd w:val="clear" w:color="auto" w:fill="auto"/>
            <w:vAlign w:val="center"/>
          </w:tcPr>
          <w:p w14:paraId="5B970423">
            <w:pPr>
              <w:widowControl/>
              <w:jc w:val="center"/>
              <w:rPr>
                <w:strike w:val="0"/>
                <w:dstrike w:val="0"/>
                <w:color w:val="auto"/>
                <w:kern w:val="0"/>
                <w:szCs w:val="21"/>
                <w:highlight w:val="none"/>
              </w:rPr>
            </w:pPr>
            <w:r>
              <w:rPr>
                <w:strike w:val="0"/>
                <w:dstrike w:val="0"/>
                <w:color w:val="auto"/>
                <w:kern w:val="0"/>
                <w:szCs w:val="21"/>
                <w:highlight w:val="none"/>
              </w:rPr>
              <w:t>非甲烷总烃</w:t>
            </w:r>
          </w:p>
        </w:tc>
        <w:tc>
          <w:tcPr>
            <w:tcW w:w="2290" w:type="dxa"/>
            <w:shd w:val="clear" w:color="auto" w:fill="auto"/>
            <w:vAlign w:val="center"/>
          </w:tcPr>
          <w:p w14:paraId="718610F9">
            <w:pPr>
              <w:jc w:val="center"/>
              <w:rPr>
                <w:rFonts w:hint="eastAsia" w:eastAsia="宋体"/>
                <w:strike w:val="0"/>
                <w:dstrike w:val="0"/>
                <w:color w:val="auto"/>
                <w:szCs w:val="21"/>
                <w:highlight w:val="none"/>
                <w:lang w:eastAsia="zh-CN"/>
              </w:rPr>
            </w:pPr>
            <w:r>
              <w:rPr>
                <w:rFonts w:hint="eastAsia"/>
                <w:bCs/>
                <w:strike w:val="0"/>
                <w:dstrike w:val="0"/>
                <w:color w:val="auto"/>
                <w:spacing w:val="-10"/>
                <w:szCs w:val="21"/>
                <w:highlight w:val="none"/>
              </w:rPr>
              <w:t>5</w:t>
            </w:r>
            <w:r>
              <w:rPr>
                <w:bCs/>
                <w:strike w:val="0"/>
                <w:dstrike w:val="0"/>
                <w:color w:val="auto"/>
                <w:spacing w:val="-10"/>
                <w:szCs w:val="21"/>
                <w:highlight w:val="none"/>
              </w:rPr>
              <w:t>m高的</w:t>
            </w:r>
            <w:r>
              <w:rPr>
                <w:rFonts w:hint="eastAsia"/>
                <w:strike w:val="0"/>
                <w:dstrike w:val="0"/>
                <w:color w:val="auto"/>
                <w:sz w:val="21"/>
                <w:szCs w:val="21"/>
                <w:highlight w:val="none"/>
                <w:lang w:val="en-US" w:eastAsia="zh-CN"/>
              </w:rPr>
              <w:t>放散管</w:t>
            </w:r>
          </w:p>
        </w:tc>
        <w:tc>
          <w:tcPr>
            <w:tcW w:w="2472" w:type="dxa"/>
            <w:vMerge w:val="continue"/>
            <w:vAlign w:val="center"/>
          </w:tcPr>
          <w:p w14:paraId="67F07443">
            <w:pPr>
              <w:rPr>
                <w:bCs/>
                <w:strike w:val="0"/>
                <w:dstrike w:val="0"/>
                <w:color w:val="auto"/>
                <w:spacing w:val="-10"/>
                <w:szCs w:val="21"/>
                <w:highlight w:val="none"/>
              </w:rPr>
            </w:pPr>
          </w:p>
        </w:tc>
      </w:tr>
      <w:tr w14:paraId="760A0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142" w:type="dxa"/>
            <w:vMerge w:val="continue"/>
            <w:vAlign w:val="center"/>
          </w:tcPr>
          <w:p w14:paraId="78C44621">
            <w:pPr>
              <w:rPr>
                <w:bCs/>
                <w:strike w:val="0"/>
                <w:dstrike w:val="0"/>
                <w:color w:val="auto"/>
                <w:spacing w:val="-10"/>
                <w:szCs w:val="21"/>
                <w:highlight w:val="none"/>
              </w:rPr>
            </w:pPr>
          </w:p>
        </w:tc>
        <w:tc>
          <w:tcPr>
            <w:tcW w:w="1122" w:type="dxa"/>
            <w:shd w:val="clear" w:color="auto" w:fill="auto"/>
            <w:vAlign w:val="center"/>
          </w:tcPr>
          <w:p w14:paraId="4F38D8B0">
            <w:pPr>
              <w:widowControl/>
              <w:jc w:val="center"/>
              <w:rPr>
                <w:strike w:val="0"/>
                <w:dstrike w:val="0"/>
                <w:color w:val="auto"/>
                <w:kern w:val="0"/>
                <w:szCs w:val="21"/>
                <w:highlight w:val="none"/>
              </w:rPr>
            </w:pPr>
            <w:r>
              <w:rPr>
                <w:strike w:val="0"/>
                <w:dstrike w:val="0"/>
                <w:color w:val="auto"/>
                <w:kern w:val="0"/>
                <w:szCs w:val="21"/>
                <w:highlight w:val="none"/>
              </w:rPr>
              <w:t>生化池</w:t>
            </w:r>
          </w:p>
        </w:tc>
        <w:tc>
          <w:tcPr>
            <w:tcW w:w="958" w:type="dxa"/>
            <w:shd w:val="clear" w:color="auto" w:fill="auto"/>
            <w:vAlign w:val="center"/>
          </w:tcPr>
          <w:p w14:paraId="120844DA">
            <w:pPr>
              <w:widowControl/>
              <w:jc w:val="center"/>
              <w:rPr>
                <w:strike w:val="0"/>
                <w:dstrike w:val="0"/>
                <w:color w:val="auto"/>
                <w:kern w:val="0"/>
                <w:szCs w:val="21"/>
                <w:highlight w:val="none"/>
              </w:rPr>
            </w:pPr>
            <w:r>
              <w:rPr>
                <w:rStyle w:val="29"/>
                <w:strike w:val="0"/>
                <w:dstrike w:val="0"/>
                <w:color w:val="auto"/>
                <w:kern w:val="0"/>
                <w:szCs w:val="21"/>
                <w:highlight w:val="none"/>
              </w:rPr>
              <w:t>生化池臭气</w:t>
            </w:r>
          </w:p>
        </w:tc>
        <w:tc>
          <w:tcPr>
            <w:tcW w:w="1269" w:type="dxa"/>
            <w:shd w:val="clear" w:color="auto" w:fill="auto"/>
            <w:vAlign w:val="center"/>
          </w:tcPr>
          <w:p w14:paraId="7E5D7393">
            <w:pPr>
              <w:widowControl/>
              <w:jc w:val="center"/>
              <w:rPr>
                <w:strike w:val="0"/>
                <w:dstrike w:val="0"/>
                <w:color w:val="auto"/>
                <w:kern w:val="0"/>
                <w:szCs w:val="21"/>
                <w:highlight w:val="none"/>
              </w:rPr>
            </w:pPr>
            <w:r>
              <w:rPr>
                <w:rFonts w:eastAsia="TimesNewRomanPSMT"/>
                <w:strike w:val="0"/>
                <w:dstrike w:val="0"/>
                <w:color w:val="auto"/>
                <w:szCs w:val="21"/>
                <w:highlight w:val="none"/>
              </w:rPr>
              <w:t>H</w:t>
            </w:r>
            <w:r>
              <w:rPr>
                <w:rFonts w:eastAsia="TimesNewRomanPSMT"/>
                <w:strike w:val="0"/>
                <w:dstrike w:val="0"/>
                <w:color w:val="auto"/>
                <w:szCs w:val="21"/>
                <w:highlight w:val="none"/>
                <w:vertAlign w:val="subscript"/>
              </w:rPr>
              <w:t>2</w:t>
            </w:r>
            <w:r>
              <w:rPr>
                <w:rFonts w:eastAsia="TimesNewRomanPSMT"/>
                <w:strike w:val="0"/>
                <w:dstrike w:val="0"/>
                <w:color w:val="auto"/>
                <w:szCs w:val="21"/>
                <w:highlight w:val="none"/>
              </w:rPr>
              <w:t>S</w:t>
            </w:r>
            <w:r>
              <w:rPr>
                <w:strike w:val="0"/>
                <w:dstrike w:val="0"/>
                <w:color w:val="auto"/>
                <w:szCs w:val="21"/>
                <w:highlight w:val="none"/>
              </w:rPr>
              <w:t>、</w:t>
            </w:r>
            <w:r>
              <w:rPr>
                <w:rFonts w:eastAsia="TimesNewRomanPSMT"/>
                <w:strike w:val="0"/>
                <w:dstrike w:val="0"/>
                <w:color w:val="auto"/>
                <w:szCs w:val="21"/>
                <w:highlight w:val="none"/>
              </w:rPr>
              <w:t>NH</w:t>
            </w:r>
            <w:r>
              <w:rPr>
                <w:rFonts w:eastAsia="TimesNewRomanPSMT"/>
                <w:strike w:val="0"/>
                <w:dstrike w:val="0"/>
                <w:color w:val="auto"/>
                <w:szCs w:val="21"/>
                <w:highlight w:val="none"/>
                <w:vertAlign w:val="subscript"/>
              </w:rPr>
              <w:t>3</w:t>
            </w:r>
            <w:r>
              <w:rPr>
                <w:strike w:val="0"/>
                <w:dstrike w:val="0"/>
                <w:color w:val="auto"/>
                <w:szCs w:val="21"/>
                <w:highlight w:val="none"/>
              </w:rPr>
              <w:t>、臭气浓度</w:t>
            </w:r>
          </w:p>
        </w:tc>
        <w:tc>
          <w:tcPr>
            <w:tcW w:w="2290" w:type="dxa"/>
            <w:shd w:val="clear" w:color="auto" w:fill="auto"/>
            <w:vAlign w:val="center"/>
          </w:tcPr>
          <w:p w14:paraId="33C782BE">
            <w:pPr>
              <w:widowControl/>
              <w:jc w:val="center"/>
              <w:rPr>
                <w:strike w:val="0"/>
                <w:dstrike w:val="0"/>
                <w:color w:val="auto"/>
                <w:kern w:val="0"/>
                <w:szCs w:val="21"/>
                <w:highlight w:val="none"/>
              </w:rPr>
            </w:pPr>
            <w:r>
              <w:rPr>
                <w:strike w:val="0"/>
                <w:dstrike w:val="0"/>
                <w:color w:val="auto"/>
                <w:szCs w:val="21"/>
                <w:highlight w:val="none"/>
              </w:rPr>
              <w:t>引至绿化带排放</w:t>
            </w:r>
          </w:p>
        </w:tc>
        <w:tc>
          <w:tcPr>
            <w:tcW w:w="2472" w:type="dxa"/>
            <w:vAlign w:val="center"/>
          </w:tcPr>
          <w:p w14:paraId="5D7671A5">
            <w:pPr>
              <w:jc w:val="center"/>
              <w:rPr>
                <w:bCs/>
                <w:strike w:val="0"/>
                <w:dstrike w:val="0"/>
                <w:color w:val="auto"/>
                <w:spacing w:val="-10"/>
                <w:szCs w:val="21"/>
                <w:highlight w:val="none"/>
              </w:rPr>
            </w:pPr>
            <w:r>
              <w:rPr>
                <w:rFonts w:hint="eastAsia"/>
                <w:strike w:val="0"/>
                <w:dstrike w:val="0"/>
                <w:color w:val="auto"/>
                <w:szCs w:val="21"/>
                <w:highlight w:val="none"/>
              </w:rPr>
              <w:t>/</w:t>
            </w:r>
          </w:p>
        </w:tc>
      </w:tr>
      <w:tr w14:paraId="3F58A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142" w:type="dxa"/>
            <w:vMerge w:val="continue"/>
            <w:vAlign w:val="center"/>
          </w:tcPr>
          <w:p w14:paraId="2675D887">
            <w:pPr>
              <w:rPr>
                <w:bCs/>
                <w:strike w:val="0"/>
                <w:dstrike w:val="0"/>
                <w:color w:val="auto"/>
                <w:spacing w:val="-10"/>
                <w:szCs w:val="21"/>
                <w:highlight w:val="none"/>
              </w:rPr>
            </w:pPr>
          </w:p>
        </w:tc>
        <w:tc>
          <w:tcPr>
            <w:tcW w:w="1122" w:type="dxa"/>
            <w:shd w:val="clear" w:color="auto" w:fill="auto"/>
            <w:vAlign w:val="center"/>
          </w:tcPr>
          <w:p w14:paraId="10CFF818">
            <w:pPr>
              <w:widowControl/>
              <w:jc w:val="center"/>
              <w:rPr>
                <w:strike w:val="0"/>
                <w:dstrike w:val="0"/>
                <w:color w:val="auto"/>
                <w:kern w:val="0"/>
                <w:szCs w:val="21"/>
                <w:highlight w:val="none"/>
              </w:rPr>
            </w:pPr>
            <w:r>
              <w:rPr>
                <w:strike w:val="0"/>
                <w:dstrike w:val="0"/>
                <w:color w:val="auto"/>
                <w:kern w:val="0"/>
                <w:szCs w:val="21"/>
                <w:highlight w:val="none"/>
              </w:rPr>
              <w:t>来往车辆</w:t>
            </w:r>
          </w:p>
        </w:tc>
        <w:tc>
          <w:tcPr>
            <w:tcW w:w="958" w:type="dxa"/>
            <w:shd w:val="clear" w:color="auto" w:fill="auto"/>
            <w:vAlign w:val="center"/>
          </w:tcPr>
          <w:p w14:paraId="3EE1AFC4">
            <w:pPr>
              <w:widowControl/>
              <w:jc w:val="center"/>
              <w:rPr>
                <w:strike w:val="0"/>
                <w:dstrike w:val="0"/>
                <w:color w:val="auto"/>
                <w:kern w:val="0"/>
                <w:szCs w:val="21"/>
                <w:highlight w:val="none"/>
              </w:rPr>
            </w:pPr>
            <w:r>
              <w:rPr>
                <w:strike w:val="0"/>
                <w:dstrike w:val="0"/>
                <w:color w:val="auto"/>
                <w:szCs w:val="21"/>
                <w:highlight w:val="none"/>
              </w:rPr>
              <w:t>汽车尾气</w:t>
            </w:r>
          </w:p>
        </w:tc>
        <w:tc>
          <w:tcPr>
            <w:tcW w:w="1269" w:type="dxa"/>
            <w:shd w:val="clear" w:color="auto" w:fill="auto"/>
            <w:vAlign w:val="center"/>
          </w:tcPr>
          <w:p w14:paraId="390631D3">
            <w:pPr>
              <w:widowControl/>
              <w:jc w:val="center"/>
              <w:rPr>
                <w:strike w:val="0"/>
                <w:dstrike w:val="0"/>
                <w:color w:val="auto"/>
                <w:kern w:val="0"/>
                <w:szCs w:val="21"/>
                <w:highlight w:val="none"/>
              </w:rPr>
            </w:pPr>
            <w:r>
              <w:rPr>
                <w:rFonts w:eastAsia="TimesNewRomanPSMT"/>
                <w:strike w:val="0"/>
                <w:dstrike w:val="0"/>
                <w:color w:val="auto"/>
                <w:szCs w:val="21"/>
                <w:highlight w:val="none"/>
              </w:rPr>
              <w:t>HC</w:t>
            </w:r>
            <w:r>
              <w:rPr>
                <w:strike w:val="0"/>
                <w:dstrike w:val="0"/>
                <w:color w:val="auto"/>
                <w:szCs w:val="21"/>
                <w:highlight w:val="none"/>
              </w:rPr>
              <w:t>、</w:t>
            </w:r>
            <w:r>
              <w:rPr>
                <w:rFonts w:eastAsia="TimesNewRomanPSMT"/>
                <w:strike w:val="0"/>
                <w:dstrike w:val="0"/>
                <w:color w:val="auto"/>
                <w:szCs w:val="21"/>
                <w:highlight w:val="none"/>
              </w:rPr>
              <w:t>CO</w:t>
            </w:r>
            <w:r>
              <w:rPr>
                <w:strike w:val="0"/>
                <w:dstrike w:val="0"/>
                <w:color w:val="auto"/>
                <w:szCs w:val="21"/>
                <w:highlight w:val="none"/>
              </w:rPr>
              <w:t>、</w:t>
            </w:r>
            <w:r>
              <w:rPr>
                <w:rFonts w:eastAsia="TimesNewRomanPSMT"/>
                <w:strike w:val="0"/>
                <w:dstrike w:val="0"/>
                <w:color w:val="auto"/>
                <w:szCs w:val="21"/>
                <w:highlight w:val="none"/>
              </w:rPr>
              <w:t>NOx</w:t>
            </w:r>
          </w:p>
        </w:tc>
        <w:tc>
          <w:tcPr>
            <w:tcW w:w="2290" w:type="dxa"/>
            <w:shd w:val="clear" w:color="auto" w:fill="auto"/>
            <w:vAlign w:val="center"/>
          </w:tcPr>
          <w:p w14:paraId="31EA32D4">
            <w:pPr>
              <w:widowControl/>
              <w:jc w:val="center"/>
              <w:rPr>
                <w:strike w:val="0"/>
                <w:dstrike w:val="0"/>
                <w:color w:val="auto"/>
                <w:kern w:val="0"/>
                <w:szCs w:val="21"/>
                <w:highlight w:val="none"/>
              </w:rPr>
            </w:pPr>
            <w:r>
              <w:rPr>
                <w:strike w:val="0"/>
                <w:dstrike w:val="0"/>
                <w:color w:val="auto"/>
                <w:kern w:val="0"/>
                <w:szCs w:val="21"/>
                <w:highlight w:val="none"/>
              </w:rPr>
              <w:t>/</w:t>
            </w:r>
          </w:p>
        </w:tc>
        <w:tc>
          <w:tcPr>
            <w:tcW w:w="2472" w:type="dxa"/>
            <w:vAlign w:val="center"/>
          </w:tcPr>
          <w:p w14:paraId="4D0DFDE4">
            <w:pPr>
              <w:jc w:val="center"/>
              <w:rPr>
                <w:bCs/>
                <w:strike w:val="0"/>
                <w:dstrike w:val="0"/>
                <w:color w:val="auto"/>
                <w:spacing w:val="-10"/>
                <w:szCs w:val="21"/>
                <w:highlight w:val="none"/>
              </w:rPr>
            </w:pPr>
            <w:r>
              <w:rPr>
                <w:strike w:val="0"/>
                <w:dstrike w:val="0"/>
                <w:color w:val="auto"/>
                <w:szCs w:val="21"/>
                <w:highlight w:val="none"/>
              </w:rPr>
              <w:t>/</w:t>
            </w:r>
          </w:p>
        </w:tc>
      </w:tr>
      <w:tr w14:paraId="0C244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42" w:type="dxa"/>
            <w:vMerge w:val="continue"/>
            <w:vAlign w:val="center"/>
          </w:tcPr>
          <w:p w14:paraId="1189A844">
            <w:pPr>
              <w:adjustRightInd w:val="0"/>
              <w:snapToGrid w:val="0"/>
              <w:jc w:val="center"/>
              <w:rPr>
                <w:strike w:val="0"/>
                <w:dstrike w:val="0"/>
                <w:color w:val="auto"/>
                <w:szCs w:val="21"/>
                <w:highlight w:val="none"/>
              </w:rPr>
            </w:pPr>
          </w:p>
        </w:tc>
        <w:tc>
          <w:tcPr>
            <w:tcW w:w="1122" w:type="dxa"/>
            <w:vMerge w:val="restart"/>
            <w:shd w:val="clear" w:color="auto" w:fill="auto"/>
            <w:vAlign w:val="center"/>
          </w:tcPr>
          <w:p w14:paraId="373ED738">
            <w:pPr>
              <w:jc w:val="center"/>
              <w:rPr>
                <w:bCs/>
                <w:strike w:val="0"/>
                <w:dstrike w:val="0"/>
                <w:color w:val="auto"/>
                <w:szCs w:val="21"/>
                <w:highlight w:val="none"/>
              </w:rPr>
            </w:pPr>
            <w:r>
              <w:rPr>
                <w:bCs/>
                <w:strike w:val="0"/>
                <w:dstrike w:val="0"/>
                <w:color w:val="auto"/>
                <w:szCs w:val="21"/>
                <w:highlight w:val="none"/>
              </w:rPr>
              <w:t>非正常排放</w:t>
            </w:r>
          </w:p>
        </w:tc>
        <w:tc>
          <w:tcPr>
            <w:tcW w:w="958" w:type="dxa"/>
            <w:shd w:val="clear" w:color="auto" w:fill="auto"/>
            <w:vAlign w:val="center"/>
          </w:tcPr>
          <w:p w14:paraId="32116C2C">
            <w:pPr>
              <w:widowControl/>
              <w:jc w:val="center"/>
              <w:rPr>
                <w:strike w:val="0"/>
                <w:dstrike w:val="0"/>
                <w:color w:val="auto"/>
                <w:kern w:val="0"/>
                <w:szCs w:val="21"/>
                <w:highlight w:val="none"/>
              </w:rPr>
            </w:pPr>
            <w:r>
              <w:rPr>
                <w:strike w:val="0"/>
                <w:dstrike w:val="0"/>
                <w:color w:val="auto"/>
                <w:szCs w:val="21"/>
                <w:highlight w:val="none"/>
              </w:rPr>
              <w:t>系统超压排放天然气</w:t>
            </w:r>
          </w:p>
        </w:tc>
        <w:tc>
          <w:tcPr>
            <w:tcW w:w="1269" w:type="dxa"/>
            <w:shd w:val="clear" w:color="auto" w:fill="auto"/>
            <w:vAlign w:val="center"/>
          </w:tcPr>
          <w:p w14:paraId="0D605A3E">
            <w:pPr>
              <w:rPr>
                <w:bCs/>
                <w:strike w:val="0"/>
                <w:dstrike w:val="0"/>
                <w:color w:val="auto"/>
                <w:szCs w:val="21"/>
                <w:highlight w:val="none"/>
              </w:rPr>
            </w:pPr>
            <w:r>
              <w:rPr>
                <w:bCs/>
                <w:strike w:val="0"/>
                <w:dstrike w:val="0"/>
                <w:color w:val="auto"/>
                <w:szCs w:val="21"/>
                <w:highlight w:val="none"/>
              </w:rPr>
              <w:t>非甲烷总烃</w:t>
            </w:r>
          </w:p>
        </w:tc>
        <w:tc>
          <w:tcPr>
            <w:tcW w:w="2290" w:type="dxa"/>
            <w:shd w:val="clear" w:color="auto" w:fill="auto"/>
            <w:vAlign w:val="center"/>
          </w:tcPr>
          <w:p w14:paraId="448523E2">
            <w:pPr>
              <w:jc w:val="center"/>
              <w:rPr>
                <w:rFonts w:hint="eastAsia" w:eastAsia="宋体"/>
                <w:strike w:val="0"/>
                <w:dstrike w:val="0"/>
                <w:color w:val="auto"/>
                <w:szCs w:val="21"/>
                <w:highlight w:val="none"/>
                <w:lang w:eastAsia="zh-CN"/>
              </w:rPr>
            </w:pPr>
            <w:r>
              <w:rPr>
                <w:rFonts w:hint="eastAsia"/>
                <w:bCs/>
                <w:strike w:val="0"/>
                <w:dstrike w:val="0"/>
                <w:color w:val="auto"/>
                <w:spacing w:val="-10"/>
                <w:szCs w:val="21"/>
                <w:highlight w:val="none"/>
              </w:rPr>
              <w:t>5</w:t>
            </w:r>
            <w:r>
              <w:rPr>
                <w:bCs/>
                <w:strike w:val="0"/>
                <w:dstrike w:val="0"/>
                <w:color w:val="auto"/>
                <w:spacing w:val="-10"/>
                <w:szCs w:val="21"/>
                <w:highlight w:val="none"/>
              </w:rPr>
              <w:t>m高的</w:t>
            </w:r>
            <w:r>
              <w:rPr>
                <w:rFonts w:hint="eastAsia"/>
                <w:strike w:val="0"/>
                <w:dstrike w:val="0"/>
                <w:color w:val="auto"/>
                <w:sz w:val="21"/>
                <w:szCs w:val="21"/>
                <w:highlight w:val="none"/>
                <w:lang w:val="en-US" w:eastAsia="zh-CN"/>
              </w:rPr>
              <w:t>放散管</w:t>
            </w:r>
          </w:p>
        </w:tc>
        <w:tc>
          <w:tcPr>
            <w:tcW w:w="2472" w:type="dxa"/>
            <w:vMerge w:val="restart"/>
            <w:vAlign w:val="center"/>
          </w:tcPr>
          <w:p w14:paraId="1E29581D">
            <w:pPr>
              <w:pStyle w:val="60"/>
              <w:jc w:val="center"/>
              <w:rPr>
                <w:rFonts w:ascii="Times New Roman" w:hAnsi="Times New Roman"/>
                <w:b/>
                <w:bCs/>
                <w:strike w:val="0"/>
                <w:dstrike w:val="0"/>
                <w:color w:val="auto"/>
                <w:sz w:val="21"/>
                <w:szCs w:val="21"/>
                <w:highlight w:val="none"/>
              </w:rPr>
            </w:pPr>
            <w:r>
              <w:rPr>
                <w:rFonts w:ascii="Times New Roman" w:hAnsi="Times New Roman"/>
                <w:strike w:val="0"/>
                <w:dstrike w:val="0"/>
                <w:color w:val="auto"/>
                <w:sz w:val="21"/>
                <w:highlight w:val="none"/>
              </w:rPr>
              <w:t>《加油站大气污染物排放标准》（GB20952-2020）</w:t>
            </w:r>
          </w:p>
        </w:tc>
      </w:tr>
      <w:tr w14:paraId="669D1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42" w:type="dxa"/>
            <w:vMerge w:val="continue"/>
            <w:vAlign w:val="center"/>
          </w:tcPr>
          <w:p w14:paraId="5E979F0E">
            <w:pPr>
              <w:widowControl/>
              <w:jc w:val="center"/>
              <w:rPr>
                <w:strike w:val="0"/>
                <w:dstrike w:val="0"/>
                <w:color w:val="auto"/>
                <w:kern w:val="0"/>
                <w:szCs w:val="21"/>
                <w:highlight w:val="none"/>
              </w:rPr>
            </w:pPr>
          </w:p>
        </w:tc>
        <w:tc>
          <w:tcPr>
            <w:tcW w:w="1122" w:type="dxa"/>
            <w:vMerge w:val="continue"/>
            <w:vAlign w:val="center"/>
          </w:tcPr>
          <w:p w14:paraId="0D1AEA2C">
            <w:pPr>
              <w:widowControl/>
              <w:jc w:val="center"/>
              <w:rPr>
                <w:strike w:val="0"/>
                <w:dstrike w:val="0"/>
                <w:color w:val="auto"/>
                <w:kern w:val="0"/>
                <w:szCs w:val="21"/>
                <w:highlight w:val="none"/>
              </w:rPr>
            </w:pPr>
          </w:p>
        </w:tc>
        <w:tc>
          <w:tcPr>
            <w:tcW w:w="958" w:type="dxa"/>
            <w:shd w:val="clear" w:color="auto" w:fill="auto"/>
            <w:vAlign w:val="center"/>
          </w:tcPr>
          <w:p w14:paraId="64A24B82">
            <w:pPr>
              <w:widowControl/>
              <w:jc w:val="center"/>
              <w:rPr>
                <w:strike w:val="0"/>
                <w:dstrike w:val="0"/>
                <w:color w:val="auto"/>
                <w:kern w:val="0"/>
                <w:szCs w:val="21"/>
                <w:highlight w:val="none"/>
              </w:rPr>
            </w:pPr>
            <w:r>
              <w:rPr>
                <w:strike w:val="0"/>
                <w:dstrike w:val="0"/>
                <w:color w:val="auto"/>
                <w:szCs w:val="21"/>
                <w:highlight w:val="none"/>
              </w:rPr>
              <w:t>设备检修废气</w:t>
            </w:r>
          </w:p>
        </w:tc>
        <w:tc>
          <w:tcPr>
            <w:tcW w:w="1269" w:type="dxa"/>
            <w:shd w:val="clear" w:color="auto" w:fill="auto"/>
            <w:vAlign w:val="center"/>
          </w:tcPr>
          <w:p w14:paraId="133C7C16">
            <w:pPr>
              <w:rPr>
                <w:bCs/>
                <w:strike w:val="0"/>
                <w:dstrike w:val="0"/>
                <w:color w:val="auto"/>
                <w:szCs w:val="21"/>
                <w:highlight w:val="none"/>
              </w:rPr>
            </w:pPr>
            <w:r>
              <w:rPr>
                <w:bCs/>
                <w:strike w:val="0"/>
                <w:dstrike w:val="0"/>
                <w:color w:val="auto"/>
                <w:szCs w:val="21"/>
                <w:highlight w:val="none"/>
              </w:rPr>
              <w:t>非甲烷总烃</w:t>
            </w:r>
          </w:p>
        </w:tc>
        <w:tc>
          <w:tcPr>
            <w:tcW w:w="2290" w:type="dxa"/>
            <w:shd w:val="clear" w:color="auto" w:fill="auto"/>
            <w:vAlign w:val="center"/>
          </w:tcPr>
          <w:p w14:paraId="10FEB3E8">
            <w:pPr>
              <w:widowControl/>
              <w:jc w:val="center"/>
              <w:rPr>
                <w:rFonts w:hint="eastAsia" w:eastAsia="宋体"/>
                <w:strike w:val="0"/>
                <w:dstrike w:val="0"/>
                <w:color w:val="auto"/>
                <w:kern w:val="0"/>
                <w:szCs w:val="21"/>
                <w:highlight w:val="none"/>
                <w:lang w:eastAsia="zh-CN"/>
              </w:rPr>
            </w:pPr>
            <w:r>
              <w:rPr>
                <w:rFonts w:hint="eastAsia"/>
                <w:bCs/>
                <w:strike w:val="0"/>
                <w:dstrike w:val="0"/>
                <w:color w:val="auto"/>
                <w:spacing w:val="-10"/>
                <w:szCs w:val="21"/>
                <w:highlight w:val="none"/>
              </w:rPr>
              <w:t>5</w:t>
            </w:r>
            <w:r>
              <w:rPr>
                <w:bCs/>
                <w:strike w:val="0"/>
                <w:dstrike w:val="0"/>
                <w:color w:val="auto"/>
                <w:spacing w:val="-10"/>
                <w:szCs w:val="21"/>
                <w:highlight w:val="none"/>
              </w:rPr>
              <w:t>m高的</w:t>
            </w:r>
            <w:r>
              <w:rPr>
                <w:rFonts w:hint="eastAsia"/>
                <w:strike w:val="0"/>
                <w:dstrike w:val="0"/>
                <w:color w:val="auto"/>
                <w:sz w:val="21"/>
                <w:szCs w:val="21"/>
                <w:highlight w:val="none"/>
                <w:lang w:val="en-US" w:eastAsia="zh-CN"/>
              </w:rPr>
              <w:t>放散管</w:t>
            </w:r>
          </w:p>
        </w:tc>
        <w:tc>
          <w:tcPr>
            <w:tcW w:w="2472" w:type="dxa"/>
            <w:vMerge w:val="continue"/>
            <w:vAlign w:val="center"/>
          </w:tcPr>
          <w:p w14:paraId="4105C961">
            <w:pPr>
              <w:widowControl/>
              <w:rPr>
                <w:strike w:val="0"/>
                <w:dstrike w:val="0"/>
                <w:color w:val="auto"/>
                <w:kern w:val="0"/>
                <w:szCs w:val="21"/>
                <w:highlight w:val="none"/>
              </w:rPr>
            </w:pPr>
          </w:p>
        </w:tc>
      </w:tr>
      <w:tr w14:paraId="24053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142" w:type="dxa"/>
            <w:vMerge w:val="continue"/>
            <w:vAlign w:val="center"/>
          </w:tcPr>
          <w:p w14:paraId="0FD0D034">
            <w:pPr>
              <w:adjustRightInd w:val="0"/>
              <w:snapToGrid w:val="0"/>
              <w:jc w:val="center"/>
              <w:rPr>
                <w:strike w:val="0"/>
                <w:dstrike w:val="0"/>
                <w:color w:val="auto"/>
                <w:szCs w:val="21"/>
                <w:highlight w:val="none"/>
              </w:rPr>
            </w:pPr>
          </w:p>
        </w:tc>
        <w:tc>
          <w:tcPr>
            <w:tcW w:w="2080" w:type="dxa"/>
            <w:gridSpan w:val="2"/>
            <w:vAlign w:val="center"/>
          </w:tcPr>
          <w:p w14:paraId="5FA7EEB3">
            <w:pPr>
              <w:pStyle w:val="60"/>
              <w:jc w:val="center"/>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rPr>
              <w:t>厂界</w:t>
            </w:r>
          </w:p>
        </w:tc>
        <w:tc>
          <w:tcPr>
            <w:tcW w:w="1269" w:type="dxa"/>
            <w:vAlign w:val="center"/>
          </w:tcPr>
          <w:p w14:paraId="3A7BE8EE">
            <w:pPr>
              <w:pStyle w:val="60"/>
              <w:jc w:val="center"/>
              <w:rPr>
                <w:rFonts w:ascii="Times New Roman" w:hAnsi="Times New Roman"/>
                <w:strike w:val="0"/>
                <w:dstrike w:val="0"/>
                <w:color w:val="auto"/>
                <w:sz w:val="21"/>
                <w:szCs w:val="21"/>
                <w:highlight w:val="none"/>
              </w:rPr>
            </w:pPr>
            <w:r>
              <w:rPr>
                <w:rFonts w:ascii="Times New Roman" w:hAnsi="Times New Roman"/>
                <w:strike w:val="0"/>
                <w:dstrike w:val="0"/>
                <w:color w:val="auto"/>
                <w:sz w:val="21"/>
                <w:szCs w:val="21"/>
                <w:highlight w:val="none"/>
                <w:lang w:bidi="ar"/>
              </w:rPr>
              <w:t>非甲烷总烃</w:t>
            </w:r>
          </w:p>
        </w:tc>
        <w:tc>
          <w:tcPr>
            <w:tcW w:w="2290" w:type="dxa"/>
            <w:vAlign w:val="center"/>
          </w:tcPr>
          <w:p w14:paraId="47CEFD51">
            <w:pPr>
              <w:widowControl/>
              <w:jc w:val="center"/>
              <w:rPr>
                <w:strike w:val="0"/>
                <w:dstrike w:val="0"/>
                <w:color w:val="auto"/>
                <w:kern w:val="0"/>
                <w:szCs w:val="21"/>
                <w:highlight w:val="none"/>
              </w:rPr>
            </w:pPr>
            <w:r>
              <w:rPr>
                <w:strike w:val="0"/>
                <w:dstrike w:val="0"/>
                <w:color w:val="auto"/>
                <w:kern w:val="0"/>
                <w:szCs w:val="21"/>
                <w:highlight w:val="none"/>
              </w:rPr>
              <w:t>/</w:t>
            </w:r>
          </w:p>
        </w:tc>
        <w:tc>
          <w:tcPr>
            <w:tcW w:w="2472" w:type="dxa"/>
            <w:vAlign w:val="center"/>
          </w:tcPr>
          <w:p w14:paraId="4710B33B">
            <w:pPr>
              <w:pStyle w:val="60"/>
              <w:jc w:val="center"/>
              <w:rPr>
                <w:rFonts w:ascii="Times New Roman" w:hAnsi="Times New Roman"/>
                <w:strike w:val="0"/>
                <w:dstrike w:val="0"/>
                <w:color w:val="auto"/>
                <w:sz w:val="21"/>
                <w:szCs w:val="21"/>
                <w:highlight w:val="none"/>
              </w:rPr>
            </w:pPr>
            <w:r>
              <w:rPr>
                <w:rFonts w:ascii="Times New Roman" w:hAnsi="Times New Roman"/>
                <w:strike w:val="0"/>
                <w:dstrike w:val="0"/>
                <w:color w:val="auto"/>
                <w:sz w:val="21"/>
                <w:highlight w:val="none"/>
              </w:rPr>
              <w:t>《加油站大气污染物排放标准》（GB20952-2020）</w:t>
            </w:r>
          </w:p>
        </w:tc>
      </w:tr>
      <w:tr w14:paraId="16DA4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Align w:val="center"/>
          </w:tcPr>
          <w:p w14:paraId="72555300">
            <w:pPr>
              <w:adjustRightInd w:val="0"/>
              <w:snapToGrid w:val="0"/>
              <w:jc w:val="center"/>
              <w:rPr>
                <w:strike w:val="0"/>
                <w:dstrike w:val="0"/>
                <w:color w:val="auto"/>
                <w:szCs w:val="21"/>
                <w:highlight w:val="none"/>
              </w:rPr>
            </w:pPr>
            <w:r>
              <w:rPr>
                <w:strike w:val="0"/>
                <w:dstrike w:val="0"/>
                <w:color w:val="auto"/>
                <w:szCs w:val="21"/>
                <w:highlight w:val="none"/>
              </w:rPr>
              <w:t>地表水环境</w:t>
            </w:r>
          </w:p>
        </w:tc>
        <w:tc>
          <w:tcPr>
            <w:tcW w:w="2080" w:type="dxa"/>
            <w:gridSpan w:val="2"/>
            <w:vAlign w:val="center"/>
          </w:tcPr>
          <w:p w14:paraId="6B81CEB3">
            <w:pPr>
              <w:pStyle w:val="30"/>
              <w:adjustRightInd/>
              <w:spacing w:line="240" w:lineRule="auto"/>
              <w:jc w:val="center"/>
              <w:rPr>
                <w:rFonts w:ascii="Times New Roman"/>
                <w:b w:val="0"/>
                <w:bCs/>
                <w:strike w:val="0"/>
                <w:dstrike w:val="0"/>
                <w:color w:val="auto"/>
                <w:sz w:val="21"/>
                <w:szCs w:val="21"/>
                <w:highlight w:val="none"/>
              </w:rPr>
            </w:pPr>
            <w:r>
              <w:rPr>
                <w:rFonts w:ascii="Times New Roman"/>
                <w:b w:val="0"/>
                <w:bCs/>
                <w:strike w:val="0"/>
                <w:dstrike w:val="0"/>
                <w:color w:val="auto"/>
                <w:sz w:val="21"/>
                <w:szCs w:val="21"/>
                <w:highlight w:val="none"/>
              </w:rPr>
              <w:t>综合废水</w:t>
            </w:r>
          </w:p>
        </w:tc>
        <w:tc>
          <w:tcPr>
            <w:tcW w:w="1269" w:type="dxa"/>
            <w:shd w:val="clear" w:color="auto" w:fill="auto"/>
            <w:vAlign w:val="center"/>
          </w:tcPr>
          <w:p w14:paraId="0D46283C">
            <w:pPr>
              <w:pStyle w:val="66"/>
              <w:jc w:val="center"/>
              <w:rPr>
                <w:rFonts w:ascii="Times New Roman" w:cs="Times New Roman"/>
                <w:strike w:val="0"/>
                <w:dstrike w:val="0"/>
                <w:color w:val="auto"/>
                <w:sz w:val="21"/>
                <w:szCs w:val="21"/>
                <w:highlight w:val="none"/>
              </w:rPr>
            </w:pPr>
            <w:r>
              <w:rPr>
                <w:rFonts w:ascii="Times New Roman" w:cs="Times New Roman"/>
                <w:strike w:val="0"/>
                <w:dstrike w:val="0"/>
                <w:color w:val="auto"/>
                <w:sz w:val="21"/>
                <w:szCs w:val="21"/>
                <w:highlight w:val="none"/>
              </w:rPr>
              <w:t>流量、pH、COD、SS、石油类、氨氮、BOD</w:t>
            </w:r>
            <w:r>
              <w:rPr>
                <w:rFonts w:ascii="Times New Roman" w:cs="Times New Roman"/>
                <w:strike w:val="0"/>
                <w:dstrike w:val="0"/>
                <w:color w:val="auto"/>
                <w:sz w:val="21"/>
                <w:szCs w:val="21"/>
                <w:highlight w:val="none"/>
                <w:vertAlign w:val="subscript"/>
              </w:rPr>
              <w:t>5</w:t>
            </w:r>
          </w:p>
        </w:tc>
        <w:tc>
          <w:tcPr>
            <w:tcW w:w="2290" w:type="dxa"/>
            <w:vAlign w:val="center"/>
          </w:tcPr>
          <w:p w14:paraId="148117F8">
            <w:pPr>
              <w:rPr>
                <w:strike w:val="0"/>
                <w:dstrike w:val="0"/>
                <w:color w:val="auto"/>
                <w:szCs w:val="21"/>
                <w:highlight w:val="none"/>
              </w:rPr>
            </w:pPr>
            <w:r>
              <w:rPr>
                <w:strike w:val="0"/>
                <w:dstrike w:val="0"/>
                <w:color w:val="auto"/>
                <w:szCs w:val="21"/>
                <w:highlight w:val="none"/>
              </w:rPr>
              <w:t>场地冲洗废水和初期雨水经三段式隔油池处理；雨水进入隔油池前端设置切换阀，后期雨水直接进入市政雨水管网。员工生活污水和过往驾乘人员生活污水经生化池处理。废水经生化池或隔油池处理达标后经</w:t>
            </w:r>
            <w:r>
              <w:rPr>
                <w:rFonts w:hint="eastAsia"/>
                <w:strike w:val="0"/>
                <w:dstrike w:val="0"/>
                <w:color w:val="auto"/>
                <w:szCs w:val="21"/>
                <w:highlight w:val="none"/>
              </w:rPr>
              <w:t>市政污水管网</w:t>
            </w:r>
            <w:r>
              <w:rPr>
                <w:strike w:val="0"/>
                <w:dstrike w:val="0"/>
                <w:color w:val="auto"/>
                <w:szCs w:val="21"/>
                <w:highlight w:val="none"/>
              </w:rPr>
              <w:t>排入</w:t>
            </w:r>
            <w:r>
              <w:rPr>
                <w:rFonts w:hint="eastAsia"/>
                <w:strike w:val="0"/>
                <w:dstrike w:val="0"/>
                <w:color w:val="auto"/>
                <w:szCs w:val="21"/>
                <w:highlight w:val="none"/>
                <w:lang w:eastAsia="zh-CN"/>
              </w:rPr>
              <w:t>微车基地污水处理厂</w:t>
            </w:r>
            <w:r>
              <w:rPr>
                <w:strike w:val="0"/>
                <w:dstrike w:val="0"/>
                <w:color w:val="auto"/>
                <w:szCs w:val="21"/>
                <w:highlight w:val="none"/>
              </w:rPr>
              <w:t>处理达《城镇污水处理</w:t>
            </w:r>
            <w:r>
              <w:rPr>
                <w:bCs/>
                <w:strike w:val="0"/>
                <w:dstrike w:val="0"/>
                <w:color w:val="auto"/>
                <w:szCs w:val="21"/>
                <w:highlight w:val="none"/>
              </w:rPr>
              <w:t>厂污染物排放标准》(GB18918-2002)一级A标后排入柏水溪，最终汇入嘉陵江</w:t>
            </w:r>
          </w:p>
        </w:tc>
        <w:tc>
          <w:tcPr>
            <w:tcW w:w="2472" w:type="dxa"/>
            <w:vAlign w:val="center"/>
          </w:tcPr>
          <w:p w14:paraId="6CDF1109">
            <w:pPr>
              <w:adjustRightInd w:val="0"/>
              <w:snapToGrid w:val="0"/>
              <w:rPr>
                <w:strike w:val="0"/>
                <w:dstrike w:val="0"/>
                <w:color w:val="auto"/>
                <w:szCs w:val="21"/>
                <w:highlight w:val="none"/>
              </w:rPr>
            </w:pPr>
            <w:r>
              <w:rPr>
                <w:strike w:val="0"/>
                <w:dstrike w:val="0"/>
                <w:color w:val="auto"/>
                <w:spacing w:val="-1"/>
                <w:szCs w:val="21"/>
                <w:highlight w:val="none"/>
              </w:rPr>
              <w:t>《污水综合排放标准》（GB8978-1996）、《城镇污水处理厂污染物排放标准》(GB18918-2002)</w:t>
            </w:r>
          </w:p>
        </w:tc>
      </w:tr>
      <w:tr w14:paraId="19608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2" w:type="dxa"/>
            <w:vAlign w:val="center"/>
          </w:tcPr>
          <w:p w14:paraId="5B9D7299">
            <w:pPr>
              <w:adjustRightInd w:val="0"/>
              <w:snapToGrid w:val="0"/>
              <w:jc w:val="center"/>
              <w:rPr>
                <w:strike w:val="0"/>
                <w:dstrike w:val="0"/>
                <w:color w:val="auto"/>
                <w:szCs w:val="21"/>
                <w:highlight w:val="none"/>
              </w:rPr>
            </w:pPr>
            <w:r>
              <w:rPr>
                <w:strike w:val="0"/>
                <w:dstrike w:val="0"/>
                <w:color w:val="auto"/>
                <w:szCs w:val="21"/>
                <w:highlight w:val="none"/>
              </w:rPr>
              <w:t>声环境</w:t>
            </w:r>
          </w:p>
        </w:tc>
        <w:tc>
          <w:tcPr>
            <w:tcW w:w="2080" w:type="dxa"/>
            <w:gridSpan w:val="2"/>
            <w:vAlign w:val="center"/>
          </w:tcPr>
          <w:p w14:paraId="26D5038C">
            <w:pPr>
              <w:adjustRightInd w:val="0"/>
              <w:snapToGrid w:val="0"/>
              <w:jc w:val="center"/>
              <w:rPr>
                <w:strike w:val="0"/>
                <w:dstrike w:val="0"/>
                <w:color w:val="auto"/>
                <w:szCs w:val="21"/>
                <w:highlight w:val="none"/>
              </w:rPr>
            </w:pPr>
            <w:r>
              <w:rPr>
                <w:strike w:val="0"/>
                <w:dstrike w:val="0"/>
                <w:color w:val="auto"/>
                <w:szCs w:val="21"/>
                <w:highlight w:val="none"/>
              </w:rPr>
              <w:t>设备噪声</w:t>
            </w:r>
          </w:p>
        </w:tc>
        <w:tc>
          <w:tcPr>
            <w:tcW w:w="1269" w:type="dxa"/>
            <w:vAlign w:val="center"/>
          </w:tcPr>
          <w:p w14:paraId="4276216C">
            <w:pPr>
              <w:adjustRightInd w:val="0"/>
              <w:snapToGrid w:val="0"/>
              <w:jc w:val="center"/>
              <w:rPr>
                <w:strike w:val="0"/>
                <w:dstrike w:val="0"/>
                <w:color w:val="auto"/>
                <w:szCs w:val="21"/>
                <w:highlight w:val="none"/>
              </w:rPr>
            </w:pPr>
            <w:r>
              <w:rPr>
                <w:strike w:val="0"/>
                <w:dstrike w:val="0"/>
                <w:color w:val="auto"/>
                <w:szCs w:val="21"/>
                <w:highlight w:val="none"/>
              </w:rPr>
              <w:t>厂界噪声</w:t>
            </w:r>
          </w:p>
        </w:tc>
        <w:tc>
          <w:tcPr>
            <w:tcW w:w="2290" w:type="dxa"/>
            <w:vAlign w:val="center"/>
          </w:tcPr>
          <w:p w14:paraId="0D9406EC">
            <w:pPr>
              <w:adjustRightInd w:val="0"/>
              <w:snapToGrid w:val="0"/>
              <w:jc w:val="center"/>
              <w:rPr>
                <w:strike w:val="0"/>
                <w:dstrike w:val="0"/>
                <w:color w:val="auto"/>
                <w:szCs w:val="21"/>
                <w:highlight w:val="none"/>
              </w:rPr>
            </w:pPr>
            <w:r>
              <w:rPr>
                <w:strike w:val="0"/>
                <w:dstrike w:val="0"/>
                <w:color w:val="auto"/>
                <w:szCs w:val="21"/>
                <w:highlight w:val="none"/>
              </w:rPr>
              <w:t>选用低噪声设备，通过合理布局基础</w:t>
            </w:r>
            <w:r>
              <w:rPr>
                <w:rFonts w:hint="eastAsia"/>
                <w:strike w:val="0"/>
                <w:dstrike w:val="0"/>
                <w:color w:val="auto"/>
                <w:szCs w:val="21"/>
                <w:highlight w:val="none"/>
                <w:lang w:eastAsia="zh-CN"/>
              </w:rPr>
              <w:t>减振</w:t>
            </w:r>
            <w:r>
              <w:rPr>
                <w:strike w:val="0"/>
                <w:dstrike w:val="0"/>
                <w:color w:val="auto"/>
                <w:szCs w:val="21"/>
                <w:highlight w:val="none"/>
              </w:rPr>
              <w:t>及厂房隔声等措施降噪</w:t>
            </w:r>
          </w:p>
        </w:tc>
        <w:tc>
          <w:tcPr>
            <w:tcW w:w="2472" w:type="dxa"/>
            <w:vAlign w:val="center"/>
          </w:tcPr>
          <w:p w14:paraId="1C31C166">
            <w:pPr>
              <w:adjustRightInd w:val="0"/>
              <w:snapToGrid w:val="0"/>
              <w:rPr>
                <w:rFonts w:hint="eastAsia" w:eastAsia="宋体"/>
                <w:strike w:val="0"/>
                <w:dstrike w:val="0"/>
                <w:color w:val="auto"/>
                <w:szCs w:val="21"/>
                <w:highlight w:val="none"/>
                <w:lang w:eastAsia="zh-CN"/>
              </w:rPr>
            </w:pPr>
            <w:r>
              <w:rPr>
                <w:rFonts w:hint="eastAsia"/>
                <w:strike w:val="0"/>
                <w:dstrike w:val="0"/>
                <w:color w:val="auto"/>
                <w:szCs w:val="21"/>
                <w:highlight w:val="none"/>
                <w:lang w:val="en-US" w:eastAsia="zh-CN"/>
              </w:rPr>
              <w:t>厂界南、北、西侧：</w:t>
            </w:r>
            <w:r>
              <w:rPr>
                <w:strike w:val="0"/>
                <w:dstrike w:val="0"/>
                <w:color w:val="auto"/>
                <w:szCs w:val="21"/>
                <w:highlight w:val="none"/>
              </w:rPr>
              <w:t>《工业企业厂界环境噪声排放标准》（GB12348-2008)3类</w:t>
            </w:r>
          </w:p>
          <w:p w14:paraId="2BDAE65F">
            <w:pPr>
              <w:adjustRightInd w:val="0"/>
              <w:snapToGrid w:val="0"/>
              <w:rPr>
                <w:strike w:val="0"/>
                <w:dstrike w:val="0"/>
                <w:color w:val="auto"/>
                <w:szCs w:val="21"/>
                <w:highlight w:val="none"/>
              </w:rPr>
            </w:pPr>
            <w:r>
              <w:rPr>
                <w:rFonts w:hint="eastAsia"/>
                <w:strike w:val="0"/>
                <w:dstrike w:val="0"/>
                <w:color w:val="auto"/>
                <w:szCs w:val="21"/>
                <w:highlight w:val="none"/>
                <w:lang w:val="en-US" w:eastAsia="zh-CN"/>
              </w:rPr>
              <w:t>厂界东侧：</w:t>
            </w:r>
            <w:r>
              <w:rPr>
                <w:strike w:val="0"/>
                <w:dstrike w:val="0"/>
                <w:color w:val="auto"/>
                <w:szCs w:val="21"/>
                <w:highlight w:val="none"/>
              </w:rPr>
              <w:t>《工业企业厂界环境噪声排放标准》（GB12348-2008)</w:t>
            </w:r>
            <w:r>
              <w:rPr>
                <w:rFonts w:hint="eastAsia"/>
                <w:strike w:val="0"/>
                <w:dstrike w:val="0"/>
                <w:color w:val="auto"/>
                <w:szCs w:val="21"/>
                <w:highlight w:val="none"/>
              </w:rPr>
              <w:t>4类</w:t>
            </w:r>
          </w:p>
        </w:tc>
      </w:tr>
      <w:tr w14:paraId="55B3E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42" w:type="dxa"/>
            <w:vAlign w:val="center"/>
          </w:tcPr>
          <w:p w14:paraId="30368D2C">
            <w:pPr>
              <w:adjustRightInd w:val="0"/>
              <w:snapToGrid w:val="0"/>
              <w:jc w:val="center"/>
              <w:rPr>
                <w:strike w:val="0"/>
                <w:dstrike w:val="0"/>
                <w:color w:val="auto"/>
                <w:szCs w:val="21"/>
                <w:highlight w:val="none"/>
              </w:rPr>
            </w:pPr>
            <w:r>
              <w:rPr>
                <w:strike w:val="0"/>
                <w:dstrike w:val="0"/>
                <w:color w:val="auto"/>
                <w:szCs w:val="21"/>
                <w:highlight w:val="none"/>
              </w:rPr>
              <w:t>电磁辐射</w:t>
            </w:r>
          </w:p>
        </w:tc>
        <w:tc>
          <w:tcPr>
            <w:tcW w:w="8111" w:type="dxa"/>
            <w:gridSpan w:val="5"/>
            <w:vAlign w:val="center"/>
          </w:tcPr>
          <w:p w14:paraId="6FC1180C">
            <w:pPr>
              <w:adjustRightInd w:val="0"/>
              <w:snapToGrid w:val="0"/>
              <w:jc w:val="center"/>
              <w:rPr>
                <w:strike w:val="0"/>
                <w:dstrike w:val="0"/>
                <w:color w:val="auto"/>
                <w:szCs w:val="21"/>
                <w:highlight w:val="none"/>
              </w:rPr>
            </w:pPr>
            <w:r>
              <w:rPr>
                <w:strike w:val="0"/>
                <w:dstrike w:val="0"/>
                <w:color w:val="auto"/>
                <w:szCs w:val="21"/>
                <w:highlight w:val="none"/>
              </w:rPr>
              <w:t>/</w:t>
            </w:r>
          </w:p>
        </w:tc>
      </w:tr>
      <w:tr w14:paraId="183B1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Align w:val="center"/>
          </w:tcPr>
          <w:p w14:paraId="5107840C">
            <w:pPr>
              <w:adjustRightInd w:val="0"/>
              <w:snapToGrid w:val="0"/>
              <w:jc w:val="center"/>
              <w:rPr>
                <w:strike w:val="0"/>
                <w:dstrike w:val="0"/>
                <w:color w:val="auto"/>
                <w:szCs w:val="21"/>
                <w:highlight w:val="none"/>
              </w:rPr>
            </w:pPr>
            <w:r>
              <w:rPr>
                <w:strike w:val="0"/>
                <w:dstrike w:val="0"/>
                <w:color w:val="auto"/>
                <w:szCs w:val="21"/>
                <w:highlight w:val="none"/>
              </w:rPr>
              <w:t>固体废物</w:t>
            </w:r>
          </w:p>
        </w:tc>
        <w:tc>
          <w:tcPr>
            <w:tcW w:w="8111" w:type="dxa"/>
            <w:gridSpan w:val="5"/>
            <w:vAlign w:val="center"/>
          </w:tcPr>
          <w:p w14:paraId="1A224430">
            <w:pPr>
              <w:jc w:val="left"/>
              <w:rPr>
                <w:strike w:val="0"/>
                <w:dstrike w:val="0"/>
                <w:color w:val="auto"/>
                <w:szCs w:val="21"/>
                <w:highlight w:val="none"/>
              </w:rPr>
            </w:pPr>
            <w:r>
              <w:rPr>
                <w:strike w:val="0"/>
                <w:dstrike w:val="0"/>
                <w:color w:val="auto"/>
                <w:szCs w:val="21"/>
                <w:highlight w:val="none"/>
              </w:rPr>
              <w:t>①生活垃圾定期由环卫部门统一清运；</w:t>
            </w:r>
          </w:p>
          <w:p w14:paraId="5E7B8C90">
            <w:pPr>
              <w:jc w:val="left"/>
              <w:rPr>
                <w:strike w:val="0"/>
                <w:dstrike w:val="0"/>
                <w:color w:val="auto"/>
                <w:szCs w:val="21"/>
                <w:highlight w:val="none"/>
              </w:rPr>
            </w:pPr>
            <w:r>
              <w:rPr>
                <w:strike w:val="0"/>
                <w:dstrike w:val="0"/>
                <w:color w:val="auto"/>
                <w:szCs w:val="21"/>
                <w:highlight w:val="none"/>
              </w:rPr>
              <w:t>②一般固废：过滤</w:t>
            </w:r>
            <w:r>
              <w:rPr>
                <w:strike w:val="0"/>
                <w:dstrike w:val="0"/>
                <w:color w:val="auto"/>
                <w:kern w:val="0"/>
                <w:szCs w:val="21"/>
                <w:highlight w:val="none"/>
              </w:rPr>
              <w:t>杂质</w:t>
            </w:r>
            <w:r>
              <w:rPr>
                <w:strike w:val="0"/>
                <w:dstrike w:val="0"/>
                <w:color w:val="auto"/>
                <w:szCs w:val="21"/>
                <w:highlight w:val="none"/>
              </w:rPr>
              <w:t>经排污井收集后由环卫部门清运，</w:t>
            </w:r>
            <w:r>
              <w:rPr>
                <w:rStyle w:val="29"/>
                <w:strike w:val="0"/>
                <w:dstrike w:val="0"/>
                <w:color w:val="auto"/>
                <w:kern w:val="0"/>
                <w:szCs w:val="21"/>
                <w:highlight w:val="none"/>
              </w:rPr>
              <w:t>生化池</w:t>
            </w:r>
            <w:r>
              <w:rPr>
                <w:rStyle w:val="29"/>
                <w:rFonts w:hint="eastAsia"/>
                <w:strike w:val="0"/>
                <w:dstrike w:val="0"/>
                <w:color w:val="auto"/>
                <w:kern w:val="0"/>
                <w:szCs w:val="21"/>
                <w:highlight w:val="none"/>
              </w:rPr>
              <w:t>污泥</w:t>
            </w:r>
            <w:r>
              <w:rPr>
                <w:rFonts w:hint="eastAsia"/>
                <w:strike w:val="0"/>
                <w:dstrike w:val="0"/>
                <w:color w:val="auto"/>
                <w:szCs w:val="21"/>
                <w:highlight w:val="none"/>
              </w:rPr>
              <w:t>委托专业单位定期清掏处置</w:t>
            </w:r>
            <w:r>
              <w:rPr>
                <w:strike w:val="0"/>
                <w:dstrike w:val="0"/>
                <w:color w:val="auto"/>
                <w:szCs w:val="21"/>
                <w:highlight w:val="none"/>
              </w:rPr>
              <w:t>；</w:t>
            </w:r>
          </w:p>
          <w:p w14:paraId="57D1558C">
            <w:pPr>
              <w:pStyle w:val="7"/>
              <w:spacing w:line="240" w:lineRule="auto"/>
              <w:ind w:firstLine="0"/>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③危险废物：</w:t>
            </w:r>
            <w:r>
              <w:rPr>
                <w:rFonts w:hint="eastAsia" w:ascii="Times New Roman" w:hAnsi="Times New Roman"/>
                <w:strike w:val="0"/>
                <w:dstrike w:val="0"/>
                <w:color w:val="auto"/>
                <w:sz w:val="21"/>
                <w:highlight w:val="none"/>
              </w:rPr>
              <w:t>危废贮存点位于厂区北侧</w:t>
            </w:r>
            <w:r>
              <w:rPr>
                <w:rFonts w:ascii="Times New Roman" w:hAnsi="Times New Roman"/>
                <w:strike w:val="0"/>
                <w:dstrike w:val="0"/>
                <w:color w:val="auto"/>
                <w:sz w:val="21"/>
                <w:highlight w:val="none"/>
              </w:rPr>
              <w:t>，面积约2m</w:t>
            </w:r>
            <w:bookmarkStart w:id="144" w:name="OfficeAI_Del_2_23"/>
            <w:r>
              <w:rPr>
                <w:rFonts w:ascii="Times New Roman" w:hAnsi="Times New Roman"/>
                <w:strike w:val="0"/>
                <w:dstrike w:val="0"/>
                <w:color w:val="auto"/>
                <w:sz w:val="21"/>
                <w:highlight w:val="none"/>
                <w:vertAlign w:val="superscript"/>
              </w:rPr>
              <w:t>2</w:t>
            </w:r>
            <w:bookmarkEnd w:id="144"/>
            <w:r>
              <w:rPr>
                <w:rFonts w:ascii="Times New Roman" w:hAnsi="Times New Roman"/>
                <w:strike w:val="0"/>
                <w:dstrike w:val="0"/>
                <w:color w:val="auto"/>
                <w:sz w:val="21"/>
                <w:highlight w:val="none"/>
              </w:rPr>
              <w:t>，设置标识标牌，</w:t>
            </w:r>
            <w:r>
              <w:rPr>
                <w:rFonts w:hint="eastAsia" w:ascii="Times New Roman" w:hAnsi="Times New Roman"/>
                <w:strike w:val="0"/>
                <w:dstrike w:val="0"/>
                <w:color w:val="auto"/>
                <w:sz w:val="21"/>
                <w:highlight w:val="none"/>
              </w:rPr>
              <w:t>危废贮存点</w:t>
            </w:r>
            <w:r>
              <w:rPr>
                <w:rFonts w:ascii="Times New Roman" w:hAnsi="Times New Roman"/>
                <w:strike w:val="0"/>
                <w:dstrike w:val="0"/>
                <w:color w:val="auto"/>
                <w:sz w:val="21"/>
                <w:highlight w:val="none"/>
              </w:rPr>
              <w:t>按《危险废物贮存污染控制标准》（GB18597-2023）要求进行防风、防晒、防雨、防漏、防渗、防腐以及其他环境污染防治措施。项目营</w:t>
            </w:r>
            <w:r>
              <w:rPr>
                <w:rFonts w:ascii="Times New Roman" w:hAnsi="Times New Roman" w:eastAsia="宋体" w:cs="Times New Roman"/>
                <w:strike w:val="0"/>
                <w:dstrike w:val="0"/>
                <w:color w:val="auto"/>
                <w:sz w:val="21"/>
                <w:highlight w:val="none"/>
              </w:rPr>
              <w:t>运期产生的</w:t>
            </w:r>
            <w:r>
              <w:rPr>
                <w:rFonts w:hint="eastAsia" w:ascii="Times New Roman" w:hAnsi="Times New Roman" w:eastAsia="宋体" w:cs="Times New Roman"/>
                <w:strike w:val="0"/>
                <w:dstrike w:val="0"/>
                <w:color w:val="auto"/>
                <w:sz w:val="21"/>
                <w:highlight w:val="none"/>
              </w:rPr>
              <w:t>清罐废物、检修废物、</w:t>
            </w:r>
            <w:r>
              <w:rPr>
                <w:rFonts w:ascii="Times New Roman" w:hAnsi="Times New Roman" w:eastAsia="宋体" w:cs="Times New Roman"/>
                <w:strike w:val="0"/>
                <w:dstrike w:val="0"/>
                <w:color w:val="auto"/>
                <w:sz w:val="21"/>
                <w:highlight w:val="none"/>
              </w:rPr>
              <w:t>废旧滤芯</w:t>
            </w:r>
            <w:r>
              <w:rPr>
                <w:rFonts w:hint="eastAsia" w:ascii="Times New Roman" w:hAnsi="Times New Roman" w:eastAsia="宋体" w:cs="Times New Roman"/>
                <w:strike w:val="0"/>
                <w:dstrike w:val="0"/>
                <w:color w:val="auto"/>
                <w:sz w:val="21"/>
                <w:highlight w:val="none"/>
                <w:lang w:eastAsia="zh-CN"/>
              </w:rPr>
              <w:t>、</w:t>
            </w:r>
            <w:r>
              <w:rPr>
                <w:rFonts w:hint="eastAsia" w:ascii="Times New Roman" w:hAnsi="Times New Roman" w:eastAsia="宋体" w:cs="Times New Roman"/>
                <w:strike w:val="0"/>
                <w:dstrike w:val="0"/>
                <w:color w:val="auto"/>
                <w:sz w:val="21"/>
                <w:highlight w:val="none"/>
              </w:rPr>
              <w:t>空压机油/水混合物（空压机）、废空压机油</w:t>
            </w:r>
            <w:r>
              <w:rPr>
                <w:rFonts w:hint="eastAsia" w:ascii="Times New Roman" w:hAnsi="Times New Roman"/>
                <w:strike w:val="0"/>
                <w:dstrike w:val="0"/>
                <w:color w:val="auto"/>
                <w:sz w:val="21"/>
                <w:highlight w:val="none"/>
              </w:rPr>
              <w:t>、废油桶、含油污泥、含油棉纱手套</w:t>
            </w:r>
            <w:r>
              <w:rPr>
                <w:rFonts w:ascii="Times New Roman" w:hAnsi="Times New Roman"/>
                <w:strike w:val="0"/>
                <w:dstrike w:val="0"/>
                <w:color w:val="auto"/>
                <w:sz w:val="21"/>
                <w:highlight w:val="none"/>
              </w:rPr>
              <w:t>均属于危险废物，应分别采用专门的容器收集后分类分区暂存于</w:t>
            </w:r>
            <w:r>
              <w:rPr>
                <w:rFonts w:hint="eastAsia" w:ascii="Times New Roman" w:hAnsi="Times New Roman"/>
                <w:strike w:val="0"/>
                <w:dstrike w:val="0"/>
                <w:color w:val="auto"/>
                <w:sz w:val="21"/>
                <w:highlight w:val="none"/>
              </w:rPr>
              <w:t>危废贮存点</w:t>
            </w:r>
            <w:r>
              <w:rPr>
                <w:rFonts w:ascii="Times New Roman" w:hAnsi="Times New Roman"/>
                <w:strike w:val="0"/>
                <w:dstrike w:val="0"/>
                <w:color w:val="auto"/>
                <w:sz w:val="21"/>
                <w:highlight w:val="none"/>
              </w:rPr>
              <w:t>内，定期</w:t>
            </w:r>
            <w:r>
              <w:rPr>
                <w:rFonts w:hint="eastAsia" w:ascii="Times New Roman" w:hAnsi="Times New Roman"/>
                <w:strike w:val="0"/>
                <w:dstrike w:val="0"/>
                <w:color w:val="auto"/>
                <w:sz w:val="21"/>
                <w:highlight w:val="none"/>
              </w:rPr>
              <w:t>交有危险废物处置资质的单位收运处置</w:t>
            </w:r>
            <w:r>
              <w:rPr>
                <w:rFonts w:ascii="Times New Roman" w:hAnsi="Times New Roman"/>
                <w:strike w:val="0"/>
                <w:dstrike w:val="0"/>
                <w:color w:val="auto"/>
                <w:sz w:val="21"/>
                <w:highlight w:val="none"/>
              </w:rPr>
              <w:t>。</w:t>
            </w:r>
          </w:p>
        </w:tc>
      </w:tr>
      <w:tr w14:paraId="2A276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Align w:val="center"/>
          </w:tcPr>
          <w:p w14:paraId="2043A5BF">
            <w:pPr>
              <w:adjustRightInd w:val="0"/>
              <w:snapToGrid w:val="0"/>
              <w:jc w:val="center"/>
              <w:rPr>
                <w:strike w:val="0"/>
                <w:dstrike w:val="0"/>
                <w:color w:val="auto"/>
                <w:szCs w:val="21"/>
                <w:highlight w:val="none"/>
              </w:rPr>
            </w:pPr>
            <w:r>
              <w:rPr>
                <w:strike w:val="0"/>
                <w:dstrike w:val="0"/>
                <w:color w:val="auto"/>
                <w:szCs w:val="21"/>
                <w:highlight w:val="none"/>
              </w:rPr>
              <w:t>土壤及地下水污染防治措施</w:t>
            </w:r>
          </w:p>
        </w:tc>
        <w:tc>
          <w:tcPr>
            <w:tcW w:w="8111" w:type="dxa"/>
            <w:gridSpan w:val="5"/>
            <w:vAlign w:val="center"/>
          </w:tcPr>
          <w:p w14:paraId="18FD70D8">
            <w:pPr>
              <w:adjustRightInd w:val="0"/>
              <w:snapToGrid w:val="0"/>
              <w:jc w:val="left"/>
              <w:rPr>
                <w:strike w:val="0"/>
                <w:dstrike w:val="0"/>
                <w:color w:val="auto"/>
                <w:szCs w:val="21"/>
                <w:highlight w:val="none"/>
              </w:rPr>
            </w:pPr>
            <w:r>
              <w:rPr>
                <w:strike w:val="0"/>
                <w:dstrike w:val="0"/>
                <w:color w:val="auto"/>
                <w:szCs w:val="21"/>
                <w:highlight w:val="none"/>
              </w:rPr>
              <w:t>①源头控制、分区防渗、污染监控和应急响应。</w:t>
            </w:r>
          </w:p>
          <w:p w14:paraId="4C3F06EE">
            <w:pPr>
              <w:jc w:val="left"/>
              <w:rPr>
                <w:bCs/>
                <w:strike w:val="0"/>
                <w:dstrike w:val="0"/>
                <w:color w:val="auto"/>
                <w:szCs w:val="21"/>
                <w:highlight w:val="none"/>
              </w:rPr>
            </w:pPr>
            <w:r>
              <w:rPr>
                <w:strike w:val="0"/>
                <w:dstrike w:val="0"/>
                <w:color w:val="auto"/>
                <w:szCs w:val="21"/>
                <w:highlight w:val="none"/>
              </w:rPr>
              <w:t>②</w:t>
            </w:r>
            <w:r>
              <w:rPr>
                <w:bCs/>
                <w:strike w:val="0"/>
                <w:dstrike w:val="0"/>
                <w:color w:val="auto"/>
                <w:szCs w:val="21"/>
                <w:highlight w:val="none"/>
              </w:rPr>
              <w:t>重点防渗区：主要是</w:t>
            </w:r>
            <w:r>
              <w:rPr>
                <w:strike w:val="0"/>
                <w:dstrike w:val="0"/>
                <w:color w:val="auto"/>
                <w:szCs w:val="21"/>
                <w:highlight w:val="none"/>
              </w:rPr>
              <w:t>罩棚下整个区域、储油罐区、加油区、卸油区、储气罐区、</w:t>
            </w:r>
            <w:r>
              <w:rPr>
                <w:rFonts w:hint="eastAsia"/>
                <w:strike w:val="0"/>
                <w:dstrike w:val="0"/>
                <w:color w:val="auto"/>
                <w:szCs w:val="21"/>
                <w:highlight w:val="none"/>
              </w:rPr>
              <w:t>危废贮存点</w:t>
            </w:r>
            <w:r>
              <w:rPr>
                <w:strike w:val="0"/>
                <w:dstrike w:val="0"/>
                <w:color w:val="auto"/>
                <w:szCs w:val="21"/>
                <w:highlight w:val="none"/>
              </w:rPr>
              <w:t>、隔油池</w:t>
            </w:r>
            <w:r>
              <w:rPr>
                <w:bCs/>
                <w:strike w:val="0"/>
                <w:dstrike w:val="0"/>
                <w:color w:val="auto"/>
                <w:szCs w:val="21"/>
                <w:highlight w:val="none"/>
              </w:rPr>
              <w:t>。防渗技术要求为等效黏土防渗层Mb≥6.0m，渗透系数≤1×10</w:t>
            </w:r>
            <w:bookmarkStart w:id="145" w:name="OfficeAI_Del_1_77"/>
            <w:r>
              <w:rPr>
                <w:bCs/>
                <w:strike w:val="0"/>
                <w:dstrike w:val="0"/>
                <w:color w:val="auto"/>
                <w:szCs w:val="21"/>
                <w:highlight w:val="none"/>
                <w:vertAlign w:val="superscript"/>
              </w:rPr>
              <w:t>-7</w:t>
            </w:r>
            <w:bookmarkEnd w:id="145"/>
            <w:bookmarkStart w:id="146" w:name="OfficeAI_Add_1_79"/>
            <w:r>
              <w:rPr>
                <w:rFonts w:hint="eastAsia"/>
                <w:bCs/>
                <w:strike w:val="0"/>
                <w:dstrike w:val="0"/>
                <w:color w:val="auto"/>
                <w:szCs w:val="21"/>
                <w:highlight w:val="none"/>
                <w:vertAlign w:val="superscript"/>
                <w:lang w:eastAsia="zh-CN"/>
              </w:rPr>
              <w:t>⁻⁷</w:t>
            </w:r>
            <w:bookmarkEnd w:id="146"/>
            <w:r>
              <w:rPr>
                <w:bCs/>
                <w:strike w:val="0"/>
                <w:dstrike w:val="0"/>
                <w:color w:val="auto"/>
                <w:szCs w:val="21"/>
                <w:highlight w:val="none"/>
              </w:rPr>
              <w:t>cm/s，混凝土地面做防腐防渗处理。</w:t>
            </w:r>
          </w:p>
          <w:p w14:paraId="61D62F15">
            <w:pPr>
              <w:jc w:val="left"/>
              <w:rPr>
                <w:bCs/>
                <w:strike w:val="0"/>
                <w:dstrike w:val="0"/>
                <w:color w:val="auto"/>
                <w:szCs w:val="21"/>
                <w:highlight w:val="none"/>
              </w:rPr>
            </w:pPr>
            <w:r>
              <w:rPr>
                <w:bCs/>
                <w:strike w:val="0"/>
                <w:dstrike w:val="0"/>
                <w:color w:val="auto"/>
                <w:szCs w:val="21"/>
                <w:highlight w:val="none"/>
              </w:rPr>
              <w:fldChar w:fldCharType="begin"/>
            </w:r>
            <w:r>
              <w:rPr>
                <w:bCs/>
                <w:strike w:val="0"/>
                <w:dstrike w:val="0"/>
                <w:color w:val="auto"/>
                <w:szCs w:val="21"/>
                <w:highlight w:val="none"/>
              </w:rPr>
              <w:instrText xml:space="preserve"> = 3 \* GB3 \* MERGEFORMAT </w:instrText>
            </w:r>
            <w:r>
              <w:rPr>
                <w:bCs/>
                <w:strike w:val="0"/>
                <w:dstrike w:val="0"/>
                <w:color w:val="auto"/>
                <w:szCs w:val="21"/>
                <w:highlight w:val="none"/>
              </w:rPr>
              <w:fldChar w:fldCharType="separate"/>
            </w:r>
            <w:r>
              <w:rPr>
                <w:strike w:val="0"/>
                <w:dstrike w:val="0"/>
                <w:color w:val="auto"/>
                <w:szCs w:val="21"/>
                <w:highlight w:val="none"/>
              </w:rPr>
              <w:t>③</w:t>
            </w:r>
            <w:r>
              <w:rPr>
                <w:bCs/>
                <w:strike w:val="0"/>
                <w:dstrike w:val="0"/>
                <w:color w:val="auto"/>
                <w:szCs w:val="21"/>
                <w:highlight w:val="none"/>
              </w:rPr>
              <w:fldChar w:fldCharType="end"/>
            </w:r>
            <w:r>
              <w:rPr>
                <w:bCs/>
                <w:strike w:val="0"/>
                <w:dstrike w:val="0"/>
                <w:color w:val="auto"/>
                <w:szCs w:val="21"/>
                <w:highlight w:val="none"/>
              </w:rPr>
              <w:t>一般防渗区：主要是</w:t>
            </w:r>
            <w:r>
              <w:rPr>
                <w:rFonts w:hint="eastAsia"/>
                <w:strike w:val="0"/>
                <w:dstrike w:val="0"/>
                <w:color w:val="auto"/>
                <w:szCs w:val="21"/>
                <w:highlight w:val="none"/>
                <w:lang w:eastAsia="zh-CN"/>
              </w:rPr>
              <w:t>截流沟</w:t>
            </w:r>
            <w:r>
              <w:rPr>
                <w:rFonts w:hint="eastAsia"/>
                <w:strike w:val="0"/>
                <w:dstrike w:val="0"/>
                <w:color w:val="auto"/>
                <w:szCs w:val="21"/>
                <w:highlight w:val="none"/>
              </w:rPr>
              <w:t>、加油区地面</w:t>
            </w:r>
            <w:bookmarkStart w:id="147" w:name="OfficeAI_Del_2_49"/>
            <w:r>
              <w:rPr>
                <w:rFonts w:hint="eastAsia"/>
                <w:strike w:val="0"/>
                <w:dstrike w:val="0"/>
                <w:color w:val="auto"/>
                <w:szCs w:val="21"/>
                <w:highlight w:val="none"/>
              </w:rPr>
              <w:t>、生</w:t>
            </w:r>
            <w:bookmarkEnd w:id="147"/>
            <w:bookmarkStart w:id="148" w:name="OfficeAI_Add_2_51"/>
            <w:r>
              <w:rPr>
                <w:rFonts w:hint="eastAsia"/>
                <w:strike w:val="0"/>
                <w:dstrike w:val="0"/>
                <w:color w:val="auto"/>
                <w:szCs w:val="21"/>
                <w:highlight w:val="none"/>
              </w:rPr>
              <w:t>化池</w:t>
            </w:r>
            <w:bookmarkEnd w:id="148"/>
            <w:r>
              <w:rPr>
                <w:bCs/>
                <w:strike w:val="0"/>
                <w:dstrike w:val="0"/>
                <w:color w:val="auto"/>
                <w:szCs w:val="21"/>
                <w:highlight w:val="none"/>
              </w:rPr>
              <w:t>。防渗层的防渗性能不应低于1.5m厚防渗系数1×10</w:t>
            </w:r>
            <w:r>
              <w:rPr>
                <w:bCs/>
                <w:strike w:val="0"/>
                <w:dstrike w:val="0"/>
                <w:color w:val="auto"/>
                <w:szCs w:val="21"/>
                <w:highlight w:val="none"/>
                <w:vertAlign w:val="superscript"/>
              </w:rPr>
              <w:t>-7</w:t>
            </w:r>
            <w:r>
              <w:rPr>
                <w:rFonts w:hint="eastAsia"/>
                <w:bCs/>
                <w:strike w:val="0"/>
                <w:dstrike w:val="0"/>
                <w:color w:val="auto"/>
                <w:szCs w:val="21"/>
                <w:highlight w:val="none"/>
                <w:vertAlign w:val="superscript"/>
                <w:lang w:eastAsia="zh-CN"/>
              </w:rPr>
              <w:t>⁻⁷</w:t>
            </w:r>
            <w:r>
              <w:rPr>
                <w:bCs/>
                <w:strike w:val="0"/>
                <w:dstrike w:val="0"/>
                <w:color w:val="auto"/>
                <w:szCs w:val="21"/>
                <w:highlight w:val="none"/>
              </w:rPr>
              <w:t>cm/s的等效黏土层的防渗性能。</w:t>
            </w:r>
          </w:p>
          <w:p w14:paraId="6DC84702">
            <w:pPr>
              <w:jc w:val="left"/>
              <w:rPr>
                <w:strike w:val="0"/>
                <w:dstrike w:val="0"/>
                <w:color w:val="auto"/>
                <w:szCs w:val="21"/>
                <w:highlight w:val="none"/>
              </w:rPr>
            </w:pPr>
            <w:r>
              <w:rPr>
                <w:bCs/>
                <w:strike w:val="0"/>
                <w:dstrike w:val="0"/>
                <w:color w:val="auto"/>
                <w:szCs w:val="21"/>
                <w:highlight w:val="none"/>
              </w:rPr>
              <w:fldChar w:fldCharType="begin"/>
            </w:r>
            <w:r>
              <w:rPr>
                <w:bCs/>
                <w:strike w:val="0"/>
                <w:dstrike w:val="0"/>
                <w:color w:val="auto"/>
                <w:szCs w:val="21"/>
                <w:highlight w:val="none"/>
              </w:rPr>
              <w:instrText xml:space="preserve"> = 4 \* GB3 \* MERGEFORMAT </w:instrText>
            </w:r>
            <w:r>
              <w:rPr>
                <w:bCs/>
                <w:strike w:val="0"/>
                <w:dstrike w:val="0"/>
                <w:color w:val="auto"/>
                <w:szCs w:val="21"/>
                <w:highlight w:val="none"/>
              </w:rPr>
              <w:fldChar w:fldCharType="separate"/>
            </w:r>
            <w:r>
              <w:rPr>
                <w:strike w:val="0"/>
                <w:dstrike w:val="0"/>
                <w:color w:val="auto"/>
                <w:szCs w:val="21"/>
                <w:highlight w:val="none"/>
              </w:rPr>
              <w:t>④</w:t>
            </w:r>
            <w:r>
              <w:rPr>
                <w:bCs/>
                <w:strike w:val="0"/>
                <w:dstrike w:val="0"/>
                <w:color w:val="auto"/>
                <w:szCs w:val="21"/>
                <w:highlight w:val="none"/>
              </w:rPr>
              <w:fldChar w:fldCharType="end"/>
            </w:r>
            <w:r>
              <w:rPr>
                <w:bCs/>
                <w:strike w:val="0"/>
                <w:dstrike w:val="0"/>
                <w:color w:val="auto"/>
                <w:szCs w:val="21"/>
                <w:highlight w:val="none"/>
              </w:rPr>
              <w:t>简单防渗区：除重点防渗区、一般防渗区以外的区域，即站房、</w:t>
            </w:r>
            <w:r>
              <w:rPr>
                <w:rFonts w:hint="eastAsia"/>
                <w:bCs/>
                <w:strike w:val="0"/>
                <w:dstrike w:val="0"/>
                <w:color w:val="auto"/>
                <w:szCs w:val="21"/>
                <w:highlight w:val="none"/>
              </w:rPr>
              <w:t>站场</w:t>
            </w:r>
            <w:r>
              <w:rPr>
                <w:bCs/>
                <w:strike w:val="0"/>
                <w:dstrike w:val="0"/>
                <w:color w:val="auto"/>
                <w:szCs w:val="21"/>
                <w:highlight w:val="none"/>
              </w:rPr>
              <w:t>内地面、道路等，采取地面硬化处理。</w:t>
            </w:r>
          </w:p>
        </w:tc>
      </w:tr>
      <w:tr w14:paraId="6251F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Align w:val="center"/>
          </w:tcPr>
          <w:p w14:paraId="374A5020">
            <w:pPr>
              <w:adjustRightInd w:val="0"/>
              <w:snapToGrid w:val="0"/>
              <w:jc w:val="center"/>
              <w:rPr>
                <w:strike w:val="0"/>
                <w:dstrike w:val="0"/>
                <w:color w:val="auto"/>
                <w:szCs w:val="21"/>
                <w:highlight w:val="none"/>
              </w:rPr>
            </w:pPr>
            <w:r>
              <w:rPr>
                <w:strike w:val="0"/>
                <w:dstrike w:val="0"/>
                <w:color w:val="auto"/>
                <w:szCs w:val="21"/>
                <w:highlight w:val="none"/>
              </w:rPr>
              <w:t>生态保护措施</w:t>
            </w:r>
          </w:p>
        </w:tc>
        <w:tc>
          <w:tcPr>
            <w:tcW w:w="8111" w:type="dxa"/>
            <w:gridSpan w:val="5"/>
            <w:vAlign w:val="center"/>
          </w:tcPr>
          <w:p w14:paraId="717FC3F4">
            <w:pPr>
              <w:adjustRightInd w:val="0"/>
              <w:snapToGrid w:val="0"/>
              <w:jc w:val="center"/>
              <w:rPr>
                <w:strike w:val="0"/>
                <w:dstrike w:val="0"/>
                <w:color w:val="auto"/>
                <w:szCs w:val="21"/>
                <w:highlight w:val="none"/>
              </w:rPr>
            </w:pPr>
            <w:r>
              <w:rPr>
                <w:strike w:val="0"/>
                <w:dstrike w:val="0"/>
                <w:color w:val="auto"/>
                <w:szCs w:val="21"/>
                <w:highlight w:val="none"/>
              </w:rPr>
              <w:t>/</w:t>
            </w:r>
          </w:p>
        </w:tc>
      </w:tr>
      <w:tr w14:paraId="79DC6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Align w:val="center"/>
          </w:tcPr>
          <w:p w14:paraId="636F97DF">
            <w:pPr>
              <w:adjustRightInd w:val="0"/>
              <w:snapToGrid w:val="0"/>
              <w:jc w:val="center"/>
              <w:rPr>
                <w:strike w:val="0"/>
                <w:dstrike w:val="0"/>
                <w:color w:val="auto"/>
                <w:spacing w:val="-8"/>
                <w:szCs w:val="21"/>
                <w:highlight w:val="none"/>
              </w:rPr>
            </w:pPr>
            <w:r>
              <w:rPr>
                <w:strike w:val="0"/>
                <w:dstrike w:val="0"/>
                <w:color w:val="auto"/>
                <w:spacing w:val="-8"/>
                <w:szCs w:val="21"/>
                <w:highlight w:val="none"/>
              </w:rPr>
              <w:t>环境风险防范措施</w:t>
            </w:r>
          </w:p>
        </w:tc>
        <w:tc>
          <w:tcPr>
            <w:tcW w:w="8111" w:type="dxa"/>
            <w:gridSpan w:val="5"/>
            <w:vAlign w:val="center"/>
          </w:tcPr>
          <w:p w14:paraId="5A19ACFE">
            <w:pPr>
              <w:jc w:val="left"/>
              <w:rPr>
                <w:strike w:val="0"/>
                <w:dstrike w:val="0"/>
                <w:color w:val="auto"/>
                <w:szCs w:val="21"/>
                <w:highlight w:val="none"/>
              </w:rPr>
            </w:pPr>
            <w:r>
              <w:rPr>
                <w:strike w:val="0"/>
                <w:dstrike w:val="0"/>
                <w:color w:val="auto"/>
                <w:szCs w:val="21"/>
                <w:highlight w:val="none"/>
              </w:rPr>
              <w:t>①站内配备有灭火毯、灭火沙子、手提式干粉灭火器、消防砂池和移动式水泵等，卸油区、加油区地面设置截流沟导流至隔油池。</w:t>
            </w:r>
          </w:p>
          <w:p w14:paraId="1674A680">
            <w:pPr>
              <w:jc w:val="left"/>
              <w:rPr>
                <w:strike w:val="0"/>
                <w:dstrike w:val="0"/>
                <w:color w:val="auto"/>
                <w:szCs w:val="21"/>
                <w:highlight w:val="none"/>
              </w:rPr>
            </w:pPr>
            <w:r>
              <w:rPr>
                <w:strike w:val="0"/>
                <w:dstrike w:val="0"/>
                <w:color w:val="auto"/>
                <w:szCs w:val="21"/>
                <w:highlight w:val="none"/>
              </w:rPr>
              <w:t>②油罐采用双层油罐，埋地设置，并设置防渗罐池，其</w:t>
            </w:r>
            <w:bookmarkStart w:id="149" w:name="OfficeAI_Add_1_25"/>
            <w:r>
              <w:rPr>
                <w:rFonts w:hint="eastAsia"/>
                <w:strike w:val="0"/>
                <w:dstrike w:val="0"/>
                <w:color w:val="auto"/>
                <w:szCs w:val="21"/>
                <w:highlight w:val="none"/>
                <w:lang w:eastAsia="zh-CN"/>
              </w:rPr>
              <w:t>结</w:t>
            </w:r>
            <w:bookmarkEnd w:id="149"/>
            <w:r>
              <w:rPr>
                <w:strike w:val="0"/>
                <w:dstrike w:val="0"/>
                <w:color w:val="auto"/>
                <w:szCs w:val="21"/>
                <w:highlight w:val="none"/>
              </w:rPr>
              <w:t>构设计应符合《汽车加油加气加氢站技术标准》（</w:t>
            </w:r>
            <w:r>
              <w:rPr>
                <w:rFonts w:eastAsia="TimesNewRomanPSMT"/>
                <w:strike w:val="0"/>
                <w:dstrike w:val="0"/>
                <w:color w:val="auto"/>
                <w:szCs w:val="21"/>
                <w:highlight w:val="none"/>
              </w:rPr>
              <w:t>GB50156-2021</w:t>
            </w:r>
            <w:r>
              <w:rPr>
                <w:strike w:val="0"/>
                <w:dstrike w:val="0"/>
                <w:color w:val="auto"/>
                <w:szCs w:val="21"/>
                <w:highlight w:val="none"/>
              </w:rPr>
              <w:t>）中相关规定。油罐的液位自动监测系统，应具有油罐渗漏的监测功能和高液位报警功能。油罐底部设置漏油监测装置。储罐下方的地面做防渗处理。加油机底部设接油盘。</w:t>
            </w:r>
          </w:p>
          <w:p w14:paraId="2F7335EB">
            <w:pPr>
              <w:jc w:val="left"/>
              <w:rPr>
                <w:strike w:val="0"/>
                <w:dstrike w:val="0"/>
                <w:color w:val="auto"/>
                <w:szCs w:val="21"/>
                <w:highlight w:val="none"/>
              </w:rPr>
            </w:pPr>
            <w:r>
              <w:rPr>
                <w:bCs/>
                <w:strike w:val="0"/>
                <w:dstrike w:val="0"/>
                <w:color w:val="auto"/>
                <w:szCs w:val="21"/>
                <w:highlight w:val="none"/>
              </w:rPr>
              <w:fldChar w:fldCharType="begin"/>
            </w:r>
            <w:r>
              <w:rPr>
                <w:bCs/>
                <w:strike w:val="0"/>
                <w:dstrike w:val="0"/>
                <w:color w:val="auto"/>
                <w:szCs w:val="21"/>
                <w:highlight w:val="none"/>
              </w:rPr>
              <w:instrText xml:space="preserve"> = 3 \* GB3 \* MERGEFORMAT </w:instrText>
            </w:r>
            <w:r>
              <w:rPr>
                <w:bCs/>
                <w:strike w:val="0"/>
                <w:dstrike w:val="0"/>
                <w:color w:val="auto"/>
                <w:szCs w:val="21"/>
                <w:highlight w:val="none"/>
              </w:rPr>
              <w:fldChar w:fldCharType="separate"/>
            </w:r>
            <w:r>
              <w:rPr>
                <w:strike w:val="0"/>
                <w:dstrike w:val="0"/>
                <w:color w:val="auto"/>
                <w:szCs w:val="21"/>
                <w:highlight w:val="none"/>
              </w:rPr>
              <w:t>③</w:t>
            </w:r>
            <w:r>
              <w:rPr>
                <w:bCs/>
                <w:strike w:val="0"/>
                <w:dstrike w:val="0"/>
                <w:color w:val="auto"/>
                <w:szCs w:val="21"/>
                <w:highlight w:val="none"/>
              </w:rPr>
              <w:fldChar w:fldCharType="end"/>
            </w:r>
            <w:r>
              <w:rPr>
                <w:strike w:val="0"/>
                <w:dstrike w:val="0"/>
                <w:color w:val="auto"/>
                <w:szCs w:val="21"/>
                <w:highlight w:val="none"/>
              </w:rPr>
              <w:t>储气罐采用LNG卧式撬装储罐，内罐与外罐之间应设绝热层，绝热层应与LNG和天然气相适应，并应为不燃材料。外罐外部着火时，绝热层的绝热性能不应明显降低。LNG橇装设备的主箱体内</w:t>
            </w:r>
            <w:bookmarkStart w:id="150" w:name="OfficeAI_Del_2_118"/>
            <w:r>
              <w:rPr>
                <w:strike w:val="0"/>
                <w:dstrike w:val="0"/>
                <w:color w:val="auto"/>
                <w:szCs w:val="21"/>
                <w:highlight w:val="none"/>
              </w:rPr>
              <w:t>侧</w:t>
            </w:r>
            <w:bookmarkEnd w:id="150"/>
            <w:bookmarkStart w:id="151" w:name="OfficeAI_Add_2_119"/>
            <w:r>
              <w:rPr>
                <w:strike w:val="0"/>
                <w:dstrike w:val="0"/>
                <w:color w:val="auto"/>
                <w:szCs w:val="21"/>
                <w:highlight w:val="none"/>
              </w:rPr>
              <w:t>应</w:t>
            </w:r>
            <w:bookmarkEnd w:id="151"/>
            <w:r>
              <w:rPr>
                <w:strike w:val="0"/>
                <w:dstrike w:val="0"/>
                <w:color w:val="auto"/>
                <w:szCs w:val="21"/>
                <w:highlight w:val="none"/>
              </w:rPr>
              <w:t>设拦蓄池，拦蓄池内的有效容量不应小于LNG储罐的容量。其机</w:t>
            </w:r>
            <w:r>
              <w:rPr>
                <w:rFonts w:hint="eastAsia"/>
                <w:strike w:val="0"/>
                <w:dstrike w:val="0"/>
                <w:color w:val="auto"/>
                <w:szCs w:val="21"/>
                <w:highlight w:val="none"/>
                <w:lang w:eastAsia="zh-CN"/>
              </w:rPr>
              <w:t>结</w:t>
            </w:r>
            <w:r>
              <w:rPr>
                <w:strike w:val="0"/>
                <w:dstrike w:val="0"/>
                <w:color w:val="auto"/>
                <w:szCs w:val="21"/>
                <w:highlight w:val="none"/>
              </w:rPr>
              <w:t>构设计应符合《汽车加油加气加氢站技术标准》（</w:t>
            </w:r>
            <w:r>
              <w:rPr>
                <w:rFonts w:eastAsia="TimesNewRomanPSMT"/>
                <w:strike w:val="0"/>
                <w:dstrike w:val="0"/>
                <w:color w:val="auto"/>
                <w:szCs w:val="21"/>
                <w:highlight w:val="none"/>
              </w:rPr>
              <w:t>GB50156-2021</w:t>
            </w:r>
            <w:r>
              <w:rPr>
                <w:strike w:val="0"/>
                <w:dstrike w:val="0"/>
                <w:color w:val="auto"/>
                <w:szCs w:val="21"/>
                <w:highlight w:val="none"/>
              </w:rPr>
              <w:t>）中相关规定。LNG储罐应设置液位计和高液位报警器，高液位报警器应与进液管道紧急切断阀联锁；LNG储罐最高液位以上部位应设置压力表；在内罐与外罐之间应设置检测环形空间绝对压力的仪器或检测接口；液位计、压力表应能就地指示，并应将检测信号传送至控制室集中显示。</w:t>
            </w:r>
          </w:p>
          <w:p w14:paraId="2276458C">
            <w:pPr>
              <w:jc w:val="left"/>
              <w:rPr>
                <w:strike w:val="0"/>
                <w:dstrike w:val="0"/>
                <w:color w:val="auto"/>
                <w:szCs w:val="21"/>
                <w:highlight w:val="none"/>
              </w:rPr>
            </w:pPr>
            <w:r>
              <w:rPr>
                <w:bCs/>
                <w:strike w:val="0"/>
                <w:dstrike w:val="0"/>
                <w:color w:val="auto"/>
                <w:szCs w:val="21"/>
                <w:highlight w:val="none"/>
              </w:rPr>
              <w:fldChar w:fldCharType="begin"/>
            </w:r>
            <w:r>
              <w:rPr>
                <w:bCs/>
                <w:strike w:val="0"/>
                <w:dstrike w:val="0"/>
                <w:color w:val="auto"/>
                <w:szCs w:val="21"/>
                <w:highlight w:val="none"/>
              </w:rPr>
              <w:instrText xml:space="preserve"> = 4 \* GB3 \* MERGEFORMAT </w:instrText>
            </w:r>
            <w:r>
              <w:rPr>
                <w:bCs/>
                <w:strike w:val="0"/>
                <w:dstrike w:val="0"/>
                <w:color w:val="auto"/>
                <w:szCs w:val="21"/>
                <w:highlight w:val="none"/>
              </w:rPr>
              <w:fldChar w:fldCharType="separate"/>
            </w:r>
            <w:r>
              <w:rPr>
                <w:strike w:val="0"/>
                <w:dstrike w:val="0"/>
                <w:color w:val="auto"/>
                <w:szCs w:val="21"/>
                <w:highlight w:val="none"/>
              </w:rPr>
              <w:t>④</w:t>
            </w:r>
            <w:r>
              <w:rPr>
                <w:bCs/>
                <w:strike w:val="0"/>
                <w:dstrike w:val="0"/>
                <w:color w:val="auto"/>
                <w:szCs w:val="21"/>
                <w:highlight w:val="none"/>
              </w:rPr>
              <w:fldChar w:fldCharType="end"/>
            </w:r>
            <w:r>
              <w:rPr>
                <w:strike w:val="0"/>
                <w:dstrike w:val="0"/>
                <w:color w:val="auto"/>
                <w:szCs w:val="21"/>
                <w:highlight w:val="none"/>
              </w:rPr>
              <w:t>卸油区、加油区周围设置截流沟，站区储备大量防水沙袋，当发生事故时，能有效拦截事故废水进入雨水管网，同时为防止未拦截到的事故废水进入雨水管网后直接排入市政雨水管网，项目在雨水井</w:t>
            </w:r>
            <w:r>
              <w:rPr>
                <w:rFonts w:hint="eastAsia"/>
                <w:strike w:val="0"/>
                <w:dstrike w:val="0"/>
                <w:color w:val="auto"/>
                <w:szCs w:val="21"/>
                <w:highlight w:val="none"/>
              </w:rPr>
              <w:t>（</w:t>
            </w:r>
            <w:r>
              <w:rPr>
                <w:rFonts w:hint="eastAsia"/>
                <w:strike w:val="0"/>
                <w:dstrike w:val="0"/>
                <w:color w:val="auto"/>
                <w:szCs w:val="21"/>
                <w:highlight w:val="none"/>
                <w:lang w:eastAsia="zh-CN"/>
              </w:rPr>
              <w:t>Y1、Y2</w:t>
            </w:r>
            <w:r>
              <w:rPr>
                <w:rFonts w:hint="eastAsia"/>
                <w:strike w:val="0"/>
                <w:dstrike w:val="0"/>
                <w:color w:val="auto"/>
                <w:szCs w:val="21"/>
                <w:highlight w:val="none"/>
              </w:rPr>
              <w:t>）</w:t>
            </w:r>
            <w:r>
              <w:rPr>
                <w:strike w:val="0"/>
                <w:dstrike w:val="0"/>
                <w:color w:val="auto"/>
                <w:szCs w:val="21"/>
                <w:highlight w:val="none"/>
              </w:rPr>
              <w:t>设置切换阀，</w:t>
            </w:r>
            <w:r>
              <w:rPr>
                <w:rFonts w:hint="eastAsia"/>
                <w:strike w:val="0"/>
                <w:dstrike w:val="0"/>
                <w:color w:val="auto"/>
                <w:szCs w:val="21"/>
                <w:highlight w:val="none"/>
              </w:rPr>
              <w:t>雨水井（Y1）一端</w:t>
            </w:r>
            <w:r>
              <w:rPr>
                <w:strike w:val="0"/>
                <w:dstrike w:val="0"/>
                <w:color w:val="auto"/>
                <w:szCs w:val="21"/>
                <w:highlight w:val="none"/>
              </w:rPr>
              <w:t>连接至隔油池，正常情况下关闭，</w:t>
            </w:r>
            <w:r>
              <w:rPr>
                <w:rFonts w:hint="eastAsia"/>
                <w:strike w:val="0"/>
                <w:dstrike w:val="0"/>
                <w:color w:val="auto"/>
                <w:szCs w:val="21"/>
                <w:highlight w:val="none"/>
                <w:lang w:eastAsia="zh-CN"/>
              </w:rPr>
              <w:t>遇事故状态时</w:t>
            </w:r>
            <w:r>
              <w:rPr>
                <w:strike w:val="0"/>
                <w:dstrike w:val="0"/>
                <w:color w:val="auto"/>
                <w:szCs w:val="21"/>
                <w:highlight w:val="none"/>
              </w:rPr>
              <w:t>将切换阀转换至隔油池，事故废水经隔油池预处理后排入市政污水管网。</w:t>
            </w:r>
          </w:p>
          <w:p w14:paraId="5D98A960">
            <w:pPr>
              <w:jc w:val="left"/>
              <w:rPr>
                <w:strike w:val="0"/>
                <w:dstrike w:val="0"/>
                <w:color w:val="auto"/>
                <w:szCs w:val="21"/>
                <w:highlight w:val="none"/>
              </w:rPr>
            </w:pPr>
            <w:r>
              <w:rPr>
                <w:rFonts w:hint="default" w:ascii="Times New Roman" w:hAnsi="Times New Roman" w:eastAsia="宋体" w:cs="Times New Roman"/>
                <w:strike w:val="0"/>
                <w:dstrike w:val="0"/>
                <w:color w:val="auto"/>
                <w:kern w:val="0"/>
                <w:sz w:val="21"/>
                <w:szCs w:val="21"/>
                <w:highlight w:val="none"/>
              </w:rPr>
              <w:t>⑤</w:t>
            </w:r>
            <w:r>
              <w:rPr>
                <w:rFonts w:hint="default" w:ascii="Times New Roman" w:hAnsi="Times New Roman" w:eastAsia="宋体" w:cs="Times New Roman"/>
                <w:strike w:val="0"/>
                <w:dstrike w:val="0"/>
                <w:color w:val="auto"/>
                <w:sz w:val="21"/>
                <w:szCs w:val="21"/>
                <w:highlight w:val="none"/>
              </w:rPr>
              <w:t>LNG储罐的周围</w:t>
            </w:r>
            <w:r>
              <w:rPr>
                <w:rFonts w:hint="default" w:ascii="Times New Roman" w:hAnsi="Times New Roman" w:eastAsia="宋体" w:cs="Times New Roman"/>
                <w:strike w:val="0"/>
                <w:dstrike w:val="0"/>
                <w:color w:val="auto"/>
                <w:kern w:val="0"/>
                <w:sz w:val="21"/>
                <w:szCs w:val="21"/>
                <w:highlight w:val="none"/>
                <w:lang w:val="en-US" w:eastAsia="zh-CN"/>
              </w:rPr>
              <w:t>设置</w:t>
            </w:r>
            <w:r>
              <w:rPr>
                <w:rFonts w:hint="default" w:ascii="Times New Roman" w:hAnsi="Times New Roman" w:eastAsia="宋体" w:cs="Times New Roman"/>
                <w:strike w:val="0"/>
                <w:dstrike w:val="0"/>
                <w:color w:val="auto"/>
                <w:kern w:val="0"/>
                <w:sz w:val="21"/>
                <w:szCs w:val="21"/>
                <w:highlight w:val="none"/>
              </w:rPr>
              <w:t>拦蓄区</w:t>
            </w:r>
            <w:r>
              <w:rPr>
                <w:rFonts w:hint="default" w:ascii="Times New Roman" w:hAnsi="Times New Roman" w:eastAsia="宋体" w:cs="Times New Roman"/>
                <w:strike w:val="0"/>
                <w:dstrike w:val="0"/>
                <w:color w:val="auto"/>
                <w:kern w:val="0"/>
                <w:sz w:val="21"/>
                <w:szCs w:val="21"/>
                <w:highlight w:val="none"/>
                <w:lang w:eastAsia="zh-CN"/>
              </w:rPr>
              <w:t>，</w:t>
            </w:r>
            <w:r>
              <w:rPr>
                <w:rFonts w:hint="default" w:ascii="Times New Roman" w:hAnsi="Times New Roman" w:eastAsia="宋体" w:cs="Times New Roman"/>
                <w:strike w:val="0"/>
                <w:dstrike w:val="0"/>
                <w:color w:val="auto"/>
                <w:kern w:val="0"/>
                <w:sz w:val="21"/>
                <w:szCs w:val="21"/>
                <w:highlight w:val="none"/>
              </w:rPr>
              <w:t>容积约65m</w:t>
            </w:r>
            <w:bookmarkStart w:id="152" w:name="OfficeAI_Del_4_21"/>
            <w:r>
              <w:rPr>
                <w:rFonts w:hint="default" w:ascii="Times New Roman" w:hAnsi="Times New Roman" w:eastAsia="宋体" w:cs="Times New Roman"/>
                <w:strike w:val="0"/>
                <w:dstrike w:val="0"/>
                <w:color w:val="auto"/>
                <w:kern w:val="0"/>
                <w:sz w:val="21"/>
                <w:szCs w:val="21"/>
                <w:highlight w:val="none"/>
                <w:vertAlign w:val="superscript"/>
              </w:rPr>
              <w:t>3</w:t>
            </w:r>
            <w:bookmarkEnd w:id="152"/>
            <w:r>
              <w:rPr>
                <w:rFonts w:hint="default" w:ascii="Times New Roman" w:hAnsi="Times New Roman" w:eastAsia="宋体" w:cs="Times New Roman"/>
                <w:strike w:val="0"/>
                <w:dstrike w:val="0"/>
                <w:color w:val="auto"/>
                <w:kern w:val="0"/>
                <w:sz w:val="21"/>
                <w:szCs w:val="21"/>
                <w:highlight w:val="none"/>
                <w:lang w:eastAsia="zh-CN"/>
              </w:rPr>
              <w:t>。</w:t>
            </w:r>
            <w:r>
              <w:rPr>
                <w:rFonts w:hint="default" w:ascii="Times New Roman" w:hAnsi="Times New Roman" w:eastAsia="宋体" w:cs="Times New Roman"/>
                <w:strike w:val="0"/>
                <w:dstrike w:val="0"/>
                <w:color w:val="auto"/>
                <w:sz w:val="21"/>
                <w:szCs w:val="21"/>
                <w:highlight w:val="none"/>
              </w:rPr>
              <w:t>在拦蓄区内设置集液池一座，以便收集泄漏的LNG、油或雨水，集液池内安装防爆潜污泵，当发生LNG、油泄漏时，潜水泵不工作，当需要排雨水时，启动潜水泵将雨水排入拦蓄区外的排水系统。集液池尺寸为1.6×0.8×1.0</w:t>
            </w:r>
            <w:r>
              <w:rPr>
                <w:rFonts w:hint="eastAsia" w:cs="Times New Roman"/>
                <w:strike w:val="0"/>
                <w:dstrike w:val="0"/>
                <w:color w:val="auto"/>
                <w:sz w:val="21"/>
                <w:szCs w:val="21"/>
                <w:highlight w:val="none"/>
                <w:lang w:val="en-US" w:eastAsia="zh-CN"/>
              </w:rPr>
              <w:t>m</w:t>
            </w:r>
            <w:r>
              <w:rPr>
                <w:rFonts w:hint="default" w:ascii="Times New Roman" w:hAnsi="Times New Roman" w:eastAsia="宋体" w:cs="Times New Roman"/>
                <w:strike w:val="0"/>
                <w:dstrike w:val="0"/>
                <w:color w:val="auto"/>
                <w:sz w:val="21"/>
                <w:szCs w:val="21"/>
                <w:highlight w:val="none"/>
              </w:rPr>
              <w:t>。</w:t>
            </w:r>
          </w:p>
          <w:p w14:paraId="08003933">
            <w:pPr>
              <w:jc w:val="left"/>
              <w:rPr>
                <w:strike w:val="0"/>
                <w:dstrike w:val="0"/>
                <w:color w:val="auto"/>
                <w:kern w:val="0"/>
                <w:szCs w:val="21"/>
                <w:highlight w:val="none"/>
              </w:rPr>
            </w:pPr>
            <w:r>
              <w:rPr>
                <w:strike w:val="0"/>
                <w:dstrike w:val="0"/>
                <w:color w:val="auto"/>
                <w:szCs w:val="21"/>
                <w:highlight w:val="none"/>
              </w:rPr>
              <w:t>⑥本项目的燃气中压管道为埋地铺设，且在燃气中压管道内设置阀门井、警示牌、标志桩、示踪线等。</w:t>
            </w:r>
          </w:p>
          <w:p w14:paraId="33666FEA">
            <w:pPr>
              <w:jc w:val="left"/>
              <w:rPr>
                <w:strike w:val="0"/>
                <w:dstrike w:val="0"/>
                <w:color w:val="auto"/>
                <w:szCs w:val="21"/>
                <w:highlight w:val="none"/>
              </w:rPr>
            </w:pPr>
            <w:r>
              <w:rPr>
                <w:rFonts w:ascii="Times New Roman" w:hAnsi="Times New Roman" w:cs="Times New Roman"/>
                <w:strike w:val="0"/>
                <w:dstrike w:val="0"/>
                <w:color w:val="auto"/>
                <w:sz w:val="21"/>
                <w:highlight w:val="none"/>
              </w:rPr>
              <w:fldChar w:fldCharType="begin"/>
            </w:r>
            <w:r>
              <w:rPr>
                <w:rFonts w:ascii="Times New Roman" w:hAnsi="Times New Roman" w:cs="Times New Roman"/>
                <w:strike w:val="0"/>
                <w:dstrike w:val="0"/>
                <w:color w:val="auto"/>
                <w:sz w:val="21"/>
                <w:highlight w:val="none"/>
              </w:rPr>
              <w:instrText xml:space="preserve"> = 7 \* GB3 \* MERGEFORMAT </w:instrText>
            </w:r>
            <w:r>
              <w:rPr>
                <w:rFonts w:ascii="Times New Roman" w:hAnsi="Times New Roman" w:cs="Times New Roman"/>
                <w:strike w:val="0"/>
                <w:dstrike w:val="0"/>
                <w:color w:val="auto"/>
                <w:sz w:val="21"/>
                <w:highlight w:val="none"/>
              </w:rPr>
              <w:fldChar w:fldCharType="separate"/>
            </w:r>
            <w:r>
              <w:rPr>
                <w:rFonts w:ascii="Times New Roman" w:hAnsi="Times New Roman" w:cs="Times New Roman"/>
                <w:strike w:val="0"/>
                <w:dstrike w:val="0"/>
                <w:color w:val="auto"/>
                <w:sz w:val="21"/>
                <w:highlight w:val="none"/>
              </w:rPr>
              <w:t>⑦</w:t>
            </w:r>
            <w:r>
              <w:rPr>
                <w:rFonts w:ascii="Times New Roman" w:hAnsi="Times New Roman" w:cs="Times New Roman"/>
                <w:strike w:val="0"/>
                <w:dstrike w:val="0"/>
                <w:color w:val="auto"/>
                <w:sz w:val="21"/>
                <w:highlight w:val="none"/>
              </w:rPr>
              <w:fldChar w:fldCharType="end"/>
            </w:r>
            <w:r>
              <w:rPr>
                <w:strike w:val="0"/>
                <w:dstrike w:val="0"/>
                <w:color w:val="auto"/>
                <w:szCs w:val="21"/>
                <w:highlight w:val="none"/>
              </w:rPr>
              <w:t>加油站内设立禁止吸烟、禁止接打手机的警示牌，严格禁止站内明火、电焊、电割，加油软管设拉断截止阀；对每个工作人员进行消防培训，加强员工的安全技术培训，提高安全防范意识。</w:t>
            </w:r>
          </w:p>
          <w:p w14:paraId="5EB22247">
            <w:pPr>
              <w:pStyle w:val="38"/>
              <w:spacing w:line="240" w:lineRule="auto"/>
              <w:ind w:firstLine="0"/>
              <w:rPr>
                <w:rFonts w:ascii="Times New Roman" w:hAnsi="Times New Roman" w:cs="Times New Roman"/>
                <w:strike w:val="0"/>
                <w:dstrike w:val="0"/>
                <w:color w:val="auto"/>
                <w:sz w:val="21"/>
                <w:highlight w:val="none"/>
              </w:rPr>
            </w:pPr>
            <w:bookmarkStart w:id="153" w:name="OfficeAI_Del_7_0"/>
            <w:r>
              <w:rPr>
                <w:rFonts w:ascii="Times New Roman" w:hAnsi="Times New Roman" w:cs="Times New Roman"/>
                <w:strike w:val="0"/>
                <w:dstrike w:val="0"/>
                <w:color w:val="auto"/>
                <w:sz w:val="21"/>
                <w:highlight w:val="none"/>
              </w:rPr>
              <w:fldChar w:fldCharType="begin"/>
            </w:r>
            <w:bookmarkEnd w:id="153"/>
            <w:bookmarkStart w:id="154" w:name="OfficeAI_Add_7_1"/>
            <w:r>
              <w:rPr>
                <w:rFonts w:ascii="Times New Roman" w:hAnsi="Times New Roman" w:cs="Times New Roman"/>
                <w:strike w:val="0"/>
                <w:dstrike w:val="0"/>
                <w:color w:val="auto"/>
                <w:sz w:val="21"/>
                <w:highlight w:val="none"/>
              </w:rPr>
              <w:instrText xml:space="preserve"> </w:instrText>
            </w:r>
            <w:bookmarkEnd w:id="154"/>
            <w:r>
              <w:rPr>
                <w:rFonts w:ascii="Times New Roman" w:hAnsi="Times New Roman" w:cs="Times New Roman"/>
                <w:strike w:val="0"/>
                <w:dstrike w:val="0"/>
                <w:color w:val="auto"/>
                <w:sz w:val="21"/>
                <w:highlight w:val="none"/>
              </w:rPr>
              <w:instrText xml:space="preserve">= 7 \* GB3 \* MERGEFORMAT </w:instrText>
            </w:r>
            <w:r>
              <w:rPr>
                <w:rFonts w:ascii="Times New Roman" w:hAnsi="Times New Roman" w:cs="Times New Roman"/>
                <w:strike w:val="0"/>
                <w:dstrike w:val="0"/>
                <w:color w:val="auto"/>
                <w:sz w:val="21"/>
                <w:highlight w:val="none"/>
              </w:rPr>
              <w:fldChar w:fldCharType="separate"/>
            </w:r>
            <w:r>
              <w:rPr>
                <w:rFonts w:ascii="Times New Roman" w:hAnsi="Times New Roman" w:cs="Times New Roman"/>
                <w:strike w:val="0"/>
                <w:dstrike w:val="0"/>
                <w:color w:val="auto"/>
                <w:sz w:val="21"/>
                <w:highlight w:val="none"/>
              </w:rPr>
              <w:t>⑦</w:t>
            </w:r>
            <w:r>
              <w:rPr>
                <w:rFonts w:ascii="Times New Roman" w:hAnsi="Times New Roman" w:cs="Times New Roman"/>
                <w:strike w:val="0"/>
                <w:dstrike w:val="0"/>
                <w:color w:val="auto"/>
                <w:sz w:val="21"/>
                <w:highlight w:val="none"/>
              </w:rPr>
              <w:fldChar w:fldCharType="end"/>
            </w:r>
            <w:r>
              <w:rPr>
                <w:rFonts w:hint="eastAsia" w:ascii="Times New Roman" w:hAnsi="Times New Roman" w:cs="Times New Roman"/>
                <w:strike w:val="0"/>
                <w:dstrike w:val="0"/>
                <w:color w:val="auto"/>
                <w:sz w:val="21"/>
                <w:highlight w:val="none"/>
                <w:lang w:eastAsia="zh-CN"/>
              </w:rPr>
              <w:t>⑧</w:t>
            </w:r>
            <w:r>
              <w:rPr>
                <w:rFonts w:ascii="Times New Roman" w:hAnsi="Times New Roman" w:cs="Times New Roman"/>
                <w:bCs/>
                <w:strike w:val="0"/>
                <w:dstrike w:val="0"/>
                <w:color w:val="auto"/>
                <w:sz w:val="21"/>
                <w:highlight w:val="none"/>
              </w:rPr>
              <w:t>结合企业环境风险，编制环境风险应急预案，并进行评审、备案。每年进行一次综合演练和相应的单项应急演练，安排专门的部门负责编制演练计划。</w:t>
            </w:r>
          </w:p>
        </w:tc>
      </w:tr>
      <w:tr w14:paraId="1ECE3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Align w:val="center"/>
          </w:tcPr>
          <w:p w14:paraId="3FA7653E">
            <w:pPr>
              <w:adjustRightInd w:val="0"/>
              <w:snapToGrid w:val="0"/>
              <w:jc w:val="center"/>
              <w:rPr>
                <w:strike w:val="0"/>
                <w:dstrike w:val="0"/>
                <w:color w:val="auto"/>
                <w:spacing w:val="-8"/>
                <w:szCs w:val="21"/>
                <w:highlight w:val="none"/>
              </w:rPr>
            </w:pPr>
            <w:r>
              <w:rPr>
                <w:strike w:val="0"/>
                <w:dstrike w:val="0"/>
                <w:color w:val="auto"/>
                <w:spacing w:val="-8"/>
                <w:szCs w:val="21"/>
                <w:highlight w:val="none"/>
              </w:rPr>
              <w:t>其他环境</w:t>
            </w:r>
          </w:p>
          <w:p w14:paraId="2CF9D0B5">
            <w:pPr>
              <w:adjustRightInd w:val="0"/>
              <w:snapToGrid w:val="0"/>
              <w:jc w:val="center"/>
              <w:rPr>
                <w:strike w:val="0"/>
                <w:dstrike w:val="0"/>
                <w:color w:val="auto"/>
                <w:spacing w:val="-8"/>
                <w:szCs w:val="21"/>
                <w:highlight w:val="none"/>
              </w:rPr>
            </w:pPr>
            <w:r>
              <w:rPr>
                <w:strike w:val="0"/>
                <w:dstrike w:val="0"/>
                <w:color w:val="auto"/>
                <w:spacing w:val="-8"/>
                <w:szCs w:val="21"/>
                <w:highlight w:val="none"/>
              </w:rPr>
              <w:t>管理要求</w:t>
            </w:r>
          </w:p>
        </w:tc>
        <w:tc>
          <w:tcPr>
            <w:tcW w:w="8111" w:type="dxa"/>
            <w:gridSpan w:val="5"/>
            <w:vAlign w:val="center"/>
          </w:tcPr>
          <w:p w14:paraId="09DCE6E9">
            <w:pPr>
              <w:adjustRightInd w:val="0"/>
              <w:snapToGrid w:val="0"/>
              <w:rPr>
                <w:strike w:val="0"/>
                <w:dstrike w:val="0"/>
                <w:color w:val="auto"/>
                <w:szCs w:val="21"/>
                <w:highlight w:val="none"/>
              </w:rPr>
            </w:pPr>
            <w:r>
              <w:rPr>
                <w:strike w:val="0"/>
                <w:dstrike w:val="0"/>
                <w:color w:val="auto"/>
                <w:szCs w:val="21"/>
                <w:highlight w:val="none"/>
              </w:rPr>
              <w:t>①环境管理：建设单位应设置至少1名</w:t>
            </w:r>
            <w:bookmarkStart w:id="155" w:name="OfficeAI_Add_0_17"/>
            <w:r>
              <w:rPr>
                <w:rFonts w:hint="eastAsia"/>
                <w:strike w:val="0"/>
                <w:dstrike w:val="0"/>
                <w:color w:val="auto"/>
                <w:szCs w:val="21"/>
                <w:highlight w:val="none"/>
                <w:lang w:eastAsia="zh-CN"/>
              </w:rPr>
              <w:t>专职</w:t>
            </w:r>
            <w:bookmarkEnd w:id="155"/>
            <w:r>
              <w:rPr>
                <w:strike w:val="0"/>
                <w:dstrike w:val="0"/>
                <w:color w:val="auto"/>
                <w:szCs w:val="21"/>
                <w:highlight w:val="none"/>
              </w:rPr>
              <w:t>管理人员</w:t>
            </w:r>
            <w:bookmarkStart w:id="156" w:name="OfficeAI_Add_0_25"/>
            <w:r>
              <w:rPr>
                <w:rFonts w:hint="eastAsia"/>
                <w:strike w:val="0"/>
                <w:dstrike w:val="0"/>
                <w:color w:val="auto"/>
                <w:szCs w:val="21"/>
                <w:highlight w:val="none"/>
                <w:lang w:eastAsia="zh-CN"/>
              </w:rPr>
              <w:t>负责</w:t>
            </w:r>
            <w:bookmarkEnd w:id="156"/>
            <w:r>
              <w:rPr>
                <w:strike w:val="0"/>
                <w:dstrike w:val="0"/>
                <w:color w:val="auto"/>
                <w:szCs w:val="21"/>
                <w:highlight w:val="none"/>
              </w:rPr>
              <w:t>环境管理工作，应加强管理、组织、监督和落实环境保护工作；</w:t>
            </w:r>
          </w:p>
          <w:p w14:paraId="63AB5362">
            <w:pPr>
              <w:adjustRightInd w:val="0"/>
              <w:snapToGrid w:val="0"/>
              <w:rPr>
                <w:strike w:val="0"/>
                <w:dstrike w:val="0"/>
                <w:color w:val="auto"/>
                <w:szCs w:val="21"/>
                <w:highlight w:val="none"/>
              </w:rPr>
            </w:pPr>
            <w:r>
              <w:rPr>
                <w:strike w:val="0"/>
                <w:dstrike w:val="0"/>
                <w:color w:val="auto"/>
                <w:szCs w:val="21"/>
                <w:highlight w:val="none"/>
              </w:rPr>
              <w:t>②排污口规范：根据国家环保总局《排污口规</w:t>
            </w:r>
            <w:bookmarkStart w:id="157" w:name="OfficeAI_Add_1_21"/>
            <w:r>
              <w:rPr>
                <w:rFonts w:hint="eastAsia"/>
                <w:strike w:val="0"/>
                <w:dstrike w:val="0"/>
                <w:color w:val="auto"/>
                <w:szCs w:val="21"/>
                <w:highlight w:val="none"/>
                <w:lang w:eastAsia="zh-CN"/>
              </w:rPr>
              <w:t>范</w:t>
            </w:r>
            <w:bookmarkEnd w:id="157"/>
            <w:r>
              <w:rPr>
                <w:strike w:val="0"/>
                <w:dstrike w:val="0"/>
                <w:color w:val="auto"/>
                <w:szCs w:val="21"/>
                <w:highlight w:val="none"/>
              </w:rPr>
              <w:t>化整治要求（试行）》文件要求，</w:t>
            </w:r>
            <w:bookmarkStart w:id="158" w:name="OfficeAI_Add_1_37"/>
            <w:r>
              <w:rPr>
                <w:rFonts w:hint="eastAsia"/>
                <w:strike w:val="0"/>
                <w:dstrike w:val="0"/>
                <w:color w:val="auto"/>
                <w:szCs w:val="21"/>
                <w:highlight w:val="none"/>
                <w:lang w:eastAsia="zh-CN"/>
              </w:rPr>
              <w:t>规范设置</w:t>
            </w:r>
            <w:bookmarkEnd w:id="158"/>
            <w:r>
              <w:rPr>
                <w:strike w:val="0"/>
                <w:dstrike w:val="0"/>
                <w:color w:val="auto"/>
                <w:szCs w:val="21"/>
                <w:highlight w:val="none"/>
              </w:rPr>
              <w:t>环保治理设施的排污口(如图形标志牌、计量装置、监控装置、采样口等)；</w:t>
            </w:r>
          </w:p>
          <w:p w14:paraId="2BFE0232">
            <w:pPr>
              <w:adjustRightInd w:val="0"/>
              <w:snapToGrid w:val="0"/>
              <w:rPr>
                <w:strike w:val="0"/>
                <w:dstrike w:val="0"/>
                <w:color w:val="auto"/>
                <w:szCs w:val="21"/>
                <w:highlight w:val="none"/>
              </w:rPr>
            </w:pPr>
            <w:r>
              <w:rPr>
                <w:bCs/>
                <w:strike w:val="0"/>
                <w:dstrike w:val="0"/>
                <w:color w:val="auto"/>
                <w:szCs w:val="21"/>
                <w:highlight w:val="none"/>
              </w:rPr>
              <w:fldChar w:fldCharType="begin"/>
            </w:r>
            <w:r>
              <w:rPr>
                <w:bCs/>
                <w:strike w:val="0"/>
                <w:dstrike w:val="0"/>
                <w:color w:val="auto"/>
                <w:szCs w:val="21"/>
                <w:highlight w:val="none"/>
              </w:rPr>
              <w:instrText xml:space="preserve"> = 3 </w:instrText>
            </w:r>
            <w:bookmarkStart w:id="159" w:name="OfficeAI_Del_2_6"/>
            <w:r>
              <w:rPr>
                <w:bCs/>
                <w:strike w:val="0"/>
                <w:dstrike w:val="0"/>
                <w:color w:val="auto"/>
                <w:szCs w:val="21"/>
                <w:highlight w:val="none"/>
              </w:rPr>
              <w:instrText xml:space="preserve">\</w:instrText>
            </w:r>
            <w:bookmarkEnd w:id="159"/>
            <w:bookmarkStart w:id="160" w:name="OfficeAI_Add_2_7"/>
            <w:r>
              <w:rPr>
                <w:bCs/>
                <w:strike w:val="0"/>
                <w:dstrike w:val="0"/>
                <w:color w:val="auto"/>
                <w:szCs w:val="21"/>
                <w:highlight w:val="none"/>
              </w:rPr>
              <w:instrText xml:space="preserve">*</w:instrText>
            </w:r>
            <w:bookmarkEnd w:id="160"/>
            <w:r>
              <w:rPr>
                <w:bCs/>
                <w:strike w:val="0"/>
                <w:dstrike w:val="0"/>
                <w:color w:val="auto"/>
                <w:szCs w:val="21"/>
                <w:highlight w:val="none"/>
              </w:rPr>
              <w:instrText xml:space="preserve"> GB3 \* MERGEFORMAT </w:instrText>
            </w:r>
            <w:r>
              <w:rPr>
                <w:bCs/>
                <w:strike w:val="0"/>
                <w:dstrike w:val="0"/>
                <w:color w:val="auto"/>
                <w:szCs w:val="21"/>
                <w:highlight w:val="none"/>
              </w:rPr>
              <w:fldChar w:fldCharType="separate"/>
            </w:r>
            <w:r>
              <w:rPr>
                <w:strike w:val="0"/>
                <w:dstrike w:val="0"/>
                <w:color w:val="auto"/>
                <w:szCs w:val="21"/>
                <w:highlight w:val="none"/>
              </w:rPr>
              <w:t>③</w:t>
            </w:r>
            <w:r>
              <w:rPr>
                <w:bCs/>
                <w:strike w:val="0"/>
                <w:dstrike w:val="0"/>
                <w:color w:val="auto"/>
                <w:szCs w:val="21"/>
                <w:highlight w:val="none"/>
              </w:rPr>
              <w:fldChar w:fldCharType="end"/>
            </w:r>
            <w:r>
              <w:rPr>
                <w:strike w:val="0"/>
                <w:dstrike w:val="0"/>
                <w:color w:val="auto"/>
                <w:szCs w:val="21"/>
                <w:highlight w:val="none"/>
              </w:rPr>
              <w:t>正式投产前在</w:t>
            </w:r>
            <w:r>
              <w:rPr>
                <w:rFonts w:hint="eastAsia"/>
                <w:strike w:val="0"/>
                <w:dstrike w:val="0"/>
                <w:color w:val="auto"/>
                <w:szCs w:val="21"/>
                <w:highlight w:val="none"/>
                <w:lang w:eastAsia="zh-CN"/>
              </w:rPr>
              <w:t>向</w:t>
            </w:r>
            <w:r>
              <w:rPr>
                <w:strike w:val="0"/>
                <w:dstrike w:val="0"/>
                <w:color w:val="auto"/>
                <w:szCs w:val="21"/>
                <w:highlight w:val="none"/>
              </w:rPr>
              <w:t>生态环境主管部门申请排污许可；</w:t>
            </w:r>
          </w:p>
          <w:p w14:paraId="238FA12D">
            <w:pPr>
              <w:adjustRightInd w:val="0"/>
              <w:snapToGrid w:val="0"/>
              <w:rPr>
                <w:strike w:val="0"/>
                <w:dstrike w:val="0"/>
                <w:color w:val="auto"/>
                <w:szCs w:val="21"/>
                <w:highlight w:val="none"/>
              </w:rPr>
            </w:pPr>
            <w:r>
              <w:rPr>
                <w:strike w:val="0"/>
                <w:dstrike w:val="0"/>
                <w:color w:val="auto"/>
                <w:szCs w:val="21"/>
                <w:highlight w:val="none"/>
              </w:rPr>
              <w:fldChar w:fldCharType="begin"/>
            </w:r>
            <w:r>
              <w:rPr>
                <w:strike w:val="0"/>
                <w:dstrike w:val="0"/>
                <w:color w:val="auto"/>
                <w:szCs w:val="21"/>
                <w:highlight w:val="none"/>
              </w:rPr>
              <w:instrText xml:space="preserve"> = 4 \* GB3 \* MERGEFORMAT </w:instrText>
            </w:r>
            <w:r>
              <w:rPr>
                <w:strike w:val="0"/>
                <w:dstrike w:val="0"/>
                <w:color w:val="auto"/>
                <w:szCs w:val="21"/>
                <w:highlight w:val="none"/>
              </w:rPr>
              <w:fldChar w:fldCharType="separate"/>
            </w:r>
            <w:r>
              <w:rPr>
                <w:strike w:val="0"/>
                <w:dstrike w:val="0"/>
                <w:color w:val="auto"/>
                <w:szCs w:val="21"/>
                <w:highlight w:val="none"/>
              </w:rPr>
              <w:t>④</w:t>
            </w:r>
            <w:r>
              <w:rPr>
                <w:strike w:val="0"/>
                <w:dstrike w:val="0"/>
                <w:color w:val="auto"/>
                <w:szCs w:val="21"/>
                <w:highlight w:val="none"/>
              </w:rPr>
              <w:fldChar w:fldCharType="end"/>
            </w:r>
            <w:r>
              <w:rPr>
                <w:strike w:val="0"/>
                <w:dstrike w:val="0"/>
                <w:color w:val="auto"/>
                <w:szCs w:val="21"/>
                <w:highlight w:val="none"/>
              </w:rPr>
              <w:t>运行管理要求：对项目废气污染防治设施和废水处理设施进行维护和管理，保证设施正常运行；</w:t>
            </w:r>
          </w:p>
          <w:p w14:paraId="178D8ACF">
            <w:pPr>
              <w:adjustRightInd w:val="0"/>
              <w:snapToGrid w:val="0"/>
              <w:rPr>
                <w:strike w:val="0"/>
                <w:dstrike w:val="0"/>
                <w:color w:val="auto"/>
                <w:szCs w:val="21"/>
                <w:highlight w:val="none"/>
              </w:rPr>
            </w:pPr>
            <w:r>
              <w:rPr>
                <w:strike w:val="0"/>
                <w:dstrike w:val="0"/>
                <w:color w:val="auto"/>
                <w:szCs w:val="21"/>
                <w:highlight w:val="none"/>
              </w:rPr>
              <w:fldChar w:fldCharType="begin"/>
            </w:r>
            <w:r>
              <w:rPr>
                <w:strike w:val="0"/>
                <w:dstrike w:val="0"/>
                <w:color w:val="auto"/>
                <w:szCs w:val="21"/>
                <w:highlight w:val="none"/>
              </w:rPr>
              <w:instrText xml:space="preserve"> = 5 \* GB3 \* MERGEFORMAT </w:instrText>
            </w:r>
            <w:r>
              <w:rPr>
                <w:strike w:val="0"/>
                <w:dstrike w:val="0"/>
                <w:color w:val="auto"/>
                <w:szCs w:val="21"/>
                <w:highlight w:val="none"/>
              </w:rPr>
              <w:fldChar w:fldCharType="separate"/>
            </w:r>
            <w:r>
              <w:rPr>
                <w:strike w:val="0"/>
                <w:dstrike w:val="0"/>
                <w:color w:val="auto"/>
                <w:szCs w:val="21"/>
                <w:highlight w:val="none"/>
              </w:rPr>
              <w:t>⑤</w:t>
            </w:r>
            <w:r>
              <w:rPr>
                <w:strike w:val="0"/>
                <w:dstrike w:val="0"/>
                <w:color w:val="auto"/>
                <w:szCs w:val="21"/>
                <w:highlight w:val="none"/>
              </w:rPr>
              <w:fldChar w:fldCharType="end"/>
            </w:r>
            <w:r>
              <w:rPr>
                <w:strike w:val="0"/>
                <w:dstrike w:val="0"/>
                <w:color w:val="auto"/>
                <w:szCs w:val="21"/>
                <w:highlight w:val="none"/>
              </w:rPr>
              <w:t>台账管理要求：建立环境管理台账制度，落实环境管理台账记录负责人，环境管理台账（包括基本信息、生产设施运行管理信息、污染防治设施运行管理信息、监测记录信息、其他环境管理信息）按电子化储存和纸质储存两种方式同步管理。</w:t>
            </w:r>
          </w:p>
        </w:tc>
      </w:tr>
    </w:tbl>
    <w:p w14:paraId="43C9FA7B">
      <w:pPr>
        <w:pStyle w:val="18"/>
        <w:spacing w:before="0" w:beforeAutospacing="0" w:after="0" w:afterAutospacing="0" w:line="360" w:lineRule="auto"/>
        <w:jc w:val="center"/>
        <w:outlineLvl w:val="0"/>
        <w:rPr>
          <w:rFonts w:ascii="Times New Roman" w:hAnsi="Times New Roman" w:eastAsia="黑体"/>
          <w:strike w:val="0"/>
          <w:dstrike w:val="0"/>
          <w:snapToGrid w:val="0"/>
          <w:color w:val="auto"/>
          <w:sz w:val="30"/>
          <w:szCs w:val="30"/>
          <w:highlight w:val="none"/>
        </w:rPr>
      </w:pPr>
      <w:r>
        <w:rPr>
          <w:rFonts w:ascii="Times New Roman" w:hAnsi="Times New Roman"/>
          <w:strike w:val="0"/>
          <w:dstrike w:val="0"/>
          <w:snapToGrid w:val="0"/>
          <w:color w:val="auto"/>
          <w:highlight w:val="none"/>
        </w:rPr>
        <w:br w:type="page"/>
      </w:r>
      <w:r>
        <w:rPr>
          <w:rFonts w:ascii="Times New Roman" w:hAnsi="Times New Roman" w:eastAsia="黑体"/>
          <w:strike w:val="0"/>
          <w:dstrike w:val="0"/>
          <w:snapToGrid w:val="0"/>
          <w:color w:val="auto"/>
          <w:sz w:val="30"/>
          <w:szCs w:val="30"/>
          <w:highlight w:val="none"/>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DBB3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AF3326E">
            <w:pPr>
              <w:spacing w:line="360" w:lineRule="auto"/>
              <w:ind w:firstLine="480" w:firstLineChars="200"/>
              <w:textAlignment w:val="baseline"/>
              <w:rPr>
                <w:strike w:val="0"/>
                <w:dstrike w:val="0"/>
                <w:color w:val="auto"/>
                <w:sz w:val="24"/>
                <w:highlight w:val="none"/>
              </w:rPr>
            </w:pPr>
            <w:r>
              <w:rPr>
                <w:strike w:val="0"/>
                <w:dstrike w:val="0"/>
                <w:color w:val="auto"/>
                <w:sz w:val="24"/>
                <w:highlight w:val="none"/>
              </w:rPr>
              <w:t>重庆合川燃气有限责任公司</w:t>
            </w:r>
            <w:r>
              <w:rPr>
                <w:bCs/>
                <w:strike w:val="0"/>
                <w:dstrike w:val="0"/>
                <w:color w:val="auto"/>
                <w:sz w:val="24"/>
                <w:highlight w:val="none"/>
              </w:rPr>
              <w:t>“</w:t>
            </w:r>
            <w:r>
              <w:rPr>
                <w:strike w:val="0"/>
                <w:dstrike w:val="0"/>
                <w:color w:val="auto"/>
                <w:sz w:val="24"/>
                <w:highlight w:val="none"/>
              </w:rPr>
              <w:t>合川区土场综合能源站工程</w:t>
            </w:r>
            <w:r>
              <w:rPr>
                <w:rFonts w:hint="eastAsia"/>
                <w:strike w:val="0"/>
                <w:dstrike w:val="0"/>
                <w:color w:val="auto"/>
                <w:sz w:val="24"/>
                <w:highlight w:val="none"/>
              </w:rPr>
              <w:t>”</w:t>
            </w:r>
            <w:r>
              <w:rPr>
                <w:strike w:val="0"/>
                <w:dstrike w:val="0"/>
                <w:color w:val="auto"/>
                <w:sz w:val="24"/>
                <w:highlight w:val="none"/>
              </w:rPr>
              <w:t>的建设符合国家相关产业政策，符合规划环评要求、符合相关准入政策规定，区域环境质量现状较好。本项目对废气、废水、噪声和固体废物等污染物采取了较为妥善的处理处置措施，各污染物均能达标排放，对周围环境影响较小。在全面落实各项污染防治措施、风险防范措施的前提下，项目的建设整体上符合环境保护和社会可持续发展的要求。</w:t>
            </w:r>
          </w:p>
          <w:p w14:paraId="7C93C080">
            <w:pPr>
              <w:adjustRightInd w:val="0"/>
              <w:snapToGrid w:val="0"/>
              <w:spacing w:line="360" w:lineRule="auto"/>
              <w:ind w:firstLine="480" w:firstLineChars="200"/>
              <w:rPr>
                <w:bCs/>
                <w:strike w:val="0"/>
                <w:dstrike w:val="0"/>
                <w:color w:val="auto"/>
                <w:sz w:val="24"/>
                <w:highlight w:val="none"/>
              </w:rPr>
            </w:pPr>
            <w:r>
              <w:rPr>
                <w:bCs/>
                <w:strike w:val="0"/>
                <w:dstrike w:val="0"/>
                <w:color w:val="auto"/>
                <w:sz w:val="24"/>
                <w:highlight w:val="none"/>
              </w:rPr>
              <w:t>因此，从环境保护的角度来看，项目建设可行。</w:t>
            </w:r>
          </w:p>
          <w:p w14:paraId="1AD110B0">
            <w:pPr>
              <w:spacing w:line="360" w:lineRule="auto"/>
              <w:ind w:firstLine="480" w:firstLineChars="200"/>
              <w:rPr>
                <w:strike w:val="0"/>
                <w:dstrike w:val="0"/>
                <w:color w:val="auto"/>
                <w:sz w:val="24"/>
                <w:highlight w:val="none"/>
              </w:rPr>
            </w:pPr>
          </w:p>
        </w:tc>
      </w:tr>
    </w:tbl>
    <w:p w14:paraId="3A301CF2">
      <w:pPr>
        <w:rPr>
          <w:rFonts w:eastAsia="黑体"/>
          <w:strike w:val="0"/>
          <w:dstrike w:val="0"/>
          <w:color w:val="auto"/>
          <w:highlight w:val="none"/>
        </w:rPr>
        <w:sectPr>
          <w:footerReference r:id="rId6" w:type="default"/>
          <w:pgSz w:w="11906" w:h="16838"/>
          <w:pgMar w:top="1701" w:right="1531" w:bottom="1701" w:left="1531" w:header="851" w:footer="851" w:gutter="0"/>
          <w:pgNumType w:fmt="numberInDash"/>
          <w:cols w:space="720" w:num="1"/>
          <w:docGrid w:linePitch="312" w:charSpace="0"/>
        </w:sectPr>
      </w:pPr>
    </w:p>
    <w:p w14:paraId="000D368C">
      <w:pPr>
        <w:pStyle w:val="18"/>
        <w:adjustRightInd w:val="0"/>
        <w:snapToGrid w:val="0"/>
        <w:spacing w:before="0" w:beforeAutospacing="0" w:after="0" w:afterAutospacing="0" w:line="480" w:lineRule="auto"/>
        <w:outlineLvl w:val="0"/>
        <w:rPr>
          <w:rFonts w:ascii="Times New Roman" w:hAnsi="Times New Roman"/>
          <w:b/>
          <w:bCs/>
          <w:strike w:val="0"/>
          <w:dstrike w:val="0"/>
          <w:snapToGrid w:val="0"/>
          <w:color w:val="auto"/>
          <w:sz w:val="32"/>
          <w:szCs w:val="32"/>
          <w:highlight w:val="none"/>
        </w:rPr>
      </w:pPr>
      <w:r>
        <w:rPr>
          <w:rFonts w:ascii="Times New Roman" w:hAnsi="Times New Roman"/>
          <w:b/>
          <w:bCs/>
          <w:strike w:val="0"/>
          <w:dstrike w:val="0"/>
          <w:snapToGrid w:val="0"/>
          <w:color w:val="auto"/>
          <w:sz w:val="32"/>
          <w:szCs w:val="32"/>
          <w:highlight w:val="none"/>
        </w:rPr>
        <w:t>附表</w:t>
      </w:r>
    </w:p>
    <w:p w14:paraId="3D866FEC">
      <w:pPr>
        <w:pStyle w:val="18"/>
        <w:adjustRightInd w:val="0"/>
        <w:snapToGrid w:val="0"/>
        <w:spacing w:before="0" w:beforeAutospacing="0" w:after="0" w:afterAutospacing="0"/>
        <w:jc w:val="center"/>
        <w:outlineLvl w:val="0"/>
        <w:rPr>
          <w:rFonts w:ascii="Times New Roman" w:hAnsi="Times New Roman"/>
          <w:b/>
          <w:bCs/>
          <w:strike w:val="0"/>
          <w:dstrike w:val="0"/>
          <w:snapToGrid w:val="0"/>
          <w:color w:val="auto"/>
          <w:sz w:val="38"/>
          <w:szCs w:val="38"/>
          <w:highlight w:val="none"/>
        </w:rPr>
      </w:pPr>
      <w:r>
        <w:rPr>
          <w:rFonts w:ascii="Times New Roman" w:hAnsi="Times New Roman"/>
          <w:b/>
          <w:bCs/>
          <w:strike w:val="0"/>
          <w:dstrike w:val="0"/>
          <w:snapToGrid w:val="0"/>
          <w:color w:val="auto"/>
          <w:sz w:val="38"/>
          <w:szCs w:val="38"/>
          <w:highlight w:val="none"/>
        </w:rPr>
        <w:t>建设项目污染物排放量汇总表</w:t>
      </w:r>
    </w:p>
    <w:tbl>
      <w:tblPr>
        <w:tblStyle w:val="22"/>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352"/>
        <w:gridCol w:w="1878"/>
        <w:gridCol w:w="1316"/>
      </w:tblGrid>
      <w:tr w14:paraId="60B55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14:paraId="20631B17">
            <w:pPr>
              <w:pStyle w:val="36"/>
              <w:spacing w:beforeLines="0" w:afterLines="0" w:line="240" w:lineRule="auto"/>
              <w:jc w:val="right"/>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项目</w:t>
            </w:r>
          </w:p>
          <w:p w14:paraId="0472F8A4">
            <w:pPr>
              <w:pStyle w:val="36"/>
              <w:spacing w:beforeLines="0" w:afterLines="0" w:line="240" w:lineRule="auto"/>
              <w:jc w:val="left"/>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分类</w:t>
            </w:r>
          </w:p>
        </w:tc>
        <w:tc>
          <w:tcPr>
            <w:tcW w:w="1417" w:type="dxa"/>
            <w:tcMar>
              <w:left w:w="28" w:type="dxa"/>
              <w:right w:w="28" w:type="dxa"/>
            </w:tcMar>
            <w:vAlign w:val="center"/>
          </w:tcPr>
          <w:p w14:paraId="058D3A21">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污染物名称</w:t>
            </w:r>
          </w:p>
        </w:tc>
        <w:tc>
          <w:tcPr>
            <w:tcW w:w="1701" w:type="dxa"/>
            <w:tcMar>
              <w:left w:w="28" w:type="dxa"/>
              <w:right w:w="28" w:type="dxa"/>
            </w:tcMar>
            <w:vAlign w:val="center"/>
          </w:tcPr>
          <w:p w14:paraId="42614E69">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现有工程</w:t>
            </w:r>
          </w:p>
          <w:p w14:paraId="2EB5B47D">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排放量（固体废物产生量）</w:t>
            </w: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1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kern w:val="2"/>
                <w:szCs w:val="21"/>
                <w:highlight w:val="none"/>
              </w:rPr>
              <w:t>①</w:t>
            </w:r>
            <w:r>
              <w:rPr>
                <w:rFonts w:ascii="Times New Roman"/>
                <w:strike w:val="0"/>
                <w:dstrike w:val="0"/>
                <w:snapToGrid w:val="0"/>
                <w:color w:val="auto"/>
                <w:spacing w:val="-6"/>
                <w:kern w:val="21"/>
                <w:szCs w:val="21"/>
                <w:highlight w:val="none"/>
              </w:rPr>
              <w:fldChar w:fldCharType="end"/>
            </w:r>
          </w:p>
        </w:tc>
        <w:tc>
          <w:tcPr>
            <w:tcW w:w="1276" w:type="dxa"/>
            <w:tcMar>
              <w:left w:w="28" w:type="dxa"/>
              <w:right w:w="28" w:type="dxa"/>
            </w:tcMar>
            <w:vAlign w:val="center"/>
          </w:tcPr>
          <w:p w14:paraId="7DF9FC75">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现有工程</w:t>
            </w:r>
          </w:p>
          <w:p w14:paraId="09212B5D">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许可排放量</w:t>
            </w:r>
          </w:p>
          <w:p w14:paraId="76A65190">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2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snapToGrid w:val="0"/>
                <w:color w:val="auto"/>
                <w:spacing w:val="-6"/>
                <w:kern w:val="21"/>
                <w:szCs w:val="21"/>
                <w:highlight w:val="none"/>
              </w:rPr>
              <w:t>②</w:t>
            </w:r>
            <w:r>
              <w:rPr>
                <w:rFonts w:ascii="Times New Roman"/>
                <w:strike w:val="0"/>
                <w:dstrike w:val="0"/>
                <w:snapToGrid w:val="0"/>
                <w:color w:val="auto"/>
                <w:spacing w:val="-6"/>
                <w:kern w:val="21"/>
                <w:szCs w:val="21"/>
                <w:highlight w:val="none"/>
              </w:rPr>
              <w:fldChar w:fldCharType="end"/>
            </w:r>
          </w:p>
        </w:tc>
        <w:tc>
          <w:tcPr>
            <w:tcW w:w="1701" w:type="dxa"/>
            <w:tcMar>
              <w:left w:w="28" w:type="dxa"/>
              <w:right w:w="28" w:type="dxa"/>
            </w:tcMar>
            <w:vAlign w:val="center"/>
          </w:tcPr>
          <w:p w14:paraId="7AB1DC06">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在建工程</w:t>
            </w:r>
          </w:p>
          <w:p w14:paraId="0B1D8920">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排放量（固体废物产生量）</w:t>
            </w: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3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kern w:val="2"/>
                <w:szCs w:val="21"/>
                <w:highlight w:val="none"/>
              </w:rPr>
              <w:t>③</w:t>
            </w:r>
            <w:r>
              <w:rPr>
                <w:rFonts w:ascii="Times New Roman"/>
                <w:strike w:val="0"/>
                <w:dstrike w:val="0"/>
                <w:snapToGrid w:val="0"/>
                <w:color w:val="auto"/>
                <w:spacing w:val="-6"/>
                <w:kern w:val="21"/>
                <w:szCs w:val="21"/>
                <w:highlight w:val="none"/>
              </w:rPr>
              <w:fldChar w:fldCharType="end"/>
            </w:r>
          </w:p>
        </w:tc>
        <w:tc>
          <w:tcPr>
            <w:tcW w:w="1559" w:type="dxa"/>
            <w:tcMar>
              <w:left w:w="28" w:type="dxa"/>
              <w:right w:w="28" w:type="dxa"/>
            </w:tcMar>
            <w:vAlign w:val="center"/>
          </w:tcPr>
          <w:p w14:paraId="7B1EE31B">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本项目</w:t>
            </w:r>
          </w:p>
          <w:p w14:paraId="32BD9AEC">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排放量（固体废物产生量）</w:t>
            </w: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4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kern w:val="2"/>
                <w:szCs w:val="21"/>
                <w:highlight w:val="none"/>
              </w:rPr>
              <w:t>④</w:t>
            </w:r>
            <w:r>
              <w:rPr>
                <w:rFonts w:ascii="Times New Roman"/>
                <w:strike w:val="0"/>
                <w:dstrike w:val="0"/>
                <w:snapToGrid w:val="0"/>
                <w:color w:val="auto"/>
                <w:spacing w:val="-6"/>
                <w:kern w:val="21"/>
                <w:szCs w:val="21"/>
                <w:highlight w:val="none"/>
              </w:rPr>
              <w:fldChar w:fldCharType="end"/>
            </w:r>
          </w:p>
        </w:tc>
        <w:tc>
          <w:tcPr>
            <w:tcW w:w="1352" w:type="dxa"/>
            <w:tcMar>
              <w:left w:w="28" w:type="dxa"/>
              <w:right w:w="28" w:type="dxa"/>
            </w:tcMar>
            <w:vAlign w:val="center"/>
          </w:tcPr>
          <w:p w14:paraId="307C1782">
            <w:pPr>
              <w:pStyle w:val="36"/>
              <w:spacing w:beforeLines="0" w:afterLines="0" w:line="240" w:lineRule="auto"/>
              <w:rPr>
                <w:rFonts w:ascii="Times New Roman"/>
                <w:strike w:val="0"/>
                <w:dstrike w:val="0"/>
                <w:snapToGrid w:val="0"/>
                <w:color w:val="auto"/>
                <w:spacing w:val="-16"/>
                <w:kern w:val="21"/>
                <w:szCs w:val="21"/>
                <w:highlight w:val="none"/>
              </w:rPr>
            </w:pPr>
            <w:r>
              <w:rPr>
                <w:rFonts w:ascii="Times New Roman"/>
                <w:strike w:val="0"/>
                <w:dstrike w:val="0"/>
                <w:snapToGrid w:val="0"/>
                <w:color w:val="auto"/>
                <w:spacing w:val="-16"/>
                <w:kern w:val="21"/>
                <w:szCs w:val="21"/>
                <w:highlight w:val="none"/>
              </w:rPr>
              <w:t>以新带老削减量</w:t>
            </w:r>
          </w:p>
          <w:p w14:paraId="16EA39B6">
            <w:pPr>
              <w:pStyle w:val="36"/>
              <w:spacing w:beforeLines="0" w:afterLines="0" w:line="240" w:lineRule="auto"/>
              <w:rPr>
                <w:rFonts w:ascii="Times New Roman"/>
                <w:strike w:val="0"/>
                <w:dstrike w:val="0"/>
                <w:snapToGrid w:val="0"/>
                <w:color w:val="auto"/>
                <w:spacing w:val="-16"/>
                <w:kern w:val="21"/>
                <w:szCs w:val="21"/>
                <w:highlight w:val="none"/>
              </w:rPr>
            </w:pPr>
            <w:r>
              <w:rPr>
                <w:rFonts w:ascii="Times New Roman"/>
                <w:strike w:val="0"/>
                <w:dstrike w:val="0"/>
                <w:snapToGrid w:val="0"/>
                <w:color w:val="auto"/>
                <w:spacing w:val="-16"/>
                <w:kern w:val="21"/>
                <w:szCs w:val="21"/>
                <w:highlight w:val="none"/>
              </w:rPr>
              <w:t>（新建项目不填）</w:t>
            </w:r>
            <w:r>
              <w:rPr>
                <w:rFonts w:ascii="Times New Roman"/>
                <w:strike w:val="0"/>
                <w:dstrike w:val="0"/>
                <w:snapToGrid w:val="0"/>
                <w:color w:val="auto"/>
                <w:spacing w:val="-16"/>
                <w:kern w:val="21"/>
                <w:szCs w:val="21"/>
                <w:highlight w:val="none"/>
              </w:rPr>
              <w:fldChar w:fldCharType="begin"/>
            </w:r>
            <w:r>
              <w:rPr>
                <w:rFonts w:ascii="Times New Roman"/>
                <w:strike w:val="0"/>
                <w:dstrike w:val="0"/>
                <w:snapToGrid w:val="0"/>
                <w:color w:val="auto"/>
                <w:spacing w:val="-16"/>
                <w:kern w:val="21"/>
                <w:szCs w:val="21"/>
                <w:highlight w:val="none"/>
              </w:rPr>
              <w:instrText xml:space="preserve"> = 5 \* GB3 \* MERGEFORMAT </w:instrText>
            </w:r>
            <w:r>
              <w:rPr>
                <w:rFonts w:ascii="Times New Roman"/>
                <w:strike w:val="0"/>
                <w:dstrike w:val="0"/>
                <w:snapToGrid w:val="0"/>
                <w:color w:val="auto"/>
                <w:spacing w:val="-16"/>
                <w:kern w:val="21"/>
                <w:szCs w:val="21"/>
                <w:highlight w:val="none"/>
              </w:rPr>
              <w:fldChar w:fldCharType="separate"/>
            </w:r>
            <w:r>
              <w:rPr>
                <w:rFonts w:ascii="Times New Roman"/>
                <w:strike w:val="0"/>
                <w:dstrike w:val="0"/>
                <w:color w:val="auto"/>
                <w:kern w:val="2"/>
                <w:szCs w:val="21"/>
                <w:highlight w:val="none"/>
              </w:rPr>
              <w:t>⑤</w:t>
            </w:r>
            <w:r>
              <w:rPr>
                <w:rFonts w:ascii="Times New Roman"/>
                <w:strike w:val="0"/>
                <w:dstrike w:val="0"/>
                <w:snapToGrid w:val="0"/>
                <w:color w:val="auto"/>
                <w:spacing w:val="-16"/>
                <w:kern w:val="21"/>
                <w:szCs w:val="21"/>
                <w:highlight w:val="none"/>
              </w:rPr>
              <w:fldChar w:fldCharType="end"/>
            </w:r>
          </w:p>
        </w:tc>
        <w:tc>
          <w:tcPr>
            <w:tcW w:w="1878" w:type="dxa"/>
            <w:tcMar>
              <w:left w:w="28" w:type="dxa"/>
              <w:right w:w="28" w:type="dxa"/>
            </w:tcMar>
            <w:vAlign w:val="center"/>
          </w:tcPr>
          <w:p w14:paraId="26B399DF">
            <w:pPr>
              <w:pStyle w:val="36"/>
              <w:spacing w:beforeLines="0" w:afterLines="0" w:line="240" w:lineRule="auto"/>
              <w:rPr>
                <w:rFonts w:ascii="Times New Roman"/>
                <w:strike w:val="0"/>
                <w:dstrike w:val="0"/>
                <w:snapToGrid w:val="0"/>
                <w:color w:val="auto"/>
                <w:spacing w:val="-16"/>
                <w:kern w:val="21"/>
                <w:szCs w:val="21"/>
                <w:highlight w:val="none"/>
              </w:rPr>
            </w:pPr>
            <w:r>
              <w:rPr>
                <w:rFonts w:ascii="Times New Roman"/>
                <w:strike w:val="0"/>
                <w:dstrike w:val="0"/>
                <w:snapToGrid w:val="0"/>
                <w:color w:val="auto"/>
                <w:spacing w:val="-16"/>
                <w:kern w:val="21"/>
                <w:szCs w:val="21"/>
                <w:highlight w:val="none"/>
              </w:rPr>
              <w:t>本项目建成后</w:t>
            </w:r>
          </w:p>
          <w:p w14:paraId="3E29C7D7">
            <w:pPr>
              <w:pStyle w:val="36"/>
              <w:spacing w:beforeLines="0" w:afterLines="0" w:line="240" w:lineRule="auto"/>
              <w:rPr>
                <w:rFonts w:ascii="Times New Roman"/>
                <w:strike w:val="0"/>
                <w:dstrike w:val="0"/>
                <w:snapToGrid w:val="0"/>
                <w:color w:val="auto"/>
                <w:spacing w:val="-16"/>
                <w:kern w:val="21"/>
                <w:szCs w:val="21"/>
                <w:highlight w:val="none"/>
              </w:rPr>
            </w:pPr>
            <w:r>
              <w:rPr>
                <w:rFonts w:ascii="Times New Roman"/>
                <w:strike w:val="0"/>
                <w:dstrike w:val="0"/>
                <w:snapToGrid w:val="0"/>
                <w:color w:val="auto"/>
                <w:spacing w:val="-16"/>
                <w:kern w:val="21"/>
                <w:szCs w:val="21"/>
                <w:highlight w:val="none"/>
              </w:rPr>
              <w:t>全厂排放量（固体废物产生量）</w:t>
            </w:r>
            <w:r>
              <w:rPr>
                <w:rFonts w:ascii="Times New Roman"/>
                <w:strike w:val="0"/>
                <w:dstrike w:val="0"/>
                <w:snapToGrid w:val="0"/>
                <w:color w:val="auto"/>
                <w:spacing w:val="-16"/>
                <w:kern w:val="21"/>
                <w:szCs w:val="21"/>
                <w:highlight w:val="none"/>
              </w:rPr>
              <w:fldChar w:fldCharType="begin"/>
            </w:r>
            <w:r>
              <w:rPr>
                <w:rFonts w:ascii="Times New Roman"/>
                <w:strike w:val="0"/>
                <w:dstrike w:val="0"/>
                <w:snapToGrid w:val="0"/>
                <w:color w:val="auto"/>
                <w:spacing w:val="-16"/>
                <w:kern w:val="21"/>
                <w:szCs w:val="21"/>
                <w:highlight w:val="none"/>
              </w:rPr>
              <w:instrText xml:space="preserve"> = 6 \* GB3 \* MERGEFORMAT </w:instrText>
            </w:r>
            <w:r>
              <w:rPr>
                <w:rFonts w:ascii="Times New Roman"/>
                <w:strike w:val="0"/>
                <w:dstrike w:val="0"/>
                <w:snapToGrid w:val="0"/>
                <w:color w:val="auto"/>
                <w:spacing w:val="-16"/>
                <w:kern w:val="21"/>
                <w:szCs w:val="21"/>
                <w:highlight w:val="none"/>
              </w:rPr>
              <w:fldChar w:fldCharType="separate"/>
            </w:r>
            <w:r>
              <w:rPr>
                <w:rFonts w:ascii="Times New Roman"/>
                <w:strike w:val="0"/>
                <w:dstrike w:val="0"/>
                <w:color w:val="auto"/>
                <w:kern w:val="2"/>
                <w:szCs w:val="21"/>
                <w:highlight w:val="none"/>
              </w:rPr>
              <w:t>⑥</w:t>
            </w:r>
            <w:r>
              <w:rPr>
                <w:rFonts w:ascii="Times New Roman"/>
                <w:strike w:val="0"/>
                <w:dstrike w:val="0"/>
                <w:snapToGrid w:val="0"/>
                <w:color w:val="auto"/>
                <w:spacing w:val="-16"/>
                <w:kern w:val="21"/>
                <w:szCs w:val="21"/>
                <w:highlight w:val="none"/>
              </w:rPr>
              <w:fldChar w:fldCharType="end"/>
            </w:r>
          </w:p>
        </w:tc>
        <w:tc>
          <w:tcPr>
            <w:tcW w:w="1316" w:type="dxa"/>
            <w:tcMar>
              <w:left w:w="28" w:type="dxa"/>
              <w:right w:w="28" w:type="dxa"/>
            </w:tcMar>
            <w:vAlign w:val="center"/>
          </w:tcPr>
          <w:p w14:paraId="2608ED0F">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t>变化量</w:t>
            </w:r>
          </w:p>
          <w:p w14:paraId="3036EC87">
            <w:pPr>
              <w:pStyle w:val="36"/>
              <w:spacing w:beforeLines="0" w:afterLines="0" w:line="240" w:lineRule="auto"/>
              <w:rPr>
                <w:rFonts w:ascii="Times New Roman"/>
                <w:strike w:val="0"/>
                <w:dstrike w:val="0"/>
                <w:snapToGrid w:val="0"/>
                <w:color w:val="auto"/>
                <w:spacing w:val="-6"/>
                <w:kern w:val="21"/>
                <w:szCs w:val="21"/>
                <w:highlight w:val="none"/>
              </w:rPr>
            </w:pP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7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kern w:val="2"/>
                <w:szCs w:val="21"/>
                <w:highlight w:val="none"/>
              </w:rPr>
              <w:t>⑦</w:t>
            </w:r>
            <w:r>
              <w:rPr>
                <w:rFonts w:ascii="Times New Roman"/>
                <w:strike w:val="0"/>
                <w:dstrike w:val="0"/>
                <w:snapToGrid w:val="0"/>
                <w:color w:val="auto"/>
                <w:spacing w:val="-6"/>
                <w:kern w:val="21"/>
                <w:szCs w:val="21"/>
                <w:highlight w:val="none"/>
              </w:rPr>
              <w:fldChar w:fldCharType="end"/>
            </w:r>
          </w:p>
        </w:tc>
      </w:tr>
      <w:tr w14:paraId="513FC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73C838C6">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废水</w:t>
            </w:r>
          </w:p>
        </w:tc>
        <w:tc>
          <w:tcPr>
            <w:tcW w:w="1417" w:type="dxa"/>
            <w:vAlign w:val="center"/>
          </w:tcPr>
          <w:p w14:paraId="388CD21D">
            <w:pPr>
              <w:widowControl/>
              <w:jc w:val="center"/>
              <w:rPr>
                <w:bCs/>
                <w:strike w:val="0"/>
                <w:dstrike w:val="0"/>
                <w:color w:val="auto"/>
                <w:kern w:val="0"/>
                <w:szCs w:val="21"/>
                <w:highlight w:val="none"/>
              </w:rPr>
            </w:pPr>
            <w:r>
              <w:rPr>
                <w:rFonts w:hint="eastAsia"/>
                <w:bCs/>
                <w:strike w:val="0"/>
                <w:dstrike w:val="0"/>
                <w:color w:val="auto"/>
                <w:kern w:val="0"/>
                <w:szCs w:val="21"/>
                <w:highlight w:val="none"/>
                <w:lang w:val="en-US" w:eastAsia="zh-CN"/>
              </w:rPr>
              <w:t>pH</w:t>
            </w:r>
          </w:p>
        </w:tc>
        <w:tc>
          <w:tcPr>
            <w:tcW w:w="1701" w:type="dxa"/>
            <w:vAlign w:val="center"/>
          </w:tcPr>
          <w:p w14:paraId="2029A371">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276" w:type="dxa"/>
            <w:vAlign w:val="center"/>
          </w:tcPr>
          <w:p w14:paraId="7DD8C3A1">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701" w:type="dxa"/>
            <w:vAlign w:val="center"/>
          </w:tcPr>
          <w:p w14:paraId="3C5A5FB9">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559" w:type="dxa"/>
            <w:vAlign w:val="center"/>
          </w:tcPr>
          <w:p w14:paraId="73E1D0EC">
            <w:pPr>
              <w:pStyle w:val="36"/>
              <w:spacing w:beforeLines="0" w:afterLines="0" w:line="240" w:lineRule="auto"/>
              <w:rPr>
                <w:rFonts w:hint="eastAsia" w:eastAsia="微软雅黑"/>
                <w:strike w:val="0"/>
                <w:dstrike w:val="0"/>
                <w:color w:val="auto"/>
                <w:kern w:val="0"/>
                <w:szCs w:val="21"/>
                <w:highlight w:val="none"/>
                <w:lang w:bidi="ar"/>
              </w:rPr>
            </w:pPr>
            <w:r>
              <w:rPr>
                <w:rFonts w:ascii="Times New Roman"/>
                <w:strike w:val="0"/>
                <w:dstrike w:val="0"/>
                <w:snapToGrid w:val="0"/>
                <w:color w:val="auto"/>
                <w:kern w:val="21"/>
                <w:szCs w:val="21"/>
                <w:highlight w:val="none"/>
              </w:rPr>
              <w:t>/</w:t>
            </w:r>
          </w:p>
        </w:tc>
        <w:tc>
          <w:tcPr>
            <w:tcW w:w="1352" w:type="dxa"/>
            <w:vAlign w:val="center"/>
          </w:tcPr>
          <w:p w14:paraId="5FD1A344">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878" w:type="dxa"/>
            <w:vAlign w:val="center"/>
          </w:tcPr>
          <w:p w14:paraId="57688AE5">
            <w:pPr>
              <w:pStyle w:val="36"/>
              <w:spacing w:beforeLines="0" w:afterLines="0" w:line="240" w:lineRule="auto"/>
              <w:rPr>
                <w:rFonts w:hint="eastAsia" w:eastAsia="微软雅黑"/>
                <w:strike w:val="0"/>
                <w:dstrike w:val="0"/>
                <w:color w:val="auto"/>
                <w:kern w:val="0"/>
                <w:szCs w:val="21"/>
                <w:highlight w:val="none"/>
                <w:lang w:bidi="ar"/>
              </w:rPr>
            </w:pPr>
            <w:r>
              <w:rPr>
                <w:rFonts w:ascii="Times New Roman"/>
                <w:strike w:val="0"/>
                <w:dstrike w:val="0"/>
                <w:snapToGrid w:val="0"/>
                <w:color w:val="auto"/>
                <w:kern w:val="21"/>
                <w:szCs w:val="21"/>
                <w:highlight w:val="none"/>
              </w:rPr>
              <w:t>/</w:t>
            </w:r>
          </w:p>
        </w:tc>
        <w:tc>
          <w:tcPr>
            <w:tcW w:w="1316" w:type="dxa"/>
            <w:vAlign w:val="center"/>
          </w:tcPr>
          <w:p w14:paraId="309424AA">
            <w:pPr>
              <w:pStyle w:val="36"/>
              <w:spacing w:beforeLines="0" w:afterLines="0" w:line="240" w:lineRule="auto"/>
              <w:rPr>
                <w:rFonts w:eastAsia="微软雅黑"/>
                <w:strike w:val="0"/>
                <w:dstrike w:val="0"/>
                <w:color w:val="auto"/>
                <w:kern w:val="0"/>
                <w:szCs w:val="21"/>
                <w:highlight w:val="none"/>
                <w:lang w:bidi="ar"/>
              </w:rPr>
            </w:pPr>
            <w:r>
              <w:rPr>
                <w:rFonts w:ascii="Times New Roman"/>
                <w:strike w:val="0"/>
                <w:dstrike w:val="0"/>
                <w:snapToGrid w:val="0"/>
                <w:color w:val="auto"/>
                <w:kern w:val="21"/>
                <w:szCs w:val="21"/>
                <w:highlight w:val="none"/>
              </w:rPr>
              <w:t>/</w:t>
            </w:r>
          </w:p>
        </w:tc>
      </w:tr>
      <w:tr w14:paraId="53122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24876BB2">
            <w:pPr>
              <w:pStyle w:val="36"/>
              <w:spacing w:beforeLines="0" w:afterLines="0" w:line="240" w:lineRule="auto"/>
              <w:rPr>
                <w:rFonts w:ascii="Times New Roman"/>
                <w:strike w:val="0"/>
                <w:dstrike w:val="0"/>
                <w:snapToGrid w:val="0"/>
                <w:color w:val="auto"/>
                <w:kern w:val="21"/>
                <w:szCs w:val="21"/>
                <w:highlight w:val="none"/>
              </w:rPr>
            </w:pPr>
          </w:p>
        </w:tc>
        <w:tc>
          <w:tcPr>
            <w:tcW w:w="1417" w:type="dxa"/>
            <w:shd w:val="clear" w:color="auto" w:fill="auto"/>
            <w:vAlign w:val="center"/>
          </w:tcPr>
          <w:p w14:paraId="6A35522B">
            <w:pPr>
              <w:widowControl/>
              <w:jc w:val="center"/>
              <w:rPr>
                <w:bCs/>
                <w:strike w:val="0"/>
                <w:dstrike w:val="0"/>
                <w:color w:val="auto"/>
                <w:kern w:val="0"/>
                <w:szCs w:val="21"/>
                <w:highlight w:val="none"/>
              </w:rPr>
            </w:pPr>
            <w:r>
              <w:rPr>
                <w:bCs/>
                <w:strike w:val="0"/>
                <w:dstrike w:val="0"/>
                <w:color w:val="auto"/>
                <w:kern w:val="0"/>
                <w:szCs w:val="21"/>
                <w:highlight w:val="none"/>
              </w:rPr>
              <w:t>COD</w:t>
            </w:r>
          </w:p>
        </w:tc>
        <w:tc>
          <w:tcPr>
            <w:tcW w:w="1701" w:type="dxa"/>
            <w:shd w:val="clear" w:color="auto" w:fill="auto"/>
            <w:vAlign w:val="center"/>
          </w:tcPr>
          <w:p w14:paraId="3A381BFB">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276" w:type="dxa"/>
            <w:vAlign w:val="center"/>
          </w:tcPr>
          <w:p w14:paraId="00247565">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701" w:type="dxa"/>
            <w:vAlign w:val="center"/>
          </w:tcPr>
          <w:p w14:paraId="4EB2BC22">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559" w:type="dxa"/>
            <w:shd w:val="clear" w:color="auto" w:fill="auto"/>
            <w:vAlign w:val="center"/>
          </w:tcPr>
          <w:p w14:paraId="63E3F270">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0.0729 </w:t>
            </w:r>
            <w:r>
              <w:rPr>
                <w:strike w:val="0"/>
                <w:dstrike w:val="0"/>
                <w:color w:val="auto"/>
                <w:kern w:val="0"/>
                <w:szCs w:val="21"/>
                <w:highlight w:val="none"/>
                <w:lang w:bidi="ar"/>
              </w:rPr>
              <w:t>t/a</w:t>
            </w:r>
          </w:p>
        </w:tc>
        <w:tc>
          <w:tcPr>
            <w:tcW w:w="1352" w:type="dxa"/>
            <w:vAlign w:val="center"/>
          </w:tcPr>
          <w:p w14:paraId="1620A782">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878" w:type="dxa"/>
            <w:shd w:val="clear" w:color="auto" w:fill="auto"/>
            <w:vAlign w:val="center"/>
          </w:tcPr>
          <w:p w14:paraId="66C0429B">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0.0729 </w:t>
            </w:r>
            <w:r>
              <w:rPr>
                <w:strike w:val="0"/>
                <w:dstrike w:val="0"/>
                <w:color w:val="auto"/>
                <w:kern w:val="0"/>
                <w:szCs w:val="21"/>
                <w:highlight w:val="none"/>
                <w:lang w:bidi="ar"/>
              </w:rPr>
              <w:t>t/a</w:t>
            </w:r>
          </w:p>
        </w:tc>
        <w:tc>
          <w:tcPr>
            <w:tcW w:w="1316" w:type="dxa"/>
            <w:shd w:val="clear" w:color="auto" w:fill="auto"/>
            <w:vAlign w:val="center"/>
          </w:tcPr>
          <w:p w14:paraId="7DACB0F6">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eastAsia" w:ascii="Times New Roman" w:hAnsi="Times New Roman" w:cs="Times New Roman"/>
                <w:i w:val="0"/>
                <w:iCs w:val="0"/>
                <w:strike w:val="0"/>
                <w:dstrike w:val="0"/>
                <w:color w:val="auto"/>
                <w:kern w:val="0"/>
                <w:sz w:val="21"/>
                <w:szCs w:val="21"/>
                <w:highlight w:val="none"/>
                <w:u w:val="none"/>
                <w:lang w:val="en-US" w:eastAsia="zh-CN" w:bidi="ar"/>
              </w:rPr>
              <w:t>+</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0.0729 </w:t>
            </w:r>
            <w:r>
              <w:rPr>
                <w:strike w:val="0"/>
                <w:dstrike w:val="0"/>
                <w:color w:val="auto"/>
                <w:kern w:val="0"/>
                <w:szCs w:val="21"/>
                <w:highlight w:val="none"/>
                <w:lang w:bidi="ar"/>
              </w:rPr>
              <w:t>t/a</w:t>
            </w:r>
          </w:p>
        </w:tc>
      </w:tr>
      <w:tr w14:paraId="23424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75A36064">
            <w:pPr>
              <w:pStyle w:val="36"/>
              <w:spacing w:beforeLines="0" w:afterLines="0" w:line="240" w:lineRule="auto"/>
              <w:rPr>
                <w:rFonts w:ascii="Times New Roman"/>
                <w:strike w:val="0"/>
                <w:dstrike w:val="0"/>
                <w:snapToGrid w:val="0"/>
                <w:color w:val="auto"/>
                <w:kern w:val="21"/>
                <w:szCs w:val="21"/>
                <w:highlight w:val="none"/>
              </w:rPr>
            </w:pPr>
          </w:p>
        </w:tc>
        <w:tc>
          <w:tcPr>
            <w:tcW w:w="1417" w:type="dxa"/>
            <w:shd w:val="clear" w:color="auto" w:fill="auto"/>
            <w:vAlign w:val="center"/>
          </w:tcPr>
          <w:p w14:paraId="45D6C105">
            <w:pPr>
              <w:widowControl/>
              <w:jc w:val="center"/>
              <w:rPr>
                <w:bCs/>
                <w:strike w:val="0"/>
                <w:dstrike w:val="0"/>
                <w:color w:val="auto"/>
                <w:kern w:val="0"/>
                <w:szCs w:val="21"/>
                <w:highlight w:val="none"/>
              </w:rPr>
            </w:pPr>
            <w:r>
              <w:rPr>
                <w:strike w:val="0"/>
                <w:dstrike w:val="0"/>
                <w:color w:val="auto"/>
                <w:szCs w:val="21"/>
                <w:highlight w:val="none"/>
              </w:rPr>
              <w:t>BOD</w:t>
            </w:r>
            <w:r>
              <w:rPr>
                <w:strike w:val="0"/>
                <w:dstrike w:val="0"/>
                <w:color w:val="auto"/>
                <w:szCs w:val="21"/>
                <w:highlight w:val="none"/>
                <w:vertAlign w:val="subscript"/>
              </w:rPr>
              <w:t>5</w:t>
            </w:r>
          </w:p>
        </w:tc>
        <w:tc>
          <w:tcPr>
            <w:tcW w:w="1701" w:type="dxa"/>
            <w:shd w:val="clear" w:color="auto" w:fill="auto"/>
            <w:vAlign w:val="center"/>
          </w:tcPr>
          <w:p w14:paraId="755FB2CF">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276" w:type="dxa"/>
            <w:vAlign w:val="center"/>
          </w:tcPr>
          <w:p w14:paraId="143EBEC4">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701" w:type="dxa"/>
            <w:vAlign w:val="center"/>
          </w:tcPr>
          <w:p w14:paraId="64A96C0A">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559" w:type="dxa"/>
            <w:shd w:val="clear" w:color="auto" w:fill="auto"/>
            <w:vAlign w:val="center"/>
          </w:tcPr>
          <w:p w14:paraId="530FDFC8">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r>
              <w:rPr>
                <w:strike w:val="0"/>
                <w:dstrike w:val="0"/>
                <w:color w:val="auto"/>
                <w:kern w:val="0"/>
                <w:szCs w:val="21"/>
                <w:highlight w:val="none"/>
                <w:lang w:bidi="ar"/>
              </w:rPr>
              <w:t>t/a</w:t>
            </w:r>
          </w:p>
        </w:tc>
        <w:tc>
          <w:tcPr>
            <w:tcW w:w="1352" w:type="dxa"/>
            <w:vAlign w:val="center"/>
          </w:tcPr>
          <w:p w14:paraId="215FBBB3">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878" w:type="dxa"/>
            <w:shd w:val="clear" w:color="auto" w:fill="auto"/>
            <w:vAlign w:val="center"/>
          </w:tcPr>
          <w:p w14:paraId="014A83FD">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r>
              <w:rPr>
                <w:strike w:val="0"/>
                <w:dstrike w:val="0"/>
                <w:color w:val="auto"/>
                <w:kern w:val="0"/>
                <w:szCs w:val="21"/>
                <w:highlight w:val="none"/>
                <w:lang w:bidi="ar"/>
              </w:rPr>
              <w:t>t/a</w:t>
            </w:r>
          </w:p>
        </w:tc>
        <w:tc>
          <w:tcPr>
            <w:tcW w:w="1316" w:type="dxa"/>
            <w:shd w:val="clear" w:color="auto" w:fill="auto"/>
            <w:vAlign w:val="center"/>
          </w:tcPr>
          <w:p w14:paraId="4E12FA94">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eastAsia" w:ascii="Times New Roman" w:hAnsi="Times New Roman" w:cs="Times New Roman"/>
                <w:i w:val="0"/>
                <w:iCs w:val="0"/>
                <w:strike w:val="0"/>
                <w:dstrike w:val="0"/>
                <w:color w:val="auto"/>
                <w:kern w:val="0"/>
                <w:sz w:val="21"/>
                <w:szCs w:val="21"/>
                <w:highlight w:val="none"/>
                <w:u w:val="none"/>
                <w:lang w:val="en-US" w:eastAsia="zh-CN" w:bidi="ar"/>
              </w:rPr>
              <w:t>+</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r>
              <w:rPr>
                <w:strike w:val="0"/>
                <w:dstrike w:val="0"/>
                <w:color w:val="auto"/>
                <w:kern w:val="0"/>
                <w:szCs w:val="21"/>
                <w:highlight w:val="none"/>
                <w:lang w:bidi="ar"/>
              </w:rPr>
              <w:t>t/a</w:t>
            </w:r>
          </w:p>
        </w:tc>
      </w:tr>
      <w:tr w14:paraId="0A76B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55195752">
            <w:pPr>
              <w:pStyle w:val="36"/>
              <w:spacing w:beforeLines="0" w:afterLines="0" w:line="240" w:lineRule="auto"/>
              <w:rPr>
                <w:rFonts w:ascii="Times New Roman"/>
                <w:strike w:val="0"/>
                <w:dstrike w:val="0"/>
                <w:snapToGrid w:val="0"/>
                <w:color w:val="auto"/>
                <w:kern w:val="21"/>
                <w:szCs w:val="21"/>
                <w:highlight w:val="none"/>
              </w:rPr>
            </w:pPr>
          </w:p>
        </w:tc>
        <w:tc>
          <w:tcPr>
            <w:tcW w:w="1417" w:type="dxa"/>
            <w:shd w:val="clear" w:color="auto" w:fill="auto"/>
            <w:vAlign w:val="center"/>
          </w:tcPr>
          <w:p w14:paraId="5E303C8E">
            <w:pPr>
              <w:widowControl/>
              <w:jc w:val="center"/>
              <w:rPr>
                <w:bCs/>
                <w:strike w:val="0"/>
                <w:dstrike w:val="0"/>
                <w:color w:val="auto"/>
                <w:kern w:val="0"/>
                <w:szCs w:val="21"/>
                <w:highlight w:val="none"/>
              </w:rPr>
            </w:pPr>
            <w:r>
              <w:rPr>
                <w:bCs/>
                <w:strike w:val="0"/>
                <w:dstrike w:val="0"/>
                <w:color w:val="auto"/>
                <w:kern w:val="0"/>
                <w:szCs w:val="21"/>
                <w:highlight w:val="none"/>
              </w:rPr>
              <w:t>SS</w:t>
            </w:r>
          </w:p>
        </w:tc>
        <w:tc>
          <w:tcPr>
            <w:tcW w:w="1701" w:type="dxa"/>
            <w:shd w:val="clear" w:color="auto" w:fill="auto"/>
            <w:vAlign w:val="center"/>
          </w:tcPr>
          <w:p w14:paraId="1F5B4D13">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276" w:type="dxa"/>
            <w:vAlign w:val="center"/>
          </w:tcPr>
          <w:p w14:paraId="18670EB5">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701" w:type="dxa"/>
            <w:vAlign w:val="center"/>
          </w:tcPr>
          <w:p w14:paraId="00B9B75B">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559" w:type="dxa"/>
            <w:shd w:val="clear" w:color="auto" w:fill="auto"/>
            <w:vAlign w:val="center"/>
          </w:tcPr>
          <w:p w14:paraId="5C9E0B27">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r>
              <w:rPr>
                <w:strike w:val="0"/>
                <w:dstrike w:val="0"/>
                <w:color w:val="auto"/>
                <w:kern w:val="0"/>
                <w:szCs w:val="21"/>
                <w:highlight w:val="none"/>
                <w:lang w:bidi="ar"/>
              </w:rPr>
              <w:t>t/a</w:t>
            </w:r>
          </w:p>
        </w:tc>
        <w:tc>
          <w:tcPr>
            <w:tcW w:w="1352" w:type="dxa"/>
            <w:vAlign w:val="center"/>
          </w:tcPr>
          <w:p w14:paraId="1770A3D1">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878" w:type="dxa"/>
            <w:shd w:val="clear" w:color="auto" w:fill="auto"/>
            <w:vAlign w:val="center"/>
          </w:tcPr>
          <w:p w14:paraId="13087800">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r>
              <w:rPr>
                <w:strike w:val="0"/>
                <w:dstrike w:val="0"/>
                <w:color w:val="auto"/>
                <w:kern w:val="0"/>
                <w:szCs w:val="21"/>
                <w:highlight w:val="none"/>
                <w:lang w:bidi="ar"/>
              </w:rPr>
              <w:t>t/a</w:t>
            </w:r>
          </w:p>
        </w:tc>
        <w:tc>
          <w:tcPr>
            <w:tcW w:w="1316" w:type="dxa"/>
            <w:shd w:val="clear" w:color="auto" w:fill="auto"/>
            <w:vAlign w:val="center"/>
          </w:tcPr>
          <w:p w14:paraId="0E050090">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eastAsia" w:ascii="Times New Roman" w:hAnsi="Times New Roman" w:cs="Times New Roman"/>
                <w:i w:val="0"/>
                <w:iCs w:val="0"/>
                <w:strike w:val="0"/>
                <w:dstrike w:val="0"/>
                <w:color w:val="auto"/>
                <w:kern w:val="0"/>
                <w:sz w:val="21"/>
                <w:szCs w:val="21"/>
                <w:highlight w:val="none"/>
                <w:u w:val="none"/>
                <w:lang w:val="en-US" w:eastAsia="zh-CN" w:bidi="ar"/>
              </w:rPr>
              <w:t>+</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0.0146 </w:t>
            </w:r>
            <w:r>
              <w:rPr>
                <w:strike w:val="0"/>
                <w:dstrike w:val="0"/>
                <w:color w:val="auto"/>
                <w:kern w:val="0"/>
                <w:szCs w:val="21"/>
                <w:highlight w:val="none"/>
                <w:lang w:bidi="ar"/>
              </w:rPr>
              <w:t>t/a</w:t>
            </w:r>
          </w:p>
        </w:tc>
      </w:tr>
      <w:tr w14:paraId="0C4F6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4A29635B">
            <w:pPr>
              <w:pStyle w:val="36"/>
              <w:spacing w:beforeLines="0" w:afterLines="0" w:line="240" w:lineRule="auto"/>
              <w:rPr>
                <w:rFonts w:ascii="Times New Roman"/>
                <w:strike w:val="0"/>
                <w:dstrike w:val="0"/>
                <w:snapToGrid w:val="0"/>
                <w:color w:val="auto"/>
                <w:kern w:val="21"/>
                <w:szCs w:val="21"/>
                <w:highlight w:val="none"/>
              </w:rPr>
            </w:pPr>
          </w:p>
        </w:tc>
        <w:tc>
          <w:tcPr>
            <w:tcW w:w="1417" w:type="dxa"/>
            <w:shd w:val="clear" w:color="auto" w:fill="auto"/>
            <w:vAlign w:val="center"/>
          </w:tcPr>
          <w:p w14:paraId="1772E43A">
            <w:pPr>
              <w:widowControl/>
              <w:jc w:val="center"/>
              <w:rPr>
                <w:bCs/>
                <w:strike w:val="0"/>
                <w:dstrike w:val="0"/>
                <w:color w:val="auto"/>
                <w:kern w:val="0"/>
                <w:szCs w:val="21"/>
                <w:highlight w:val="none"/>
              </w:rPr>
            </w:pPr>
            <w:r>
              <w:rPr>
                <w:strike w:val="0"/>
                <w:dstrike w:val="0"/>
                <w:color w:val="auto"/>
                <w:szCs w:val="21"/>
                <w:highlight w:val="none"/>
              </w:rPr>
              <w:t>NH</w:t>
            </w:r>
            <w:r>
              <w:rPr>
                <w:strike w:val="0"/>
                <w:dstrike w:val="0"/>
                <w:color w:val="auto"/>
                <w:szCs w:val="21"/>
                <w:highlight w:val="none"/>
                <w:vertAlign w:val="subscript"/>
              </w:rPr>
              <w:t>3</w:t>
            </w:r>
            <w:r>
              <w:rPr>
                <w:strike w:val="0"/>
                <w:dstrike w:val="0"/>
                <w:color w:val="auto"/>
                <w:szCs w:val="21"/>
                <w:highlight w:val="none"/>
              </w:rPr>
              <w:t>-N</w:t>
            </w:r>
          </w:p>
        </w:tc>
        <w:tc>
          <w:tcPr>
            <w:tcW w:w="1701" w:type="dxa"/>
            <w:shd w:val="clear" w:color="auto" w:fill="auto"/>
            <w:vAlign w:val="center"/>
          </w:tcPr>
          <w:p w14:paraId="195801DD">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276" w:type="dxa"/>
            <w:vAlign w:val="center"/>
          </w:tcPr>
          <w:p w14:paraId="1189939F">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701" w:type="dxa"/>
            <w:vAlign w:val="center"/>
          </w:tcPr>
          <w:p w14:paraId="7049F0CE">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559" w:type="dxa"/>
            <w:shd w:val="clear" w:color="auto" w:fill="auto"/>
            <w:vAlign w:val="center"/>
          </w:tcPr>
          <w:p w14:paraId="1C9BFF92">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0.0117 </w:t>
            </w:r>
            <w:r>
              <w:rPr>
                <w:strike w:val="0"/>
                <w:dstrike w:val="0"/>
                <w:color w:val="auto"/>
                <w:kern w:val="0"/>
                <w:szCs w:val="21"/>
                <w:highlight w:val="none"/>
                <w:lang w:bidi="ar"/>
              </w:rPr>
              <w:t>t/a</w:t>
            </w:r>
          </w:p>
        </w:tc>
        <w:tc>
          <w:tcPr>
            <w:tcW w:w="1352" w:type="dxa"/>
            <w:vAlign w:val="center"/>
          </w:tcPr>
          <w:p w14:paraId="1BEC4C95">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878" w:type="dxa"/>
            <w:shd w:val="clear" w:color="auto" w:fill="auto"/>
            <w:vAlign w:val="center"/>
          </w:tcPr>
          <w:p w14:paraId="6710F659">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0.0117 </w:t>
            </w:r>
            <w:r>
              <w:rPr>
                <w:strike w:val="0"/>
                <w:dstrike w:val="0"/>
                <w:color w:val="auto"/>
                <w:kern w:val="0"/>
                <w:szCs w:val="21"/>
                <w:highlight w:val="none"/>
                <w:lang w:bidi="ar"/>
              </w:rPr>
              <w:t>t/a</w:t>
            </w:r>
          </w:p>
        </w:tc>
        <w:tc>
          <w:tcPr>
            <w:tcW w:w="1316" w:type="dxa"/>
            <w:shd w:val="clear" w:color="auto" w:fill="auto"/>
            <w:vAlign w:val="center"/>
          </w:tcPr>
          <w:p w14:paraId="0025A5E5">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eastAsia" w:ascii="Times New Roman" w:hAnsi="Times New Roman" w:cs="Times New Roman"/>
                <w:i w:val="0"/>
                <w:iCs w:val="0"/>
                <w:strike w:val="0"/>
                <w:dstrike w:val="0"/>
                <w:color w:val="auto"/>
                <w:kern w:val="0"/>
                <w:sz w:val="21"/>
                <w:szCs w:val="21"/>
                <w:highlight w:val="none"/>
                <w:u w:val="none"/>
                <w:lang w:val="en-US" w:eastAsia="zh-CN" w:bidi="ar"/>
              </w:rPr>
              <w:t>+</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0.0117 </w:t>
            </w:r>
            <w:r>
              <w:rPr>
                <w:strike w:val="0"/>
                <w:dstrike w:val="0"/>
                <w:color w:val="auto"/>
                <w:kern w:val="0"/>
                <w:szCs w:val="21"/>
                <w:highlight w:val="none"/>
                <w:lang w:bidi="ar"/>
              </w:rPr>
              <w:t>t/a</w:t>
            </w:r>
          </w:p>
        </w:tc>
      </w:tr>
      <w:tr w14:paraId="45ED9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0D740050">
            <w:pPr>
              <w:pStyle w:val="36"/>
              <w:spacing w:beforeLines="0" w:afterLines="0" w:line="240" w:lineRule="auto"/>
              <w:rPr>
                <w:rFonts w:ascii="Times New Roman"/>
                <w:strike w:val="0"/>
                <w:dstrike w:val="0"/>
                <w:snapToGrid w:val="0"/>
                <w:color w:val="auto"/>
                <w:kern w:val="21"/>
                <w:szCs w:val="21"/>
                <w:highlight w:val="none"/>
              </w:rPr>
            </w:pPr>
          </w:p>
        </w:tc>
        <w:tc>
          <w:tcPr>
            <w:tcW w:w="1417" w:type="dxa"/>
            <w:shd w:val="clear" w:color="auto" w:fill="auto"/>
            <w:vAlign w:val="center"/>
          </w:tcPr>
          <w:p w14:paraId="433A8E7D">
            <w:pPr>
              <w:jc w:val="center"/>
              <w:rPr>
                <w:strike w:val="0"/>
                <w:dstrike w:val="0"/>
                <w:color w:val="auto"/>
                <w:szCs w:val="21"/>
                <w:highlight w:val="none"/>
              </w:rPr>
            </w:pPr>
            <w:r>
              <w:rPr>
                <w:strike w:val="0"/>
                <w:dstrike w:val="0"/>
                <w:color w:val="auto"/>
                <w:szCs w:val="21"/>
                <w:highlight w:val="none"/>
              </w:rPr>
              <w:t>石油类</w:t>
            </w:r>
          </w:p>
        </w:tc>
        <w:tc>
          <w:tcPr>
            <w:tcW w:w="1701" w:type="dxa"/>
            <w:shd w:val="clear" w:color="auto" w:fill="auto"/>
            <w:vAlign w:val="center"/>
          </w:tcPr>
          <w:p w14:paraId="53E6B36F">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276" w:type="dxa"/>
            <w:vAlign w:val="center"/>
          </w:tcPr>
          <w:p w14:paraId="31E9E8DD">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701" w:type="dxa"/>
            <w:vAlign w:val="center"/>
          </w:tcPr>
          <w:p w14:paraId="0CFED621">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559" w:type="dxa"/>
            <w:shd w:val="clear" w:color="auto" w:fill="auto"/>
            <w:vAlign w:val="center"/>
          </w:tcPr>
          <w:p w14:paraId="0C9F1CAD">
            <w:pPr>
              <w:keepNext w:val="0"/>
              <w:keepLines w:val="0"/>
              <w:widowControl/>
              <w:suppressLineNumbers w:val="0"/>
              <w:jc w:val="center"/>
              <w:textAlignment w:val="center"/>
              <w:rPr>
                <w:rFonts w:ascii="Times New Roman" w:hAnsi="Times New Roman" w:eastAsia="宋体" w:cs="Times New Roman"/>
                <w:bCs/>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0.0015 </w:t>
            </w:r>
            <w:r>
              <w:rPr>
                <w:strike w:val="0"/>
                <w:dstrike w:val="0"/>
                <w:color w:val="auto"/>
                <w:kern w:val="0"/>
                <w:szCs w:val="21"/>
                <w:highlight w:val="none"/>
                <w:lang w:bidi="ar"/>
              </w:rPr>
              <w:t>t/a</w:t>
            </w:r>
          </w:p>
        </w:tc>
        <w:tc>
          <w:tcPr>
            <w:tcW w:w="1352" w:type="dxa"/>
            <w:vAlign w:val="center"/>
          </w:tcPr>
          <w:p w14:paraId="29243A47">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878" w:type="dxa"/>
            <w:shd w:val="clear" w:color="auto" w:fill="auto"/>
            <w:vAlign w:val="center"/>
          </w:tcPr>
          <w:p w14:paraId="7DFF66BA">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0.0015 </w:t>
            </w:r>
            <w:r>
              <w:rPr>
                <w:strike w:val="0"/>
                <w:dstrike w:val="0"/>
                <w:color w:val="auto"/>
                <w:kern w:val="0"/>
                <w:szCs w:val="21"/>
                <w:highlight w:val="none"/>
                <w:lang w:bidi="ar"/>
              </w:rPr>
              <w:t>t/a</w:t>
            </w:r>
          </w:p>
        </w:tc>
        <w:tc>
          <w:tcPr>
            <w:tcW w:w="1316" w:type="dxa"/>
            <w:shd w:val="clear" w:color="auto" w:fill="auto"/>
            <w:vAlign w:val="center"/>
          </w:tcPr>
          <w:p w14:paraId="33E5975D">
            <w:pPr>
              <w:keepNext w:val="0"/>
              <w:keepLines w:val="0"/>
              <w:widowControl/>
              <w:suppressLineNumbers w:val="0"/>
              <w:jc w:val="center"/>
              <w:textAlignment w:val="center"/>
              <w:rPr>
                <w:rFonts w:ascii="Times New Roman" w:hAnsi="Times New Roman" w:eastAsia="宋体" w:cs="Times New Roman"/>
                <w:strike w:val="0"/>
                <w:dstrike w:val="0"/>
                <w:color w:val="auto"/>
                <w:kern w:val="0"/>
                <w:sz w:val="21"/>
                <w:szCs w:val="21"/>
                <w:highlight w:val="none"/>
                <w:lang w:val="en-US" w:eastAsia="zh-CN" w:bidi="ar"/>
              </w:rPr>
            </w:pPr>
            <w:r>
              <w:rPr>
                <w:rFonts w:hint="eastAsia" w:ascii="Times New Roman" w:hAnsi="Times New Roman" w:cs="Times New Roman"/>
                <w:i w:val="0"/>
                <w:iCs w:val="0"/>
                <w:strike w:val="0"/>
                <w:dstrike w:val="0"/>
                <w:color w:val="auto"/>
                <w:kern w:val="0"/>
                <w:sz w:val="21"/>
                <w:szCs w:val="21"/>
                <w:highlight w:val="none"/>
                <w:u w:val="none"/>
                <w:lang w:val="en-US" w:eastAsia="zh-CN" w:bidi="ar"/>
              </w:rPr>
              <w:t>+</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 xml:space="preserve">0.0015 </w:t>
            </w:r>
            <w:r>
              <w:rPr>
                <w:strike w:val="0"/>
                <w:dstrike w:val="0"/>
                <w:color w:val="auto"/>
                <w:kern w:val="0"/>
                <w:szCs w:val="21"/>
                <w:highlight w:val="none"/>
                <w:lang w:bidi="ar"/>
              </w:rPr>
              <w:t>t/a</w:t>
            </w:r>
          </w:p>
        </w:tc>
      </w:tr>
      <w:tr w14:paraId="3C76C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588" w:type="dxa"/>
            <w:vMerge w:val="restart"/>
            <w:vAlign w:val="center"/>
          </w:tcPr>
          <w:p w14:paraId="653CAB86">
            <w:pPr>
              <w:pStyle w:val="68"/>
              <w:spacing w:line="240" w:lineRule="auto"/>
              <w:jc w:val="center"/>
              <w:rPr>
                <w:rFonts w:ascii="Times New Roman" w:eastAsia="宋体"/>
                <w:strike w:val="0"/>
                <w:dstrike w:val="0"/>
                <w:color w:val="auto"/>
                <w:sz w:val="21"/>
                <w:szCs w:val="21"/>
                <w:highlight w:val="none"/>
              </w:rPr>
            </w:pPr>
            <w:r>
              <w:rPr>
                <w:rFonts w:ascii="Times New Roman" w:eastAsia="宋体"/>
                <w:strike w:val="0"/>
                <w:dstrike w:val="0"/>
                <w:color w:val="auto"/>
                <w:sz w:val="21"/>
                <w:szCs w:val="21"/>
                <w:highlight w:val="none"/>
              </w:rPr>
              <w:t>一般工业</w:t>
            </w:r>
          </w:p>
          <w:p w14:paraId="3E7AB99D">
            <w:pPr>
              <w:pStyle w:val="68"/>
              <w:spacing w:line="240" w:lineRule="auto"/>
              <w:jc w:val="center"/>
              <w:rPr>
                <w:rFonts w:ascii="Times New Roman" w:eastAsia="宋体"/>
                <w:strike w:val="0"/>
                <w:dstrike w:val="0"/>
                <w:color w:val="auto"/>
                <w:sz w:val="21"/>
                <w:szCs w:val="21"/>
                <w:highlight w:val="none"/>
              </w:rPr>
            </w:pPr>
            <w:r>
              <w:rPr>
                <w:rFonts w:ascii="Times New Roman" w:eastAsia="宋体"/>
                <w:strike w:val="0"/>
                <w:dstrike w:val="0"/>
                <w:color w:val="auto"/>
                <w:sz w:val="21"/>
                <w:szCs w:val="21"/>
                <w:highlight w:val="none"/>
              </w:rPr>
              <w:t>固体废物</w:t>
            </w:r>
          </w:p>
        </w:tc>
        <w:tc>
          <w:tcPr>
            <w:tcW w:w="1417" w:type="dxa"/>
            <w:shd w:val="clear" w:color="auto" w:fill="auto"/>
            <w:vAlign w:val="center"/>
          </w:tcPr>
          <w:p w14:paraId="565FB23C">
            <w:pPr>
              <w:widowControl/>
              <w:jc w:val="center"/>
              <w:rPr>
                <w:strike w:val="0"/>
                <w:dstrike w:val="0"/>
                <w:color w:val="auto"/>
                <w:kern w:val="0"/>
                <w:szCs w:val="21"/>
                <w:highlight w:val="none"/>
              </w:rPr>
            </w:pPr>
            <w:r>
              <w:rPr>
                <w:strike w:val="0"/>
                <w:dstrike w:val="0"/>
                <w:color w:val="auto"/>
                <w:szCs w:val="21"/>
                <w:highlight w:val="none"/>
              </w:rPr>
              <w:t>过滤</w:t>
            </w:r>
            <w:r>
              <w:rPr>
                <w:strike w:val="0"/>
                <w:dstrike w:val="0"/>
                <w:color w:val="auto"/>
                <w:kern w:val="0"/>
                <w:szCs w:val="21"/>
                <w:highlight w:val="none"/>
              </w:rPr>
              <w:t>杂质</w:t>
            </w:r>
          </w:p>
        </w:tc>
        <w:tc>
          <w:tcPr>
            <w:tcW w:w="1701" w:type="dxa"/>
            <w:vAlign w:val="center"/>
          </w:tcPr>
          <w:p w14:paraId="555A5139">
            <w:pPr>
              <w:widowControl/>
              <w:jc w:val="center"/>
              <w:textAlignment w:val="center"/>
              <w:rPr>
                <w:strike w:val="0"/>
                <w:dstrike w:val="0"/>
                <w:color w:val="auto"/>
                <w:szCs w:val="21"/>
                <w:highlight w:val="none"/>
              </w:rPr>
            </w:pPr>
            <w:r>
              <w:rPr>
                <w:strike w:val="0"/>
                <w:dstrike w:val="0"/>
                <w:color w:val="auto"/>
                <w:szCs w:val="21"/>
                <w:highlight w:val="none"/>
              </w:rPr>
              <w:t>/</w:t>
            </w:r>
          </w:p>
        </w:tc>
        <w:tc>
          <w:tcPr>
            <w:tcW w:w="1276" w:type="dxa"/>
            <w:vAlign w:val="center"/>
          </w:tcPr>
          <w:p w14:paraId="62B02279">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vAlign w:val="center"/>
          </w:tcPr>
          <w:p w14:paraId="284FE6F9">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46E73ED7">
            <w:pPr>
              <w:adjustRightInd w:val="0"/>
              <w:snapToGrid w:val="0"/>
              <w:jc w:val="center"/>
              <w:rPr>
                <w:strike w:val="0"/>
                <w:dstrike w:val="0"/>
                <w:color w:val="auto"/>
                <w:szCs w:val="21"/>
                <w:highlight w:val="none"/>
              </w:rPr>
            </w:pPr>
            <w:r>
              <w:rPr>
                <w:strike w:val="0"/>
                <w:dstrike w:val="0"/>
                <w:color w:val="auto"/>
                <w:szCs w:val="21"/>
                <w:highlight w:val="none"/>
              </w:rPr>
              <w:t>0.001</w:t>
            </w:r>
            <w:r>
              <w:rPr>
                <w:strike w:val="0"/>
                <w:dstrike w:val="0"/>
                <w:color w:val="auto"/>
                <w:kern w:val="0"/>
                <w:szCs w:val="21"/>
                <w:highlight w:val="none"/>
                <w:lang w:bidi="ar"/>
              </w:rPr>
              <w:t>t/a</w:t>
            </w:r>
          </w:p>
        </w:tc>
        <w:tc>
          <w:tcPr>
            <w:tcW w:w="1352" w:type="dxa"/>
            <w:vAlign w:val="center"/>
          </w:tcPr>
          <w:p w14:paraId="36B316AA">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69D0C03B">
            <w:pPr>
              <w:adjustRightInd w:val="0"/>
              <w:snapToGrid w:val="0"/>
              <w:jc w:val="center"/>
              <w:rPr>
                <w:strike w:val="0"/>
                <w:dstrike w:val="0"/>
                <w:color w:val="auto"/>
                <w:szCs w:val="21"/>
                <w:highlight w:val="none"/>
              </w:rPr>
            </w:pPr>
            <w:r>
              <w:rPr>
                <w:strike w:val="0"/>
                <w:dstrike w:val="0"/>
                <w:color w:val="auto"/>
                <w:szCs w:val="21"/>
                <w:highlight w:val="none"/>
              </w:rPr>
              <w:t>0.001</w:t>
            </w:r>
            <w:r>
              <w:rPr>
                <w:strike w:val="0"/>
                <w:dstrike w:val="0"/>
                <w:color w:val="auto"/>
                <w:kern w:val="0"/>
                <w:szCs w:val="21"/>
                <w:highlight w:val="none"/>
                <w:lang w:bidi="ar"/>
              </w:rPr>
              <w:t>t/a</w:t>
            </w:r>
          </w:p>
        </w:tc>
        <w:tc>
          <w:tcPr>
            <w:tcW w:w="1316" w:type="dxa"/>
            <w:shd w:val="clear" w:color="auto" w:fill="auto"/>
            <w:vAlign w:val="center"/>
          </w:tcPr>
          <w:p w14:paraId="32D15481">
            <w:pPr>
              <w:adjustRightInd w:val="0"/>
              <w:snapToGrid w:val="0"/>
              <w:jc w:val="center"/>
              <w:rPr>
                <w:strike w:val="0"/>
                <w:dstrike w:val="0"/>
                <w:color w:val="auto"/>
                <w:szCs w:val="21"/>
                <w:highlight w:val="none"/>
              </w:rPr>
            </w:pPr>
            <w:r>
              <w:rPr>
                <w:strike w:val="0"/>
                <w:dstrike w:val="0"/>
                <w:color w:val="auto"/>
                <w:kern w:val="0"/>
                <w:szCs w:val="21"/>
                <w:highlight w:val="none"/>
                <w:lang w:bidi="ar"/>
              </w:rPr>
              <w:t>+</w:t>
            </w:r>
            <w:r>
              <w:rPr>
                <w:strike w:val="0"/>
                <w:dstrike w:val="0"/>
                <w:color w:val="auto"/>
                <w:szCs w:val="21"/>
                <w:highlight w:val="none"/>
              </w:rPr>
              <w:t>0.001</w:t>
            </w:r>
            <w:r>
              <w:rPr>
                <w:strike w:val="0"/>
                <w:dstrike w:val="0"/>
                <w:color w:val="auto"/>
                <w:kern w:val="0"/>
                <w:szCs w:val="21"/>
                <w:highlight w:val="none"/>
                <w:lang w:bidi="ar"/>
              </w:rPr>
              <w:t>t/a</w:t>
            </w:r>
          </w:p>
        </w:tc>
      </w:tr>
      <w:tr w14:paraId="48323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588" w:type="dxa"/>
            <w:vMerge w:val="continue"/>
            <w:vAlign w:val="center"/>
          </w:tcPr>
          <w:p w14:paraId="38BFB7DE">
            <w:pPr>
              <w:pStyle w:val="68"/>
              <w:spacing w:line="240" w:lineRule="auto"/>
              <w:jc w:val="center"/>
              <w:rPr>
                <w:rFonts w:ascii="Times New Roman" w:eastAsia="宋体"/>
                <w:strike w:val="0"/>
                <w:dstrike w:val="0"/>
                <w:color w:val="auto"/>
                <w:sz w:val="21"/>
                <w:szCs w:val="21"/>
                <w:highlight w:val="none"/>
              </w:rPr>
            </w:pPr>
          </w:p>
        </w:tc>
        <w:tc>
          <w:tcPr>
            <w:tcW w:w="1417" w:type="dxa"/>
            <w:shd w:val="clear" w:color="auto" w:fill="auto"/>
            <w:vAlign w:val="center"/>
          </w:tcPr>
          <w:p w14:paraId="0A7B2B62">
            <w:pPr>
              <w:widowControl/>
              <w:jc w:val="center"/>
              <w:rPr>
                <w:strike w:val="0"/>
                <w:dstrike w:val="0"/>
                <w:color w:val="auto"/>
                <w:kern w:val="0"/>
                <w:szCs w:val="21"/>
                <w:highlight w:val="none"/>
              </w:rPr>
            </w:pPr>
            <w:r>
              <w:rPr>
                <w:rStyle w:val="29"/>
                <w:strike w:val="0"/>
                <w:dstrike w:val="0"/>
                <w:color w:val="auto"/>
                <w:kern w:val="0"/>
                <w:szCs w:val="21"/>
                <w:highlight w:val="none"/>
              </w:rPr>
              <w:t>生化池污泥</w:t>
            </w:r>
          </w:p>
        </w:tc>
        <w:tc>
          <w:tcPr>
            <w:tcW w:w="1701" w:type="dxa"/>
            <w:vAlign w:val="center"/>
          </w:tcPr>
          <w:p w14:paraId="5EC9F7B1">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276" w:type="dxa"/>
            <w:vAlign w:val="center"/>
          </w:tcPr>
          <w:p w14:paraId="22984481">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701" w:type="dxa"/>
            <w:vAlign w:val="center"/>
          </w:tcPr>
          <w:p w14:paraId="44AE2A54">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559" w:type="dxa"/>
            <w:shd w:val="clear" w:color="auto" w:fill="auto"/>
            <w:vAlign w:val="center"/>
          </w:tcPr>
          <w:p w14:paraId="4D127684">
            <w:pPr>
              <w:adjustRightInd w:val="0"/>
              <w:snapToGrid w:val="0"/>
              <w:jc w:val="center"/>
              <w:rPr>
                <w:strike w:val="0"/>
                <w:dstrike w:val="0"/>
                <w:color w:val="auto"/>
                <w:szCs w:val="21"/>
                <w:highlight w:val="none"/>
              </w:rPr>
            </w:pPr>
            <w:r>
              <w:rPr>
                <w:strike w:val="0"/>
                <w:dstrike w:val="0"/>
                <w:color w:val="auto"/>
                <w:szCs w:val="21"/>
                <w:highlight w:val="none"/>
              </w:rPr>
              <w:t>0.50</w:t>
            </w:r>
            <w:r>
              <w:rPr>
                <w:strike w:val="0"/>
                <w:dstrike w:val="0"/>
                <w:color w:val="auto"/>
                <w:kern w:val="0"/>
                <w:szCs w:val="21"/>
                <w:highlight w:val="none"/>
                <w:lang w:bidi="ar"/>
              </w:rPr>
              <w:t>t/a</w:t>
            </w:r>
          </w:p>
        </w:tc>
        <w:tc>
          <w:tcPr>
            <w:tcW w:w="1352" w:type="dxa"/>
            <w:vAlign w:val="center"/>
          </w:tcPr>
          <w:p w14:paraId="517FB4D1">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878" w:type="dxa"/>
            <w:shd w:val="clear" w:color="auto" w:fill="auto"/>
            <w:vAlign w:val="center"/>
          </w:tcPr>
          <w:p w14:paraId="6F4B9328">
            <w:pPr>
              <w:adjustRightInd w:val="0"/>
              <w:snapToGrid w:val="0"/>
              <w:jc w:val="center"/>
              <w:rPr>
                <w:strike w:val="0"/>
                <w:dstrike w:val="0"/>
                <w:color w:val="auto"/>
                <w:szCs w:val="21"/>
                <w:highlight w:val="none"/>
              </w:rPr>
            </w:pPr>
            <w:r>
              <w:rPr>
                <w:strike w:val="0"/>
                <w:dstrike w:val="0"/>
                <w:color w:val="auto"/>
                <w:szCs w:val="21"/>
                <w:highlight w:val="none"/>
              </w:rPr>
              <w:t>0.50</w:t>
            </w:r>
            <w:r>
              <w:rPr>
                <w:strike w:val="0"/>
                <w:dstrike w:val="0"/>
                <w:color w:val="auto"/>
                <w:kern w:val="0"/>
                <w:szCs w:val="21"/>
                <w:highlight w:val="none"/>
                <w:lang w:bidi="ar"/>
              </w:rPr>
              <w:t>t/a</w:t>
            </w:r>
          </w:p>
        </w:tc>
        <w:tc>
          <w:tcPr>
            <w:tcW w:w="1316" w:type="dxa"/>
            <w:shd w:val="clear" w:color="auto" w:fill="auto"/>
            <w:vAlign w:val="center"/>
          </w:tcPr>
          <w:p w14:paraId="36B6937E">
            <w:pPr>
              <w:adjustRightInd w:val="0"/>
              <w:snapToGrid w:val="0"/>
              <w:jc w:val="center"/>
              <w:rPr>
                <w:strike w:val="0"/>
                <w:dstrike w:val="0"/>
                <w:color w:val="auto"/>
                <w:szCs w:val="21"/>
                <w:highlight w:val="none"/>
              </w:rPr>
            </w:pPr>
            <w:r>
              <w:rPr>
                <w:strike w:val="0"/>
                <w:dstrike w:val="0"/>
                <w:color w:val="auto"/>
                <w:kern w:val="0"/>
                <w:szCs w:val="21"/>
                <w:highlight w:val="none"/>
                <w:lang w:bidi="ar"/>
              </w:rPr>
              <w:t>+</w:t>
            </w:r>
            <w:r>
              <w:rPr>
                <w:strike w:val="0"/>
                <w:dstrike w:val="0"/>
                <w:color w:val="auto"/>
                <w:szCs w:val="21"/>
                <w:highlight w:val="none"/>
              </w:rPr>
              <w:t>0.50</w:t>
            </w:r>
            <w:r>
              <w:rPr>
                <w:strike w:val="0"/>
                <w:dstrike w:val="0"/>
                <w:color w:val="auto"/>
                <w:kern w:val="0"/>
                <w:szCs w:val="21"/>
                <w:highlight w:val="none"/>
                <w:lang w:bidi="ar"/>
              </w:rPr>
              <w:t>t/a</w:t>
            </w:r>
          </w:p>
        </w:tc>
      </w:tr>
      <w:tr w14:paraId="3DD49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0B242AF0">
            <w:pPr>
              <w:pStyle w:val="68"/>
              <w:spacing w:line="240" w:lineRule="auto"/>
              <w:jc w:val="center"/>
              <w:rPr>
                <w:rFonts w:ascii="Times New Roman" w:eastAsia="宋体"/>
                <w:strike w:val="0"/>
                <w:dstrike w:val="0"/>
                <w:color w:val="auto"/>
                <w:sz w:val="21"/>
                <w:szCs w:val="21"/>
                <w:highlight w:val="none"/>
              </w:rPr>
            </w:pPr>
            <w:r>
              <w:rPr>
                <w:rFonts w:ascii="Times New Roman" w:eastAsia="宋体"/>
                <w:strike w:val="0"/>
                <w:dstrike w:val="0"/>
                <w:color w:val="auto"/>
                <w:sz w:val="21"/>
                <w:szCs w:val="21"/>
                <w:highlight w:val="none"/>
              </w:rPr>
              <w:t>危险废物</w:t>
            </w:r>
          </w:p>
        </w:tc>
        <w:tc>
          <w:tcPr>
            <w:tcW w:w="1417" w:type="dxa"/>
            <w:shd w:val="clear" w:color="auto" w:fill="auto"/>
            <w:vAlign w:val="center"/>
          </w:tcPr>
          <w:p w14:paraId="1C36CB87">
            <w:pPr>
              <w:widowControl/>
              <w:jc w:val="center"/>
              <w:rPr>
                <w:strike w:val="0"/>
                <w:dstrike w:val="0"/>
                <w:color w:val="auto"/>
                <w:kern w:val="0"/>
                <w:szCs w:val="21"/>
                <w:highlight w:val="none"/>
              </w:rPr>
            </w:pPr>
            <w:r>
              <w:rPr>
                <w:strike w:val="0"/>
                <w:dstrike w:val="0"/>
                <w:color w:val="auto"/>
                <w:szCs w:val="21"/>
                <w:highlight w:val="none"/>
              </w:rPr>
              <w:t>清罐废物</w:t>
            </w:r>
          </w:p>
        </w:tc>
        <w:tc>
          <w:tcPr>
            <w:tcW w:w="1701" w:type="dxa"/>
            <w:vAlign w:val="center"/>
          </w:tcPr>
          <w:p w14:paraId="312D0D96">
            <w:pPr>
              <w:widowControl/>
              <w:jc w:val="center"/>
              <w:textAlignment w:val="center"/>
              <w:rPr>
                <w:strike w:val="0"/>
                <w:dstrike w:val="0"/>
                <w:color w:val="auto"/>
                <w:szCs w:val="21"/>
                <w:highlight w:val="none"/>
              </w:rPr>
            </w:pPr>
            <w:r>
              <w:rPr>
                <w:strike w:val="0"/>
                <w:dstrike w:val="0"/>
                <w:color w:val="auto"/>
                <w:szCs w:val="21"/>
                <w:highlight w:val="none"/>
              </w:rPr>
              <w:t>/</w:t>
            </w:r>
          </w:p>
        </w:tc>
        <w:tc>
          <w:tcPr>
            <w:tcW w:w="1276" w:type="dxa"/>
            <w:vAlign w:val="center"/>
          </w:tcPr>
          <w:p w14:paraId="69F821EA">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vAlign w:val="center"/>
          </w:tcPr>
          <w:p w14:paraId="361B7B3E">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150CB409">
            <w:pPr>
              <w:adjustRightInd w:val="0"/>
              <w:snapToGrid w:val="0"/>
              <w:jc w:val="center"/>
              <w:rPr>
                <w:strike w:val="0"/>
                <w:dstrike w:val="0"/>
                <w:color w:val="auto"/>
                <w:szCs w:val="21"/>
                <w:highlight w:val="none"/>
              </w:rPr>
            </w:pPr>
            <w:r>
              <w:rPr>
                <w:strike w:val="0"/>
                <w:dstrike w:val="0"/>
                <w:color w:val="auto"/>
                <w:szCs w:val="21"/>
                <w:highlight w:val="none"/>
              </w:rPr>
              <w:t>0.4</w:t>
            </w:r>
            <w:r>
              <w:rPr>
                <w:strike w:val="0"/>
                <w:dstrike w:val="0"/>
                <w:color w:val="auto"/>
                <w:kern w:val="0"/>
                <w:szCs w:val="21"/>
                <w:highlight w:val="none"/>
                <w:lang w:bidi="ar"/>
              </w:rPr>
              <w:t>t/a</w:t>
            </w:r>
          </w:p>
        </w:tc>
        <w:tc>
          <w:tcPr>
            <w:tcW w:w="1352" w:type="dxa"/>
            <w:vAlign w:val="center"/>
          </w:tcPr>
          <w:p w14:paraId="66ACD3A8">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41F1B7E3">
            <w:pPr>
              <w:adjustRightInd w:val="0"/>
              <w:snapToGrid w:val="0"/>
              <w:jc w:val="center"/>
              <w:rPr>
                <w:strike w:val="0"/>
                <w:dstrike w:val="0"/>
                <w:color w:val="auto"/>
                <w:szCs w:val="21"/>
                <w:highlight w:val="none"/>
              </w:rPr>
            </w:pPr>
            <w:r>
              <w:rPr>
                <w:strike w:val="0"/>
                <w:dstrike w:val="0"/>
                <w:color w:val="auto"/>
                <w:szCs w:val="21"/>
                <w:highlight w:val="none"/>
              </w:rPr>
              <w:t>0.4</w:t>
            </w:r>
            <w:r>
              <w:rPr>
                <w:strike w:val="0"/>
                <w:dstrike w:val="0"/>
                <w:color w:val="auto"/>
                <w:kern w:val="0"/>
                <w:szCs w:val="21"/>
                <w:highlight w:val="none"/>
                <w:lang w:bidi="ar"/>
              </w:rPr>
              <w:t>t/a</w:t>
            </w:r>
          </w:p>
        </w:tc>
        <w:tc>
          <w:tcPr>
            <w:tcW w:w="1316" w:type="dxa"/>
            <w:shd w:val="clear" w:color="auto" w:fill="auto"/>
            <w:vAlign w:val="center"/>
          </w:tcPr>
          <w:p w14:paraId="53BCD0B0">
            <w:pPr>
              <w:adjustRightInd w:val="0"/>
              <w:snapToGrid w:val="0"/>
              <w:jc w:val="center"/>
              <w:rPr>
                <w:strike w:val="0"/>
                <w:dstrike w:val="0"/>
                <w:color w:val="auto"/>
                <w:szCs w:val="21"/>
                <w:highlight w:val="none"/>
              </w:rPr>
            </w:pPr>
            <w:r>
              <w:rPr>
                <w:strike w:val="0"/>
                <w:dstrike w:val="0"/>
                <w:color w:val="auto"/>
                <w:kern w:val="0"/>
                <w:szCs w:val="21"/>
                <w:highlight w:val="none"/>
                <w:lang w:bidi="ar"/>
              </w:rPr>
              <w:t>+</w:t>
            </w:r>
            <w:r>
              <w:rPr>
                <w:strike w:val="0"/>
                <w:dstrike w:val="0"/>
                <w:color w:val="auto"/>
                <w:szCs w:val="21"/>
                <w:highlight w:val="none"/>
              </w:rPr>
              <w:t>0.4</w:t>
            </w:r>
            <w:r>
              <w:rPr>
                <w:strike w:val="0"/>
                <w:dstrike w:val="0"/>
                <w:color w:val="auto"/>
                <w:kern w:val="0"/>
                <w:szCs w:val="21"/>
                <w:highlight w:val="none"/>
                <w:lang w:bidi="ar"/>
              </w:rPr>
              <w:t>t/a</w:t>
            </w:r>
          </w:p>
        </w:tc>
      </w:tr>
      <w:tr w14:paraId="0A3AE1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779C447">
            <w:pPr>
              <w:pStyle w:val="68"/>
              <w:spacing w:line="240" w:lineRule="auto"/>
              <w:jc w:val="center"/>
              <w:rPr>
                <w:rFonts w:ascii="Times New Roman" w:eastAsia="宋体"/>
                <w:strike w:val="0"/>
                <w:dstrike w:val="0"/>
                <w:color w:val="auto"/>
                <w:sz w:val="21"/>
                <w:szCs w:val="21"/>
                <w:highlight w:val="none"/>
              </w:rPr>
            </w:pPr>
          </w:p>
        </w:tc>
        <w:tc>
          <w:tcPr>
            <w:tcW w:w="1417" w:type="dxa"/>
            <w:shd w:val="clear" w:color="auto" w:fill="auto"/>
            <w:vAlign w:val="center"/>
          </w:tcPr>
          <w:p w14:paraId="0BAE8B77">
            <w:pPr>
              <w:widowControl/>
              <w:jc w:val="center"/>
              <w:rPr>
                <w:strike w:val="0"/>
                <w:dstrike w:val="0"/>
                <w:color w:val="auto"/>
                <w:szCs w:val="21"/>
                <w:highlight w:val="none"/>
              </w:rPr>
            </w:pPr>
            <w:r>
              <w:rPr>
                <w:strike w:val="0"/>
                <w:dstrike w:val="0"/>
                <w:color w:val="auto"/>
                <w:szCs w:val="21"/>
                <w:highlight w:val="none"/>
              </w:rPr>
              <w:t>检修废物</w:t>
            </w:r>
          </w:p>
        </w:tc>
        <w:tc>
          <w:tcPr>
            <w:tcW w:w="1701" w:type="dxa"/>
            <w:vAlign w:val="center"/>
          </w:tcPr>
          <w:p w14:paraId="0D295F13">
            <w:pPr>
              <w:widowControl/>
              <w:jc w:val="center"/>
              <w:textAlignment w:val="center"/>
              <w:rPr>
                <w:strike w:val="0"/>
                <w:dstrike w:val="0"/>
                <w:color w:val="auto"/>
                <w:szCs w:val="21"/>
                <w:highlight w:val="none"/>
              </w:rPr>
            </w:pPr>
            <w:r>
              <w:rPr>
                <w:strike w:val="0"/>
                <w:dstrike w:val="0"/>
                <w:color w:val="auto"/>
                <w:szCs w:val="21"/>
                <w:highlight w:val="none"/>
              </w:rPr>
              <w:t>/</w:t>
            </w:r>
          </w:p>
        </w:tc>
        <w:tc>
          <w:tcPr>
            <w:tcW w:w="1276" w:type="dxa"/>
            <w:vAlign w:val="center"/>
          </w:tcPr>
          <w:p w14:paraId="78654DC4">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vAlign w:val="center"/>
          </w:tcPr>
          <w:p w14:paraId="457444F5">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34CCD096">
            <w:pPr>
              <w:adjustRightInd w:val="0"/>
              <w:snapToGrid w:val="0"/>
              <w:jc w:val="center"/>
              <w:rPr>
                <w:strike w:val="0"/>
                <w:dstrike w:val="0"/>
                <w:color w:val="auto"/>
                <w:szCs w:val="21"/>
                <w:highlight w:val="none"/>
              </w:rPr>
            </w:pPr>
            <w:r>
              <w:rPr>
                <w:strike w:val="0"/>
                <w:dstrike w:val="0"/>
                <w:color w:val="auto"/>
                <w:szCs w:val="21"/>
                <w:highlight w:val="none"/>
              </w:rPr>
              <w:t>0.2</w:t>
            </w:r>
            <w:r>
              <w:rPr>
                <w:strike w:val="0"/>
                <w:dstrike w:val="0"/>
                <w:color w:val="auto"/>
                <w:kern w:val="0"/>
                <w:szCs w:val="21"/>
                <w:highlight w:val="none"/>
                <w:lang w:bidi="ar"/>
              </w:rPr>
              <w:t>t/a</w:t>
            </w:r>
          </w:p>
        </w:tc>
        <w:tc>
          <w:tcPr>
            <w:tcW w:w="1352" w:type="dxa"/>
            <w:vAlign w:val="center"/>
          </w:tcPr>
          <w:p w14:paraId="18169771">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7E8CE709">
            <w:pPr>
              <w:adjustRightInd w:val="0"/>
              <w:snapToGrid w:val="0"/>
              <w:jc w:val="center"/>
              <w:rPr>
                <w:strike w:val="0"/>
                <w:dstrike w:val="0"/>
                <w:color w:val="auto"/>
                <w:szCs w:val="21"/>
                <w:highlight w:val="none"/>
              </w:rPr>
            </w:pPr>
            <w:r>
              <w:rPr>
                <w:strike w:val="0"/>
                <w:dstrike w:val="0"/>
                <w:color w:val="auto"/>
                <w:szCs w:val="21"/>
                <w:highlight w:val="none"/>
              </w:rPr>
              <w:t>0.2</w:t>
            </w:r>
            <w:r>
              <w:rPr>
                <w:strike w:val="0"/>
                <w:dstrike w:val="0"/>
                <w:color w:val="auto"/>
                <w:kern w:val="0"/>
                <w:szCs w:val="21"/>
                <w:highlight w:val="none"/>
                <w:lang w:bidi="ar"/>
              </w:rPr>
              <w:t>t/a</w:t>
            </w:r>
          </w:p>
        </w:tc>
        <w:tc>
          <w:tcPr>
            <w:tcW w:w="1316" w:type="dxa"/>
            <w:shd w:val="clear" w:color="auto" w:fill="auto"/>
            <w:vAlign w:val="center"/>
          </w:tcPr>
          <w:p w14:paraId="7ECDDB17">
            <w:pPr>
              <w:adjustRightInd w:val="0"/>
              <w:snapToGrid w:val="0"/>
              <w:jc w:val="center"/>
              <w:rPr>
                <w:strike w:val="0"/>
                <w:dstrike w:val="0"/>
                <w:color w:val="auto"/>
                <w:szCs w:val="21"/>
                <w:highlight w:val="none"/>
              </w:rPr>
            </w:pPr>
            <w:r>
              <w:rPr>
                <w:strike w:val="0"/>
                <w:dstrike w:val="0"/>
                <w:color w:val="auto"/>
                <w:kern w:val="0"/>
                <w:szCs w:val="21"/>
                <w:highlight w:val="none"/>
                <w:lang w:bidi="ar"/>
              </w:rPr>
              <w:t>+</w:t>
            </w:r>
            <w:r>
              <w:rPr>
                <w:strike w:val="0"/>
                <w:dstrike w:val="0"/>
                <w:color w:val="auto"/>
                <w:szCs w:val="21"/>
                <w:highlight w:val="none"/>
              </w:rPr>
              <w:t>0.2</w:t>
            </w:r>
            <w:r>
              <w:rPr>
                <w:strike w:val="0"/>
                <w:dstrike w:val="0"/>
                <w:color w:val="auto"/>
                <w:kern w:val="0"/>
                <w:szCs w:val="21"/>
                <w:highlight w:val="none"/>
                <w:lang w:bidi="ar"/>
              </w:rPr>
              <w:t>t/a</w:t>
            </w:r>
          </w:p>
        </w:tc>
      </w:tr>
      <w:tr w14:paraId="5E954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E855B05">
            <w:pPr>
              <w:pStyle w:val="68"/>
              <w:spacing w:line="240" w:lineRule="auto"/>
              <w:jc w:val="center"/>
              <w:rPr>
                <w:rFonts w:ascii="Times New Roman" w:eastAsia="宋体"/>
                <w:strike w:val="0"/>
                <w:dstrike w:val="0"/>
                <w:color w:val="auto"/>
                <w:sz w:val="21"/>
                <w:szCs w:val="21"/>
                <w:highlight w:val="none"/>
              </w:rPr>
            </w:pPr>
          </w:p>
        </w:tc>
        <w:tc>
          <w:tcPr>
            <w:tcW w:w="1417" w:type="dxa"/>
            <w:shd w:val="clear" w:color="auto" w:fill="auto"/>
            <w:vAlign w:val="center"/>
          </w:tcPr>
          <w:p w14:paraId="5ECF0868">
            <w:pPr>
              <w:widowControl/>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szCs w:val="21"/>
                <w:highlight w:val="none"/>
              </w:rPr>
              <w:t>废旧滤芯</w:t>
            </w:r>
          </w:p>
        </w:tc>
        <w:tc>
          <w:tcPr>
            <w:tcW w:w="1701" w:type="dxa"/>
            <w:shd w:val="clear" w:color="auto" w:fill="auto"/>
            <w:vAlign w:val="center"/>
          </w:tcPr>
          <w:p w14:paraId="6FFFFD5A">
            <w:pPr>
              <w:widowControl/>
              <w:jc w:val="center"/>
              <w:textAlignment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w:t>
            </w:r>
          </w:p>
        </w:tc>
        <w:tc>
          <w:tcPr>
            <w:tcW w:w="1276" w:type="dxa"/>
            <w:shd w:val="clear" w:color="auto" w:fill="auto"/>
            <w:vAlign w:val="center"/>
          </w:tcPr>
          <w:p w14:paraId="38FC11FF">
            <w:pPr>
              <w:widowControl/>
              <w:jc w:val="center"/>
              <w:textAlignment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w:t>
            </w:r>
          </w:p>
        </w:tc>
        <w:tc>
          <w:tcPr>
            <w:tcW w:w="1701" w:type="dxa"/>
            <w:shd w:val="clear" w:color="auto" w:fill="auto"/>
            <w:vAlign w:val="center"/>
          </w:tcPr>
          <w:p w14:paraId="6C4828E8">
            <w:pPr>
              <w:widowControl/>
              <w:jc w:val="center"/>
              <w:textAlignment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w:t>
            </w:r>
          </w:p>
        </w:tc>
        <w:tc>
          <w:tcPr>
            <w:tcW w:w="1559" w:type="dxa"/>
            <w:shd w:val="clear" w:color="auto" w:fill="auto"/>
            <w:vAlign w:val="center"/>
          </w:tcPr>
          <w:p w14:paraId="7C85AB4D">
            <w:pPr>
              <w:adjustRightInd w:val="0"/>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0.005</w:t>
            </w:r>
            <w:r>
              <w:rPr>
                <w:strike w:val="0"/>
                <w:dstrike w:val="0"/>
                <w:color w:val="auto"/>
                <w:kern w:val="0"/>
                <w:szCs w:val="21"/>
                <w:highlight w:val="none"/>
                <w:lang w:bidi="ar"/>
              </w:rPr>
              <w:t>t/a</w:t>
            </w:r>
          </w:p>
        </w:tc>
        <w:tc>
          <w:tcPr>
            <w:tcW w:w="1352" w:type="dxa"/>
            <w:shd w:val="clear" w:color="auto" w:fill="auto"/>
            <w:vAlign w:val="center"/>
          </w:tcPr>
          <w:p w14:paraId="0DB269A7">
            <w:pPr>
              <w:widowControl/>
              <w:jc w:val="center"/>
              <w:textAlignment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w:t>
            </w:r>
          </w:p>
        </w:tc>
        <w:tc>
          <w:tcPr>
            <w:tcW w:w="1878" w:type="dxa"/>
            <w:shd w:val="clear" w:color="auto" w:fill="auto"/>
            <w:vAlign w:val="center"/>
          </w:tcPr>
          <w:p w14:paraId="07F44B93">
            <w:pPr>
              <w:adjustRightInd w:val="0"/>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0.005</w:t>
            </w:r>
            <w:r>
              <w:rPr>
                <w:strike w:val="0"/>
                <w:dstrike w:val="0"/>
                <w:color w:val="auto"/>
                <w:kern w:val="0"/>
                <w:szCs w:val="21"/>
                <w:highlight w:val="none"/>
                <w:lang w:bidi="ar"/>
              </w:rPr>
              <w:t>t/a</w:t>
            </w:r>
          </w:p>
        </w:tc>
        <w:tc>
          <w:tcPr>
            <w:tcW w:w="1316" w:type="dxa"/>
            <w:shd w:val="clear" w:color="auto" w:fill="auto"/>
            <w:vAlign w:val="center"/>
          </w:tcPr>
          <w:p w14:paraId="6D239776">
            <w:pPr>
              <w:adjustRightInd w:val="0"/>
              <w:snapToGrid w:val="0"/>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lang w:bidi="ar"/>
              </w:rPr>
              <w:t>+</w:t>
            </w:r>
            <w:r>
              <w:rPr>
                <w:strike w:val="0"/>
                <w:dstrike w:val="0"/>
                <w:color w:val="auto"/>
                <w:szCs w:val="21"/>
                <w:highlight w:val="none"/>
              </w:rPr>
              <w:t>0.005</w:t>
            </w:r>
            <w:r>
              <w:rPr>
                <w:strike w:val="0"/>
                <w:dstrike w:val="0"/>
                <w:color w:val="auto"/>
                <w:kern w:val="0"/>
                <w:szCs w:val="21"/>
                <w:highlight w:val="none"/>
                <w:lang w:bidi="ar"/>
              </w:rPr>
              <w:t>t/a</w:t>
            </w:r>
          </w:p>
        </w:tc>
      </w:tr>
      <w:tr w14:paraId="24247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430FE440">
            <w:pPr>
              <w:pStyle w:val="68"/>
              <w:spacing w:line="240" w:lineRule="auto"/>
              <w:jc w:val="center"/>
              <w:rPr>
                <w:rFonts w:ascii="Times New Roman" w:eastAsia="宋体"/>
                <w:strike w:val="0"/>
                <w:dstrike w:val="0"/>
                <w:color w:val="auto"/>
                <w:sz w:val="21"/>
                <w:szCs w:val="21"/>
                <w:highlight w:val="none"/>
              </w:rPr>
            </w:pPr>
          </w:p>
        </w:tc>
        <w:tc>
          <w:tcPr>
            <w:tcW w:w="1417" w:type="dxa"/>
            <w:shd w:val="clear" w:color="auto" w:fill="auto"/>
            <w:vAlign w:val="center"/>
          </w:tcPr>
          <w:p w14:paraId="09C26A3C">
            <w:pPr>
              <w:widowControl/>
              <w:jc w:val="center"/>
              <w:rPr>
                <w:strike w:val="0"/>
                <w:dstrike w:val="0"/>
                <w:color w:val="auto"/>
                <w:kern w:val="0"/>
                <w:szCs w:val="21"/>
                <w:highlight w:val="none"/>
              </w:rPr>
            </w:pPr>
            <w:r>
              <w:rPr>
                <w:strike w:val="0"/>
                <w:dstrike w:val="0"/>
                <w:color w:val="auto"/>
                <w:kern w:val="0"/>
                <w:szCs w:val="21"/>
                <w:highlight w:val="none"/>
              </w:rPr>
              <w:t>空压机</w:t>
            </w:r>
            <w:r>
              <w:rPr>
                <w:rFonts w:hint="eastAsia"/>
                <w:strike w:val="0"/>
                <w:dstrike w:val="0"/>
                <w:color w:val="auto"/>
                <w:kern w:val="0"/>
                <w:szCs w:val="21"/>
                <w:highlight w:val="none"/>
              </w:rPr>
              <w:t>油/水混合物（空压机）</w:t>
            </w:r>
          </w:p>
        </w:tc>
        <w:tc>
          <w:tcPr>
            <w:tcW w:w="1701" w:type="dxa"/>
            <w:vAlign w:val="center"/>
          </w:tcPr>
          <w:p w14:paraId="33119CD5">
            <w:pPr>
              <w:widowControl/>
              <w:jc w:val="center"/>
              <w:textAlignment w:val="center"/>
              <w:rPr>
                <w:strike w:val="0"/>
                <w:dstrike w:val="0"/>
                <w:color w:val="auto"/>
                <w:szCs w:val="21"/>
                <w:highlight w:val="none"/>
              </w:rPr>
            </w:pPr>
            <w:r>
              <w:rPr>
                <w:strike w:val="0"/>
                <w:dstrike w:val="0"/>
                <w:color w:val="auto"/>
                <w:szCs w:val="21"/>
                <w:highlight w:val="none"/>
              </w:rPr>
              <w:t>/</w:t>
            </w:r>
          </w:p>
        </w:tc>
        <w:tc>
          <w:tcPr>
            <w:tcW w:w="1276" w:type="dxa"/>
            <w:vAlign w:val="center"/>
          </w:tcPr>
          <w:p w14:paraId="296C647A">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vAlign w:val="center"/>
          </w:tcPr>
          <w:p w14:paraId="2BB562F1">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4717CE07">
            <w:pPr>
              <w:adjustRightInd w:val="0"/>
              <w:snapToGrid w:val="0"/>
              <w:jc w:val="center"/>
              <w:rPr>
                <w:strike w:val="0"/>
                <w:dstrike w:val="0"/>
                <w:color w:val="auto"/>
                <w:szCs w:val="21"/>
                <w:highlight w:val="none"/>
              </w:rPr>
            </w:pPr>
            <w:r>
              <w:rPr>
                <w:strike w:val="0"/>
                <w:dstrike w:val="0"/>
                <w:color w:val="auto"/>
                <w:szCs w:val="21"/>
                <w:highlight w:val="none"/>
              </w:rPr>
              <w:t>0.3</w:t>
            </w:r>
            <w:r>
              <w:rPr>
                <w:strike w:val="0"/>
                <w:dstrike w:val="0"/>
                <w:color w:val="auto"/>
                <w:kern w:val="0"/>
                <w:szCs w:val="21"/>
                <w:highlight w:val="none"/>
                <w:lang w:bidi="ar"/>
              </w:rPr>
              <w:t>t/a</w:t>
            </w:r>
          </w:p>
        </w:tc>
        <w:tc>
          <w:tcPr>
            <w:tcW w:w="1352" w:type="dxa"/>
            <w:vAlign w:val="center"/>
          </w:tcPr>
          <w:p w14:paraId="7B2ED52B">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4B88D689">
            <w:pPr>
              <w:adjustRightInd w:val="0"/>
              <w:snapToGrid w:val="0"/>
              <w:jc w:val="center"/>
              <w:rPr>
                <w:strike w:val="0"/>
                <w:dstrike w:val="0"/>
                <w:color w:val="auto"/>
                <w:szCs w:val="21"/>
                <w:highlight w:val="none"/>
              </w:rPr>
            </w:pPr>
            <w:r>
              <w:rPr>
                <w:strike w:val="0"/>
                <w:dstrike w:val="0"/>
                <w:color w:val="auto"/>
                <w:szCs w:val="21"/>
                <w:highlight w:val="none"/>
              </w:rPr>
              <w:t>0.3</w:t>
            </w:r>
            <w:r>
              <w:rPr>
                <w:strike w:val="0"/>
                <w:dstrike w:val="0"/>
                <w:color w:val="auto"/>
                <w:kern w:val="0"/>
                <w:szCs w:val="21"/>
                <w:highlight w:val="none"/>
                <w:lang w:bidi="ar"/>
              </w:rPr>
              <w:t>t/a</w:t>
            </w:r>
          </w:p>
        </w:tc>
        <w:tc>
          <w:tcPr>
            <w:tcW w:w="1316" w:type="dxa"/>
            <w:shd w:val="clear" w:color="auto" w:fill="auto"/>
            <w:vAlign w:val="center"/>
          </w:tcPr>
          <w:p w14:paraId="094346BC">
            <w:pPr>
              <w:adjustRightInd w:val="0"/>
              <w:snapToGrid w:val="0"/>
              <w:jc w:val="center"/>
              <w:rPr>
                <w:strike w:val="0"/>
                <w:dstrike w:val="0"/>
                <w:color w:val="auto"/>
                <w:szCs w:val="21"/>
                <w:highlight w:val="none"/>
              </w:rPr>
            </w:pPr>
            <w:r>
              <w:rPr>
                <w:strike w:val="0"/>
                <w:dstrike w:val="0"/>
                <w:color w:val="auto"/>
                <w:kern w:val="0"/>
                <w:szCs w:val="21"/>
                <w:highlight w:val="none"/>
                <w:lang w:bidi="ar"/>
              </w:rPr>
              <w:t>+</w:t>
            </w:r>
            <w:r>
              <w:rPr>
                <w:strike w:val="0"/>
                <w:dstrike w:val="0"/>
                <w:color w:val="auto"/>
                <w:szCs w:val="21"/>
                <w:highlight w:val="none"/>
              </w:rPr>
              <w:t>0.3</w:t>
            </w:r>
            <w:r>
              <w:rPr>
                <w:strike w:val="0"/>
                <w:dstrike w:val="0"/>
                <w:color w:val="auto"/>
                <w:kern w:val="0"/>
                <w:szCs w:val="21"/>
                <w:highlight w:val="none"/>
                <w:lang w:bidi="ar"/>
              </w:rPr>
              <w:t>t/a</w:t>
            </w:r>
          </w:p>
        </w:tc>
      </w:tr>
      <w:tr w14:paraId="453E8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0C83D5D0">
            <w:pPr>
              <w:pStyle w:val="68"/>
              <w:spacing w:line="240" w:lineRule="auto"/>
              <w:jc w:val="center"/>
              <w:rPr>
                <w:rFonts w:ascii="Times New Roman" w:eastAsia="宋体"/>
                <w:strike w:val="0"/>
                <w:dstrike w:val="0"/>
                <w:color w:val="auto"/>
                <w:sz w:val="21"/>
                <w:szCs w:val="21"/>
                <w:highlight w:val="none"/>
              </w:rPr>
            </w:pPr>
          </w:p>
        </w:tc>
        <w:tc>
          <w:tcPr>
            <w:tcW w:w="1417" w:type="dxa"/>
            <w:shd w:val="clear" w:color="auto" w:fill="auto"/>
            <w:vAlign w:val="center"/>
          </w:tcPr>
          <w:p w14:paraId="7E6AF479">
            <w:pPr>
              <w:widowControl/>
              <w:jc w:val="center"/>
              <w:rPr>
                <w:strike w:val="0"/>
                <w:dstrike w:val="0"/>
                <w:color w:val="auto"/>
                <w:kern w:val="0"/>
                <w:szCs w:val="21"/>
                <w:highlight w:val="none"/>
              </w:rPr>
            </w:pPr>
            <w:r>
              <w:rPr>
                <w:strike w:val="0"/>
                <w:dstrike w:val="0"/>
                <w:color w:val="auto"/>
                <w:kern w:val="0"/>
                <w:szCs w:val="21"/>
                <w:highlight w:val="none"/>
              </w:rPr>
              <w:t>废空压机油</w:t>
            </w:r>
          </w:p>
        </w:tc>
        <w:tc>
          <w:tcPr>
            <w:tcW w:w="1701" w:type="dxa"/>
            <w:vAlign w:val="center"/>
          </w:tcPr>
          <w:p w14:paraId="6348B040">
            <w:pPr>
              <w:widowControl/>
              <w:jc w:val="center"/>
              <w:textAlignment w:val="center"/>
              <w:rPr>
                <w:strike w:val="0"/>
                <w:dstrike w:val="0"/>
                <w:color w:val="auto"/>
                <w:szCs w:val="21"/>
                <w:highlight w:val="none"/>
              </w:rPr>
            </w:pPr>
            <w:r>
              <w:rPr>
                <w:strike w:val="0"/>
                <w:dstrike w:val="0"/>
                <w:color w:val="auto"/>
                <w:szCs w:val="21"/>
                <w:highlight w:val="none"/>
              </w:rPr>
              <w:t>/</w:t>
            </w:r>
          </w:p>
        </w:tc>
        <w:tc>
          <w:tcPr>
            <w:tcW w:w="1276" w:type="dxa"/>
            <w:vAlign w:val="center"/>
          </w:tcPr>
          <w:p w14:paraId="64CF27AD">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vAlign w:val="center"/>
          </w:tcPr>
          <w:p w14:paraId="6525E708">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134B4837">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0.08</w:t>
            </w:r>
            <w:r>
              <w:rPr>
                <w:strike w:val="0"/>
                <w:dstrike w:val="0"/>
                <w:color w:val="auto"/>
                <w:kern w:val="0"/>
                <w:szCs w:val="21"/>
                <w:highlight w:val="none"/>
                <w:lang w:bidi="ar"/>
              </w:rPr>
              <w:t>t/a</w:t>
            </w:r>
          </w:p>
        </w:tc>
        <w:tc>
          <w:tcPr>
            <w:tcW w:w="1352" w:type="dxa"/>
            <w:vAlign w:val="center"/>
          </w:tcPr>
          <w:p w14:paraId="70B44562">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42E4BD22">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0.08</w:t>
            </w:r>
            <w:r>
              <w:rPr>
                <w:strike w:val="0"/>
                <w:dstrike w:val="0"/>
                <w:color w:val="auto"/>
                <w:kern w:val="0"/>
                <w:szCs w:val="21"/>
                <w:highlight w:val="none"/>
                <w:lang w:bidi="ar"/>
              </w:rPr>
              <w:t>t/a</w:t>
            </w:r>
          </w:p>
        </w:tc>
        <w:tc>
          <w:tcPr>
            <w:tcW w:w="1316" w:type="dxa"/>
            <w:shd w:val="clear" w:color="auto" w:fill="auto"/>
            <w:vAlign w:val="center"/>
          </w:tcPr>
          <w:p w14:paraId="2B7B3CFD">
            <w:pPr>
              <w:adjustRightInd w:val="0"/>
              <w:snapToGrid w:val="0"/>
              <w:jc w:val="center"/>
              <w:rPr>
                <w:bCs/>
                <w:strike w:val="0"/>
                <w:dstrike w:val="0"/>
                <w:color w:val="auto"/>
                <w:spacing w:val="-10"/>
                <w:szCs w:val="21"/>
                <w:highlight w:val="none"/>
              </w:rPr>
            </w:pPr>
            <w:r>
              <w:rPr>
                <w:strike w:val="0"/>
                <w:dstrike w:val="0"/>
                <w:color w:val="auto"/>
                <w:kern w:val="0"/>
                <w:szCs w:val="21"/>
                <w:highlight w:val="none"/>
                <w:lang w:bidi="ar"/>
              </w:rPr>
              <w:t>+</w:t>
            </w:r>
            <w:r>
              <w:rPr>
                <w:bCs/>
                <w:strike w:val="0"/>
                <w:dstrike w:val="0"/>
                <w:color w:val="auto"/>
                <w:spacing w:val="-10"/>
                <w:szCs w:val="21"/>
                <w:highlight w:val="none"/>
              </w:rPr>
              <w:t>0.08</w:t>
            </w:r>
            <w:r>
              <w:rPr>
                <w:strike w:val="0"/>
                <w:dstrike w:val="0"/>
                <w:color w:val="auto"/>
                <w:kern w:val="0"/>
                <w:szCs w:val="21"/>
                <w:highlight w:val="none"/>
                <w:lang w:bidi="ar"/>
              </w:rPr>
              <w:t>t/a</w:t>
            </w:r>
          </w:p>
        </w:tc>
      </w:tr>
      <w:tr w14:paraId="4F3EE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8AFCBA5">
            <w:pPr>
              <w:pStyle w:val="68"/>
              <w:spacing w:line="240" w:lineRule="auto"/>
              <w:jc w:val="center"/>
              <w:rPr>
                <w:rFonts w:ascii="Times New Roman" w:eastAsia="宋体"/>
                <w:strike w:val="0"/>
                <w:dstrike w:val="0"/>
                <w:color w:val="auto"/>
                <w:sz w:val="21"/>
                <w:szCs w:val="21"/>
                <w:highlight w:val="none"/>
              </w:rPr>
            </w:pPr>
          </w:p>
        </w:tc>
        <w:tc>
          <w:tcPr>
            <w:tcW w:w="1417" w:type="dxa"/>
            <w:shd w:val="clear" w:color="auto" w:fill="auto"/>
            <w:vAlign w:val="center"/>
          </w:tcPr>
          <w:p w14:paraId="5A6AF849">
            <w:pPr>
              <w:widowControl/>
              <w:jc w:val="center"/>
              <w:rPr>
                <w:strike w:val="0"/>
                <w:dstrike w:val="0"/>
                <w:color w:val="auto"/>
                <w:kern w:val="0"/>
                <w:szCs w:val="21"/>
                <w:highlight w:val="none"/>
              </w:rPr>
            </w:pPr>
            <w:r>
              <w:rPr>
                <w:rFonts w:hint="eastAsia"/>
                <w:strike w:val="0"/>
                <w:dstrike w:val="0"/>
                <w:color w:val="auto"/>
                <w:kern w:val="0"/>
                <w:szCs w:val="21"/>
                <w:highlight w:val="none"/>
              </w:rPr>
              <w:t>废油桶</w:t>
            </w:r>
          </w:p>
        </w:tc>
        <w:tc>
          <w:tcPr>
            <w:tcW w:w="1701" w:type="dxa"/>
            <w:shd w:val="clear" w:color="auto" w:fill="auto"/>
            <w:vAlign w:val="center"/>
          </w:tcPr>
          <w:p w14:paraId="4E56FB2A">
            <w:pPr>
              <w:widowControl/>
              <w:jc w:val="center"/>
              <w:textAlignment w:val="center"/>
              <w:rPr>
                <w:strike w:val="0"/>
                <w:dstrike w:val="0"/>
                <w:color w:val="auto"/>
                <w:szCs w:val="21"/>
                <w:highlight w:val="none"/>
              </w:rPr>
            </w:pPr>
            <w:r>
              <w:rPr>
                <w:strike w:val="0"/>
                <w:dstrike w:val="0"/>
                <w:color w:val="auto"/>
                <w:szCs w:val="21"/>
                <w:highlight w:val="none"/>
              </w:rPr>
              <w:t>/</w:t>
            </w:r>
          </w:p>
        </w:tc>
        <w:tc>
          <w:tcPr>
            <w:tcW w:w="1276" w:type="dxa"/>
            <w:shd w:val="clear" w:color="auto" w:fill="auto"/>
            <w:vAlign w:val="center"/>
          </w:tcPr>
          <w:p w14:paraId="249D59B8">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shd w:val="clear" w:color="auto" w:fill="auto"/>
            <w:vAlign w:val="center"/>
          </w:tcPr>
          <w:p w14:paraId="7414B328">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2E1B0E72">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0.0</w:t>
            </w:r>
            <w:r>
              <w:rPr>
                <w:rFonts w:hint="eastAsia"/>
                <w:bCs/>
                <w:strike w:val="0"/>
                <w:dstrike w:val="0"/>
                <w:color w:val="auto"/>
                <w:spacing w:val="-10"/>
                <w:szCs w:val="21"/>
                <w:highlight w:val="none"/>
              </w:rPr>
              <w:t>02</w:t>
            </w:r>
            <w:r>
              <w:rPr>
                <w:strike w:val="0"/>
                <w:dstrike w:val="0"/>
                <w:color w:val="auto"/>
                <w:kern w:val="0"/>
                <w:szCs w:val="21"/>
                <w:highlight w:val="none"/>
                <w:lang w:bidi="ar"/>
              </w:rPr>
              <w:t>t/a</w:t>
            </w:r>
          </w:p>
        </w:tc>
        <w:tc>
          <w:tcPr>
            <w:tcW w:w="1352" w:type="dxa"/>
            <w:shd w:val="clear" w:color="auto" w:fill="auto"/>
            <w:vAlign w:val="center"/>
          </w:tcPr>
          <w:p w14:paraId="03B8338E">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0A3A6F37">
            <w:pPr>
              <w:adjustRightInd w:val="0"/>
              <w:snapToGrid w:val="0"/>
              <w:jc w:val="center"/>
              <w:rPr>
                <w:bCs/>
                <w:strike w:val="0"/>
                <w:dstrike w:val="0"/>
                <w:color w:val="auto"/>
                <w:spacing w:val="-10"/>
                <w:szCs w:val="21"/>
                <w:highlight w:val="none"/>
              </w:rPr>
            </w:pPr>
            <w:r>
              <w:rPr>
                <w:bCs/>
                <w:strike w:val="0"/>
                <w:dstrike w:val="0"/>
                <w:color w:val="auto"/>
                <w:spacing w:val="-10"/>
                <w:szCs w:val="21"/>
                <w:highlight w:val="none"/>
              </w:rPr>
              <w:t>0.0</w:t>
            </w:r>
            <w:r>
              <w:rPr>
                <w:rFonts w:hint="eastAsia"/>
                <w:bCs/>
                <w:strike w:val="0"/>
                <w:dstrike w:val="0"/>
                <w:color w:val="auto"/>
                <w:spacing w:val="-10"/>
                <w:szCs w:val="21"/>
                <w:highlight w:val="none"/>
              </w:rPr>
              <w:t>02</w:t>
            </w:r>
            <w:r>
              <w:rPr>
                <w:strike w:val="0"/>
                <w:dstrike w:val="0"/>
                <w:color w:val="auto"/>
                <w:kern w:val="0"/>
                <w:szCs w:val="21"/>
                <w:highlight w:val="none"/>
                <w:lang w:bidi="ar"/>
              </w:rPr>
              <w:t>t/a</w:t>
            </w:r>
          </w:p>
        </w:tc>
        <w:tc>
          <w:tcPr>
            <w:tcW w:w="1316" w:type="dxa"/>
            <w:shd w:val="clear" w:color="auto" w:fill="auto"/>
            <w:vAlign w:val="center"/>
          </w:tcPr>
          <w:p w14:paraId="73F38924">
            <w:pPr>
              <w:adjustRightInd w:val="0"/>
              <w:snapToGrid w:val="0"/>
              <w:jc w:val="center"/>
              <w:rPr>
                <w:bCs/>
                <w:strike w:val="0"/>
                <w:dstrike w:val="0"/>
                <w:color w:val="auto"/>
                <w:spacing w:val="-10"/>
                <w:szCs w:val="21"/>
                <w:highlight w:val="none"/>
              </w:rPr>
            </w:pPr>
            <w:r>
              <w:rPr>
                <w:rFonts w:hint="eastAsia"/>
                <w:bCs/>
                <w:strike w:val="0"/>
                <w:dstrike w:val="0"/>
                <w:color w:val="auto"/>
                <w:spacing w:val="-10"/>
                <w:szCs w:val="21"/>
                <w:highlight w:val="none"/>
              </w:rPr>
              <w:t>+</w:t>
            </w:r>
            <w:r>
              <w:rPr>
                <w:bCs/>
                <w:strike w:val="0"/>
                <w:dstrike w:val="0"/>
                <w:color w:val="auto"/>
                <w:spacing w:val="-10"/>
                <w:szCs w:val="21"/>
                <w:highlight w:val="none"/>
              </w:rPr>
              <w:t>0.0</w:t>
            </w:r>
            <w:r>
              <w:rPr>
                <w:rFonts w:hint="eastAsia"/>
                <w:bCs/>
                <w:strike w:val="0"/>
                <w:dstrike w:val="0"/>
                <w:color w:val="auto"/>
                <w:spacing w:val="-10"/>
                <w:szCs w:val="21"/>
                <w:highlight w:val="none"/>
              </w:rPr>
              <w:t>02</w:t>
            </w:r>
            <w:r>
              <w:rPr>
                <w:strike w:val="0"/>
                <w:dstrike w:val="0"/>
                <w:color w:val="auto"/>
                <w:kern w:val="0"/>
                <w:szCs w:val="21"/>
                <w:highlight w:val="none"/>
                <w:lang w:bidi="ar"/>
              </w:rPr>
              <w:t>t/a</w:t>
            </w:r>
          </w:p>
        </w:tc>
      </w:tr>
      <w:tr w14:paraId="50B0D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587B7271">
            <w:pPr>
              <w:pStyle w:val="68"/>
              <w:spacing w:line="240" w:lineRule="auto"/>
              <w:jc w:val="center"/>
              <w:rPr>
                <w:rFonts w:ascii="Times New Roman" w:eastAsia="宋体"/>
                <w:strike w:val="0"/>
                <w:dstrike w:val="0"/>
                <w:color w:val="auto"/>
                <w:sz w:val="21"/>
                <w:szCs w:val="21"/>
                <w:highlight w:val="none"/>
              </w:rPr>
            </w:pPr>
          </w:p>
        </w:tc>
        <w:tc>
          <w:tcPr>
            <w:tcW w:w="1417" w:type="dxa"/>
            <w:shd w:val="clear" w:color="auto" w:fill="auto"/>
            <w:vAlign w:val="center"/>
          </w:tcPr>
          <w:p w14:paraId="557F2468">
            <w:pPr>
              <w:widowControl/>
              <w:jc w:val="center"/>
              <w:rPr>
                <w:strike w:val="0"/>
                <w:dstrike w:val="0"/>
                <w:color w:val="auto"/>
                <w:kern w:val="0"/>
                <w:szCs w:val="21"/>
                <w:highlight w:val="none"/>
              </w:rPr>
            </w:pPr>
            <w:r>
              <w:rPr>
                <w:strike w:val="0"/>
                <w:dstrike w:val="0"/>
                <w:color w:val="auto"/>
                <w:kern w:val="0"/>
                <w:szCs w:val="21"/>
                <w:highlight w:val="none"/>
              </w:rPr>
              <w:t>含油污泥</w:t>
            </w:r>
          </w:p>
        </w:tc>
        <w:tc>
          <w:tcPr>
            <w:tcW w:w="1701" w:type="dxa"/>
            <w:vAlign w:val="center"/>
          </w:tcPr>
          <w:p w14:paraId="65E556CC">
            <w:pPr>
              <w:pStyle w:val="36"/>
              <w:spacing w:beforeLines="0" w:afterLines="0" w:line="240" w:lineRule="auto"/>
              <w:rPr>
                <w:rFonts w:ascii="Times New Roman"/>
                <w:strike w:val="0"/>
                <w:dstrike w:val="0"/>
                <w:snapToGrid w:val="0"/>
                <w:color w:val="auto"/>
                <w:kern w:val="21"/>
                <w:szCs w:val="21"/>
                <w:highlight w:val="none"/>
              </w:rPr>
            </w:pPr>
            <w:r>
              <w:rPr>
                <w:rFonts w:ascii="Times New Roman"/>
                <w:strike w:val="0"/>
                <w:dstrike w:val="0"/>
                <w:snapToGrid w:val="0"/>
                <w:color w:val="auto"/>
                <w:kern w:val="21"/>
                <w:szCs w:val="21"/>
                <w:highlight w:val="none"/>
              </w:rPr>
              <w:t>/</w:t>
            </w:r>
          </w:p>
        </w:tc>
        <w:tc>
          <w:tcPr>
            <w:tcW w:w="1276" w:type="dxa"/>
            <w:vAlign w:val="center"/>
          </w:tcPr>
          <w:p w14:paraId="6626CD75">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vAlign w:val="center"/>
          </w:tcPr>
          <w:p w14:paraId="2172E06B">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2883B233">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0.05</w:t>
            </w:r>
            <w:r>
              <w:rPr>
                <w:rFonts w:ascii="Times New Roman" w:hAnsi="Times New Roman"/>
                <w:strike w:val="0"/>
                <w:dstrike w:val="0"/>
                <w:color w:val="auto"/>
                <w:kern w:val="0"/>
                <w:sz w:val="21"/>
                <w:highlight w:val="none"/>
                <w:lang w:bidi="ar"/>
              </w:rPr>
              <w:t>t/a</w:t>
            </w:r>
          </w:p>
        </w:tc>
        <w:tc>
          <w:tcPr>
            <w:tcW w:w="1352" w:type="dxa"/>
            <w:vAlign w:val="center"/>
          </w:tcPr>
          <w:p w14:paraId="7EE0D47E">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19144252">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0.05</w:t>
            </w:r>
            <w:r>
              <w:rPr>
                <w:rFonts w:ascii="Times New Roman" w:hAnsi="Times New Roman"/>
                <w:strike w:val="0"/>
                <w:dstrike w:val="0"/>
                <w:color w:val="auto"/>
                <w:kern w:val="0"/>
                <w:sz w:val="21"/>
                <w:highlight w:val="none"/>
                <w:lang w:bidi="ar"/>
              </w:rPr>
              <w:t>t/a</w:t>
            </w:r>
          </w:p>
        </w:tc>
        <w:tc>
          <w:tcPr>
            <w:tcW w:w="1316" w:type="dxa"/>
            <w:shd w:val="clear" w:color="auto" w:fill="auto"/>
            <w:vAlign w:val="center"/>
          </w:tcPr>
          <w:p w14:paraId="74FCFD97">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kern w:val="0"/>
                <w:sz w:val="21"/>
                <w:highlight w:val="none"/>
                <w:lang w:bidi="ar"/>
              </w:rPr>
              <w:t>+</w:t>
            </w:r>
            <w:r>
              <w:rPr>
                <w:rFonts w:ascii="Times New Roman" w:hAnsi="Times New Roman"/>
                <w:strike w:val="0"/>
                <w:dstrike w:val="0"/>
                <w:color w:val="auto"/>
                <w:sz w:val="21"/>
                <w:highlight w:val="none"/>
              </w:rPr>
              <w:t>0.05</w:t>
            </w:r>
            <w:r>
              <w:rPr>
                <w:rFonts w:ascii="Times New Roman" w:hAnsi="Times New Roman"/>
                <w:strike w:val="0"/>
                <w:dstrike w:val="0"/>
                <w:color w:val="auto"/>
                <w:kern w:val="0"/>
                <w:sz w:val="21"/>
                <w:highlight w:val="none"/>
                <w:lang w:bidi="ar"/>
              </w:rPr>
              <w:t>t/a</w:t>
            </w:r>
          </w:p>
        </w:tc>
      </w:tr>
      <w:tr w14:paraId="379B8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793D9B72">
            <w:pPr>
              <w:pStyle w:val="68"/>
              <w:spacing w:line="240" w:lineRule="auto"/>
              <w:jc w:val="center"/>
              <w:rPr>
                <w:rFonts w:ascii="Times New Roman" w:eastAsia="宋体"/>
                <w:strike w:val="0"/>
                <w:dstrike w:val="0"/>
                <w:color w:val="auto"/>
                <w:sz w:val="21"/>
                <w:szCs w:val="21"/>
                <w:highlight w:val="none"/>
              </w:rPr>
            </w:pPr>
          </w:p>
        </w:tc>
        <w:tc>
          <w:tcPr>
            <w:tcW w:w="1417" w:type="dxa"/>
            <w:shd w:val="clear" w:color="auto" w:fill="auto"/>
            <w:vAlign w:val="center"/>
          </w:tcPr>
          <w:p w14:paraId="1D16D646">
            <w:pPr>
              <w:widowControl/>
              <w:jc w:val="center"/>
              <w:rPr>
                <w:strike w:val="0"/>
                <w:dstrike w:val="0"/>
                <w:color w:val="auto"/>
                <w:kern w:val="0"/>
                <w:szCs w:val="21"/>
                <w:highlight w:val="none"/>
              </w:rPr>
            </w:pPr>
            <w:r>
              <w:rPr>
                <w:strike w:val="0"/>
                <w:dstrike w:val="0"/>
                <w:color w:val="auto"/>
                <w:kern w:val="0"/>
                <w:szCs w:val="21"/>
                <w:highlight w:val="none"/>
              </w:rPr>
              <w:t>含油棉纱手套</w:t>
            </w:r>
          </w:p>
        </w:tc>
        <w:tc>
          <w:tcPr>
            <w:tcW w:w="1701" w:type="dxa"/>
            <w:vAlign w:val="center"/>
          </w:tcPr>
          <w:p w14:paraId="2938AF0C">
            <w:pPr>
              <w:widowControl/>
              <w:jc w:val="center"/>
              <w:textAlignment w:val="center"/>
              <w:rPr>
                <w:strike w:val="0"/>
                <w:dstrike w:val="0"/>
                <w:color w:val="auto"/>
                <w:szCs w:val="21"/>
                <w:highlight w:val="none"/>
              </w:rPr>
            </w:pPr>
            <w:r>
              <w:rPr>
                <w:strike w:val="0"/>
                <w:dstrike w:val="0"/>
                <w:color w:val="auto"/>
                <w:szCs w:val="21"/>
                <w:highlight w:val="none"/>
              </w:rPr>
              <w:t>/</w:t>
            </w:r>
          </w:p>
        </w:tc>
        <w:tc>
          <w:tcPr>
            <w:tcW w:w="1276" w:type="dxa"/>
            <w:vAlign w:val="center"/>
          </w:tcPr>
          <w:p w14:paraId="7992F216">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vAlign w:val="center"/>
          </w:tcPr>
          <w:p w14:paraId="5F338DF9">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6D98C6DE">
            <w:pPr>
              <w:adjustRightInd w:val="0"/>
              <w:snapToGrid w:val="0"/>
              <w:jc w:val="center"/>
              <w:rPr>
                <w:strike w:val="0"/>
                <w:dstrike w:val="0"/>
                <w:color w:val="auto"/>
                <w:szCs w:val="21"/>
                <w:highlight w:val="none"/>
              </w:rPr>
            </w:pPr>
            <w:r>
              <w:rPr>
                <w:strike w:val="0"/>
                <w:dstrike w:val="0"/>
                <w:color w:val="auto"/>
                <w:szCs w:val="21"/>
                <w:highlight w:val="none"/>
              </w:rPr>
              <w:t>0.02</w:t>
            </w:r>
            <w:r>
              <w:rPr>
                <w:strike w:val="0"/>
                <w:dstrike w:val="0"/>
                <w:color w:val="auto"/>
                <w:kern w:val="0"/>
                <w:szCs w:val="21"/>
                <w:highlight w:val="none"/>
                <w:lang w:bidi="ar"/>
              </w:rPr>
              <w:t>t/a</w:t>
            </w:r>
          </w:p>
        </w:tc>
        <w:tc>
          <w:tcPr>
            <w:tcW w:w="1352" w:type="dxa"/>
            <w:vAlign w:val="center"/>
          </w:tcPr>
          <w:p w14:paraId="39B12021">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6997A16B">
            <w:pPr>
              <w:adjustRightInd w:val="0"/>
              <w:snapToGrid w:val="0"/>
              <w:jc w:val="center"/>
              <w:rPr>
                <w:strike w:val="0"/>
                <w:dstrike w:val="0"/>
                <w:color w:val="auto"/>
                <w:szCs w:val="21"/>
                <w:highlight w:val="none"/>
              </w:rPr>
            </w:pPr>
            <w:r>
              <w:rPr>
                <w:strike w:val="0"/>
                <w:dstrike w:val="0"/>
                <w:color w:val="auto"/>
                <w:szCs w:val="21"/>
                <w:highlight w:val="none"/>
              </w:rPr>
              <w:t>0.02</w:t>
            </w:r>
            <w:r>
              <w:rPr>
                <w:strike w:val="0"/>
                <w:dstrike w:val="0"/>
                <w:color w:val="auto"/>
                <w:kern w:val="0"/>
                <w:szCs w:val="21"/>
                <w:highlight w:val="none"/>
                <w:lang w:bidi="ar"/>
              </w:rPr>
              <w:t>t/a</w:t>
            </w:r>
          </w:p>
        </w:tc>
        <w:tc>
          <w:tcPr>
            <w:tcW w:w="1316" w:type="dxa"/>
            <w:shd w:val="clear" w:color="auto" w:fill="auto"/>
            <w:vAlign w:val="center"/>
          </w:tcPr>
          <w:p w14:paraId="207B1692">
            <w:pPr>
              <w:adjustRightInd w:val="0"/>
              <w:snapToGrid w:val="0"/>
              <w:jc w:val="center"/>
              <w:rPr>
                <w:strike w:val="0"/>
                <w:dstrike w:val="0"/>
                <w:color w:val="auto"/>
                <w:szCs w:val="21"/>
                <w:highlight w:val="none"/>
              </w:rPr>
            </w:pPr>
            <w:r>
              <w:rPr>
                <w:strike w:val="0"/>
                <w:dstrike w:val="0"/>
                <w:color w:val="auto"/>
                <w:kern w:val="0"/>
                <w:szCs w:val="21"/>
                <w:highlight w:val="none"/>
                <w:lang w:bidi="ar"/>
              </w:rPr>
              <w:t>+</w:t>
            </w:r>
            <w:r>
              <w:rPr>
                <w:strike w:val="0"/>
                <w:dstrike w:val="0"/>
                <w:color w:val="auto"/>
                <w:szCs w:val="21"/>
                <w:highlight w:val="none"/>
              </w:rPr>
              <w:t>0.02</w:t>
            </w:r>
            <w:r>
              <w:rPr>
                <w:strike w:val="0"/>
                <w:dstrike w:val="0"/>
                <w:color w:val="auto"/>
                <w:kern w:val="0"/>
                <w:szCs w:val="21"/>
                <w:highlight w:val="none"/>
                <w:lang w:bidi="ar"/>
              </w:rPr>
              <w:t>t/a</w:t>
            </w:r>
          </w:p>
        </w:tc>
      </w:tr>
      <w:tr w14:paraId="04E10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40933693">
            <w:pPr>
              <w:pStyle w:val="7"/>
              <w:spacing w:line="240" w:lineRule="auto"/>
              <w:ind w:firstLine="0"/>
              <w:jc w:val="center"/>
              <w:rPr>
                <w:rFonts w:ascii="Times New Roman" w:hAnsi="Times New Roman"/>
                <w:strike w:val="0"/>
                <w:dstrike w:val="0"/>
                <w:color w:val="auto"/>
                <w:sz w:val="21"/>
                <w:highlight w:val="none"/>
              </w:rPr>
            </w:pPr>
            <w:r>
              <w:rPr>
                <w:rFonts w:ascii="Times New Roman" w:hAnsi="Times New Roman"/>
                <w:strike w:val="0"/>
                <w:dstrike w:val="0"/>
                <w:color w:val="auto"/>
                <w:sz w:val="21"/>
                <w:highlight w:val="none"/>
              </w:rPr>
              <w:t>生活垃圾</w:t>
            </w:r>
          </w:p>
        </w:tc>
        <w:tc>
          <w:tcPr>
            <w:tcW w:w="1417" w:type="dxa"/>
            <w:shd w:val="clear" w:color="auto" w:fill="auto"/>
            <w:vAlign w:val="center"/>
          </w:tcPr>
          <w:p w14:paraId="70107E01">
            <w:pPr>
              <w:widowControl/>
              <w:jc w:val="center"/>
              <w:rPr>
                <w:strike w:val="0"/>
                <w:dstrike w:val="0"/>
                <w:color w:val="auto"/>
                <w:kern w:val="0"/>
                <w:szCs w:val="21"/>
                <w:highlight w:val="none"/>
              </w:rPr>
            </w:pPr>
            <w:r>
              <w:rPr>
                <w:strike w:val="0"/>
                <w:dstrike w:val="0"/>
                <w:color w:val="auto"/>
                <w:kern w:val="0"/>
                <w:szCs w:val="21"/>
                <w:highlight w:val="none"/>
              </w:rPr>
              <w:t>生活垃圾</w:t>
            </w:r>
          </w:p>
        </w:tc>
        <w:tc>
          <w:tcPr>
            <w:tcW w:w="1701" w:type="dxa"/>
            <w:vAlign w:val="center"/>
          </w:tcPr>
          <w:p w14:paraId="54A5046F">
            <w:pPr>
              <w:widowControl/>
              <w:jc w:val="center"/>
              <w:textAlignment w:val="center"/>
              <w:rPr>
                <w:strike w:val="0"/>
                <w:dstrike w:val="0"/>
                <w:color w:val="auto"/>
                <w:szCs w:val="21"/>
                <w:highlight w:val="none"/>
              </w:rPr>
            </w:pPr>
            <w:r>
              <w:rPr>
                <w:strike w:val="0"/>
                <w:dstrike w:val="0"/>
                <w:color w:val="auto"/>
                <w:szCs w:val="21"/>
                <w:highlight w:val="none"/>
              </w:rPr>
              <w:t>/</w:t>
            </w:r>
          </w:p>
        </w:tc>
        <w:tc>
          <w:tcPr>
            <w:tcW w:w="1276" w:type="dxa"/>
            <w:vAlign w:val="center"/>
          </w:tcPr>
          <w:p w14:paraId="7486B518">
            <w:pPr>
              <w:widowControl/>
              <w:jc w:val="center"/>
              <w:textAlignment w:val="center"/>
              <w:rPr>
                <w:strike w:val="0"/>
                <w:dstrike w:val="0"/>
                <w:color w:val="auto"/>
                <w:szCs w:val="21"/>
                <w:highlight w:val="none"/>
              </w:rPr>
            </w:pPr>
            <w:r>
              <w:rPr>
                <w:strike w:val="0"/>
                <w:dstrike w:val="0"/>
                <w:color w:val="auto"/>
                <w:szCs w:val="21"/>
                <w:highlight w:val="none"/>
              </w:rPr>
              <w:t>/</w:t>
            </w:r>
          </w:p>
        </w:tc>
        <w:tc>
          <w:tcPr>
            <w:tcW w:w="1701" w:type="dxa"/>
            <w:vAlign w:val="center"/>
          </w:tcPr>
          <w:p w14:paraId="6A18EA2F">
            <w:pPr>
              <w:widowControl/>
              <w:jc w:val="center"/>
              <w:textAlignment w:val="center"/>
              <w:rPr>
                <w:strike w:val="0"/>
                <w:dstrike w:val="0"/>
                <w:color w:val="auto"/>
                <w:szCs w:val="21"/>
                <w:highlight w:val="none"/>
              </w:rPr>
            </w:pPr>
            <w:r>
              <w:rPr>
                <w:strike w:val="0"/>
                <w:dstrike w:val="0"/>
                <w:color w:val="auto"/>
                <w:szCs w:val="21"/>
                <w:highlight w:val="none"/>
              </w:rPr>
              <w:t>/</w:t>
            </w:r>
          </w:p>
        </w:tc>
        <w:tc>
          <w:tcPr>
            <w:tcW w:w="1559" w:type="dxa"/>
            <w:shd w:val="clear" w:color="auto" w:fill="auto"/>
            <w:vAlign w:val="center"/>
          </w:tcPr>
          <w:p w14:paraId="59856885">
            <w:pPr>
              <w:adjustRightInd w:val="0"/>
              <w:snapToGrid w:val="0"/>
              <w:jc w:val="center"/>
              <w:rPr>
                <w:strike w:val="0"/>
                <w:dstrike w:val="0"/>
                <w:color w:val="auto"/>
                <w:szCs w:val="21"/>
                <w:highlight w:val="none"/>
              </w:rPr>
            </w:pPr>
            <w:r>
              <w:rPr>
                <w:strike w:val="0"/>
                <w:dstrike w:val="0"/>
                <w:color w:val="auto"/>
                <w:szCs w:val="21"/>
                <w:highlight w:val="none"/>
              </w:rPr>
              <w:t>4.38</w:t>
            </w:r>
            <w:r>
              <w:rPr>
                <w:strike w:val="0"/>
                <w:dstrike w:val="0"/>
                <w:color w:val="auto"/>
                <w:kern w:val="0"/>
                <w:szCs w:val="21"/>
                <w:highlight w:val="none"/>
                <w:lang w:bidi="ar"/>
              </w:rPr>
              <w:t>t/a</w:t>
            </w:r>
          </w:p>
        </w:tc>
        <w:tc>
          <w:tcPr>
            <w:tcW w:w="1352" w:type="dxa"/>
            <w:vAlign w:val="center"/>
          </w:tcPr>
          <w:p w14:paraId="44445888">
            <w:pPr>
              <w:widowControl/>
              <w:jc w:val="center"/>
              <w:textAlignment w:val="center"/>
              <w:rPr>
                <w:strike w:val="0"/>
                <w:dstrike w:val="0"/>
                <w:color w:val="auto"/>
                <w:szCs w:val="21"/>
                <w:highlight w:val="none"/>
              </w:rPr>
            </w:pPr>
            <w:r>
              <w:rPr>
                <w:strike w:val="0"/>
                <w:dstrike w:val="0"/>
                <w:color w:val="auto"/>
                <w:szCs w:val="21"/>
                <w:highlight w:val="none"/>
              </w:rPr>
              <w:t>/</w:t>
            </w:r>
          </w:p>
        </w:tc>
        <w:tc>
          <w:tcPr>
            <w:tcW w:w="1878" w:type="dxa"/>
            <w:shd w:val="clear" w:color="auto" w:fill="auto"/>
            <w:vAlign w:val="center"/>
          </w:tcPr>
          <w:p w14:paraId="124A7C8E">
            <w:pPr>
              <w:adjustRightInd w:val="0"/>
              <w:snapToGrid w:val="0"/>
              <w:jc w:val="center"/>
              <w:rPr>
                <w:strike w:val="0"/>
                <w:dstrike w:val="0"/>
                <w:color w:val="auto"/>
                <w:szCs w:val="21"/>
                <w:highlight w:val="none"/>
              </w:rPr>
            </w:pPr>
            <w:r>
              <w:rPr>
                <w:strike w:val="0"/>
                <w:dstrike w:val="0"/>
                <w:color w:val="auto"/>
                <w:szCs w:val="21"/>
                <w:highlight w:val="none"/>
              </w:rPr>
              <w:t>4.38</w:t>
            </w:r>
            <w:r>
              <w:rPr>
                <w:strike w:val="0"/>
                <w:dstrike w:val="0"/>
                <w:color w:val="auto"/>
                <w:kern w:val="0"/>
                <w:szCs w:val="21"/>
                <w:highlight w:val="none"/>
                <w:lang w:bidi="ar"/>
              </w:rPr>
              <w:t>t/a</w:t>
            </w:r>
          </w:p>
        </w:tc>
        <w:tc>
          <w:tcPr>
            <w:tcW w:w="1316" w:type="dxa"/>
            <w:shd w:val="clear" w:color="auto" w:fill="auto"/>
            <w:vAlign w:val="center"/>
          </w:tcPr>
          <w:p w14:paraId="46809E24">
            <w:pPr>
              <w:adjustRightInd w:val="0"/>
              <w:snapToGrid w:val="0"/>
              <w:jc w:val="center"/>
              <w:rPr>
                <w:strike w:val="0"/>
                <w:dstrike w:val="0"/>
                <w:color w:val="auto"/>
                <w:szCs w:val="21"/>
                <w:highlight w:val="none"/>
              </w:rPr>
            </w:pPr>
            <w:r>
              <w:rPr>
                <w:strike w:val="0"/>
                <w:dstrike w:val="0"/>
                <w:color w:val="auto"/>
                <w:kern w:val="0"/>
                <w:szCs w:val="21"/>
                <w:highlight w:val="none"/>
                <w:lang w:bidi="ar"/>
              </w:rPr>
              <w:t>+</w:t>
            </w:r>
            <w:r>
              <w:rPr>
                <w:strike w:val="0"/>
                <w:dstrike w:val="0"/>
                <w:color w:val="auto"/>
                <w:szCs w:val="21"/>
                <w:highlight w:val="none"/>
              </w:rPr>
              <w:t>4.38</w:t>
            </w:r>
            <w:r>
              <w:rPr>
                <w:strike w:val="0"/>
                <w:dstrike w:val="0"/>
                <w:color w:val="auto"/>
                <w:kern w:val="0"/>
                <w:szCs w:val="21"/>
                <w:highlight w:val="none"/>
                <w:lang w:bidi="ar"/>
              </w:rPr>
              <w:t>t/a</w:t>
            </w:r>
          </w:p>
        </w:tc>
      </w:tr>
    </w:tbl>
    <w:p w14:paraId="0F1651FC">
      <w:pPr>
        <w:pStyle w:val="36"/>
        <w:spacing w:before="255" w:beforeLines="80" w:after="31"/>
        <w:jc w:val="left"/>
        <w:rPr>
          <w:rFonts w:ascii="Times New Roman"/>
          <w:strike w:val="0"/>
          <w:dstrike w:val="0"/>
          <w:color w:val="auto"/>
          <w:highlight w:val="none"/>
        </w:rPr>
      </w:pPr>
      <w:r>
        <w:rPr>
          <w:rFonts w:ascii="Times New Roman"/>
          <w:strike w:val="0"/>
          <w:dstrike w:val="0"/>
          <w:snapToGrid w:val="0"/>
          <w:color w:val="auto"/>
          <w:kern w:val="21"/>
          <w:szCs w:val="21"/>
          <w:highlight w:val="none"/>
        </w:rPr>
        <w:t>注：</w:t>
      </w:r>
      <w:r>
        <w:rPr>
          <w:rFonts w:ascii="Times New Roman"/>
          <w:strike w:val="0"/>
          <w:dstrike w:val="0"/>
          <w:snapToGrid w:val="0"/>
          <w:color w:val="auto"/>
          <w:spacing w:val="-16"/>
          <w:kern w:val="21"/>
          <w:szCs w:val="21"/>
          <w:highlight w:val="none"/>
        </w:rPr>
        <w:fldChar w:fldCharType="begin"/>
      </w:r>
      <w:r>
        <w:rPr>
          <w:rFonts w:ascii="Times New Roman"/>
          <w:strike w:val="0"/>
          <w:dstrike w:val="0"/>
          <w:snapToGrid w:val="0"/>
          <w:color w:val="auto"/>
          <w:spacing w:val="-16"/>
          <w:kern w:val="21"/>
          <w:szCs w:val="21"/>
          <w:highlight w:val="none"/>
        </w:rPr>
        <w:instrText xml:space="preserve"> = 6 \* GB3 \* MERGEFORMAT </w:instrText>
      </w:r>
      <w:r>
        <w:rPr>
          <w:rFonts w:ascii="Times New Roman"/>
          <w:strike w:val="0"/>
          <w:dstrike w:val="0"/>
          <w:snapToGrid w:val="0"/>
          <w:color w:val="auto"/>
          <w:spacing w:val="-16"/>
          <w:kern w:val="21"/>
          <w:szCs w:val="21"/>
          <w:highlight w:val="none"/>
        </w:rPr>
        <w:fldChar w:fldCharType="separate"/>
      </w:r>
      <w:r>
        <w:rPr>
          <w:rFonts w:ascii="Times New Roman"/>
          <w:strike w:val="0"/>
          <w:dstrike w:val="0"/>
          <w:color w:val="auto"/>
          <w:szCs w:val="21"/>
          <w:highlight w:val="none"/>
        </w:rPr>
        <w:t>⑥</w:t>
      </w:r>
      <w:r>
        <w:rPr>
          <w:rFonts w:ascii="Times New Roman"/>
          <w:strike w:val="0"/>
          <w:dstrike w:val="0"/>
          <w:snapToGrid w:val="0"/>
          <w:color w:val="auto"/>
          <w:spacing w:val="-16"/>
          <w:kern w:val="21"/>
          <w:szCs w:val="21"/>
          <w:highlight w:val="none"/>
        </w:rPr>
        <w:fldChar w:fldCharType="end"/>
      </w:r>
      <w:r>
        <w:rPr>
          <w:rFonts w:ascii="Times New Roman"/>
          <w:strike w:val="0"/>
          <w:dstrike w:val="0"/>
          <w:snapToGrid w:val="0"/>
          <w:color w:val="auto"/>
          <w:spacing w:val="-16"/>
          <w:kern w:val="21"/>
          <w:szCs w:val="21"/>
          <w:highlight w:val="none"/>
        </w:rPr>
        <w:t>=</w:t>
      </w: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1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szCs w:val="21"/>
          <w:highlight w:val="none"/>
        </w:rPr>
        <w:t>①</w:t>
      </w:r>
      <w:r>
        <w:rPr>
          <w:rFonts w:ascii="Times New Roman"/>
          <w:strike w:val="0"/>
          <w:dstrike w:val="0"/>
          <w:snapToGrid w:val="0"/>
          <w:color w:val="auto"/>
          <w:spacing w:val="-6"/>
          <w:kern w:val="21"/>
          <w:szCs w:val="21"/>
          <w:highlight w:val="none"/>
        </w:rPr>
        <w:fldChar w:fldCharType="end"/>
      </w:r>
      <w:r>
        <w:rPr>
          <w:rFonts w:ascii="Times New Roman"/>
          <w:strike w:val="0"/>
          <w:dstrike w:val="0"/>
          <w:snapToGrid w:val="0"/>
          <w:color w:val="auto"/>
          <w:spacing w:val="-6"/>
          <w:kern w:val="21"/>
          <w:szCs w:val="21"/>
          <w:highlight w:val="none"/>
        </w:rPr>
        <w:t>+</w:t>
      </w: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3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szCs w:val="21"/>
          <w:highlight w:val="none"/>
        </w:rPr>
        <w:t>③</w:t>
      </w:r>
      <w:r>
        <w:rPr>
          <w:rFonts w:ascii="Times New Roman"/>
          <w:strike w:val="0"/>
          <w:dstrike w:val="0"/>
          <w:snapToGrid w:val="0"/>
          <w:color w:val="auto"/>
          <w:spacing w:val="-6"/>
          <w:kern w:val="21"/>
          <w:szCs w:val="21"/>
          <w:highlight w:val="none"/>
        </w:rPr>
        <w:fldChar w:fldCharType="end"/>
      </w:r>
      <w:r>
        <w:rPr>
          <w:rFonts w:ascii="Times New Roman"/>
          <w:strike w:val="0"/>
          <w:dstrike w:val="0"/>
          <w:snapToGrid w:val="0"/>
          <w:color w:val="auto"/>
          <w:spacing w:val="-6"/>
          <w:kern w:val="21"/>
          <w:szCs w:val="21"/>
          <w:highlight w:val="none"/>
        </w:rPr>
        <w:t>+</w:t>
      </w: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4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szCs w:val="21"/>
          <w:highlight w:val="none"/>
        </w:rPr>
        <w:t>④</w:t>
      </w:r>
      <w:r>
        <w:rPr>
          <w:rFonts w:ascii="Times New Roman"/>
          <w:strike w:val="0"/>
          <w:dstrike w:val="0"/>
          <w:snapToGrid w:val="0"/>
          <w:color w:val="auto"/>
          <w:spacing w:val="-6"/>
          <w:kern w:val="21"/>
          <w:szCs w:val="21"/>
          <w:highlight w:val="none"/>
        </w:rPr>
        <w:fldChar w:fldCharType="end"/>
      </w:r>
      <w:r>
        <w:rPr>
          <w:rFonts w:ascii="Times New Roman"/>
          <w:strike w:val="0"/>
          <w:dstrike w:val="0"/>
          <w:snapToGrid w:val="0"/>
          <w:color w:val="auto"/>
          <w:spacing w:val="-6"/>
          <w:kern w:val="21"/>
          <w:szCs w:val="21"/>
          <w:highlight w:val="none"/>
        </w:rPr>
        <w:t>-</w:t>
      </w:r>
      <w:r>
        <w:rPr>
          <w:rFonts w:ascii="Times New Roman"/>
          <w:strike w:val="0"/>
          <w:dstrike w:val="0"/>
          <w:snapToGrid w:val="0"/>
          <w:color w:val="auto"/>
          <w:spacing w:val="-16"/>
          <w:kern w:val="21"/>
          <w:szCs w:val="21"/>
          <w:highlight w:val="none"/>
        </w:rPr>
        <w:fldChar w:fldCharType="begin"/>
      </w:r>
      <w:r>
        <w:rPr>
          <w:rFonts w:ascii="Times New Roman"/>
          <w:strike w:val="0"/>
          <w:dstrike w:val="0"/>
          <w:snapToGrid w:val="0"/>
          <w:color w:val="auto"/>
          <w:spacing w:val="-16"/>
          <w:kern w:val="21"/>
          <w:szCs w:val="21"/>
          <w:highlight w:val="none"/>
        </w:rPr>
        <w:instrText xml:space="preserve"> = 5 \* GB3 \* MERGEFORMAT </w:instrText>
      </w:r>
      <w:r>
        <w:rPr>
          <w:rFonts w:ascii="Times New Roman"/>
          <w:strike w:val="0"/>
          <w:dstrike w:val="0"/>
          <w:snapToGrid w:val="0"/>
          <w:color w:val="auto"/>
          <w:spacing w:val="-16"/>
          <w:kern w:val="21"/>
          <w:szCs w:val="21"/>
          <w:highlight w:val="none"/>
        </w:rPr>
        <w:fldChar w:fldCharType="separate"/>
      </w:r>
      <w:r>
        <w:rPr>
          <w:rFonts w:ascii="Times New Roman"/>
          <w:strike w:val="0"/>
          <w:dstrike w:val="0"/>
          <w:color w:val="auto"/>
          <w:szCs w:val="21"/>
          <w:highlight w:val="none"/>
        </w:rPr>
        <w:t>⑤</w:t>
      </w:r>
      <w:r>
        <w:rPr>
          <w:rFonts w:ascii="Times New Roman"/>
          <w:strike w:val="0"/>
          <w:dstrike w:val="0"/>
          <w:snapToGrid w:val="0"/>
          <w:color w:val="auto"/>
          <w:spacing w:val="-16"/>
          <w:kern w:val="21"/>
          <w:szCs w:val="21"/>
          <w:highlight w:val="none"/>
        </w:rPr>
        <w:fldChar w:fldCharType="end"/>
      </w:r>
      <w:r>
        <w:rPr>
          <w:rFonts w:ascii="Times New Roman"/>
          <w:strike w:val="0"/>
          <w:dstrike w:val="0"/>
          <w:snapToGrid w:val="0"/>
          <w:color w:val="auto"/>
          <w:spacing w:val="-16"/>
          <w:kern w:val="21"/>
          <w:szCs w:val="21"/>
          <w:highlight w:val="none"/>
        </w:rPr>
        <w:t>；</w:t>
      </w: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7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szCs w:val="21"/>
          <w:highlight w:val="none"/>
        </w:rPr>
        <w:t>⑦</w:t>
      </w:r>
      <w:r>
        <w:rPr>
          <w:rFonts w:ascii="Times New Roman"/>
          <w:strike w:val="0"/>
          <w:dstrike w:val="0"/>
          <w:snapToGrid w:val="0"/>
          <w:color w:val="auto"/>
          <w:spacing w:val="-6"/>
          <w:kern w:val="21"/>
          <w:szCs w:val="21"/>
          <w:highlight w:val="none"/>
        </w:rPr>
        <w:fldChar w:fldCharType="end"/>
      </w:r>
      <w:r>
        <w:rPr>
          <w:rFonts w:ascii="Times New Roman"/>
          <w:strike w:val="0"/>
          <w:dstrike w:val="0"/>
          <w:snapToGrid w:val="0"/>
          <w:color w:val="auto"/>
          <w:spacing w:val="-6"/>
          <w:kern w:val="21"/>
          <w:szCs w:val="21"/>
          <w:highlight w:val="none"/>
        </w:rPr>
        <w:t>=</w:t>
      </w:r>
      <w:r>
        <w:rPr>
          <w:rFonts w:ascii="Times New Roman"/>
          <w:strike w:val="0"/>
          <w:dstrike w:val="0"/>
          <w:snapToGrid w:val="0"/>
          <w:color w:val="auto"/>
          <w:spacing w:val="-16"/>
          <w:kern w:val="21"/>
          <w:szCs w:val="21"/>
          <w:highlight w:val="none"/>
        </w:rPr>
        <w:fldChar w:fldCharType="begin"/>
      </w:r>
      <w:r>
        <w:rPr>
          <w:rFonts w:ascii="Times New Roman"/>
          <w:strike w:val="0"/>
          <w:dstrike w:val="0"/>
          <w:snapToGrid w:val="0"/>
          <w:color w:val="auto"/>
          <w:spacing w:val="-16"/>
          <w:kern w:val="21"/>
          <w:szCs w:val="21"/>
          <w:highlight w:val="none"/>
        </w:rPr>
        <w:instrText xml:space="preserve"> = 6 \* GB3 \* MERGEFORMAT </w:instrText>
      </w:r>
      <w:r>
        <w:rPr>
          <w:rFonts w:ascii="Times New Roman"/>
          <w:strike w:val="0"/>
          <w:dstrike w:val="0"/>
          <w:snapToGrid w:val="0"/>
          <w:color w:val="auto"/>
          <w:spacing w:val="-16"/>
          <w:kern w:val="21"/>
          <w:szCs w:val="21"/>
          <w:highlight w:val="none"/>
        </w:rPr>
        <w:fldChar w:fldCharType="separate"/>
      </w:r>
      <w:r>
        <w:rPr>
          <w:rFonts w:ascii="Times New Roman"/>
          <w:strike w:val="0"/>
          <w:dstrike w:val="0"/>
          <w:color w:val="auto"/>
          <w:szCs w:val="21"/>
          <w:highlight w:val="none"/>
        </w:rPr>
        <w:t>⑥</w:t>
      </w:r>
      <w:r>
        <w:rPr>
          <w:rFonts w:ascii="Times New Roman"/>
          <w:strike w:val="0"/>
          <w:dstrike w:val="0"/>
          <w:snapToGrid w:val="0"/>
          <w:color w:val="auto"/>
          <w:spacing w:val="-16"/>
          <w:kern w:val="21"/>
          <w:szCs w:val="21"/>
          <w:highlight w:val="none"/>
        </w:rPr>
        <w:fldChar w:fldCharType="end"/>
      </w:r>
      <w:r>
        <w:rPr>
          <w:rFonts w:ascii="Times New Roman"/>
          <w:strike w:val="0"/>
          <w:dstrike w:val="0"/>
          <w:snapToGrid w:val="0"/>
          <w:color w:val="auto"/>
          <w:spacing w:val="-16"/>
          <w:kern w:val="21"/>
          <w:szCs w:val="21"/>
          <w:highlight w:val="none"/>
        </w:rPr>
        <w:t>-</w:t>
      </w:r>
      <w:r>
        <w:rPr>
          <w:rFonts w:ascii="Times New Roman"/>
          <w:strike w:val="0"/>
          <w:dstrike w:val="0"/>
          <w:snapToGrid w:val="0"/>
          <w:color w:val="auto"/>
          <w:spacing w:val="-6"/>
          <w:kern w:val="21"/>
          <w:szCs w:val="21"/>
          <w:highlight w:val="none"/>
        </w:rPr>
        <w:fldChar w:fldCharType="begin"/>
      </w:r>
      <w:r>
        <w:rPr>
          <w:rFonts w:ascii="Times New Roman"/>
          <w:strike w:val="0"/>
          <w:dstrike w:val="0"/>
          <w:snapToGrid w:val="0"/>
          <w:color w:val="auto"/>
          <w:spacing w:val="-6"/>
          <w:kern w:val="21"/>
          <w:szCs w:val="21"/>
          <w:highlight w:val="none"/>
        </w:rPr>
        <w:instrText xml:space="preserve"> = 1 \* GB3 \* MERGEFORMAT </w:instrText>
      </w:r>
      <w:r>
        <w:rPr>
          <w:rFonts w:ascii="Times New Roman"/>
          <w:strike w:val="0"/>
          <w:dstrike w:val="0"/>
          <w:snapToGrid w:val="0"/>
          <w:color w:val="auto"/>
          <w:spacing w:val="-6"/>
          <w:kern w:val="21"/>
          <w:szCs w:val="21"/>
          <w:highlight w:val="none"/>
        </w:rPr>
        <w:fldChar w:fldCharType="separate"/>
      </w:r>
      <w:r>
        <w:rPr>
          <w:rFonts w:ascii="Times New Roman"/>
          <w:strike w:val="0"/>
          <w:dstrike w:val="0"/>
          <w:color w:val="auto"/>
          <w:szCs w:val="21"/>
          <w:highlight w:val="none"/>
        </w:rPr>
        <w:t>①</w:t>
      </w:r>
      <w:r>
        <w:rPr>
          <w:rFonts w:ascii="Times New Roman"/>
          <w:strike w:val="0"/>
          <w:dstrike w:val="0"/>
          <w:snapToGrid w:val="0"/>
          <w:color w:val="auto"/>
          <w:spacing w:val="-6"/>
          <w:kern w:val="21"/>
          <w:szCs w:val="21"/>
          <w:highlight w:val="none"/>
        </w:rPr>
        <w:fldChar w:fldCharType="end"/>
      </w:r>
    </w:p>
    <w:p w14:paraId="6548517F">
      <w:pPr>
        <w:rPr>
          <w:strike w:val="0"/>
          <w:dstrike w:val="0"/>
          <w:color w:val="auto"/>
          <w:highlight w:val="none"/>
        </w:rPr>
        <w:sectPr>
          <w:pgSz w:w="16838" w:h="11906" w:orient="landscape"/>
          <w:pgMar w:top="1803" w:right="1440" w:bottom="1803" w:left="1440" w:header="851" w:footer="992" w:gutter="0"/>
          <w:pgNumType w:fmt="numberInDash"/>
          <w:cols w:space="720" w:num="1"/>
          <w:docGrid w:type="lines" w:linePitch="319" w:charSpace="0"/>
        </w:sectPr>
      </w:pPr>
    </w:p>
    <w:p w14:paraId="6DBEA6EC">
      <w:pPr>
        <w:pStyle w:val="7"/>
        <w:jc w:val="center"/>
        <w:rPr>
          <w:rFonts w:ascii="Times New Roman" w:hAnsi="Times New Roman"/>
          <w:strike w:val="0"/>
          <w:dstrike w:val="0"/>
          <w:color w:val="auto"/>
          <w:highlight w:val="none"/>
        </w:rPr>
      </w:pPr>
    </w:p>
    <w:p w14:paraId="3F3447C3">
      <w:pPr>
        <w:pStyle w:val="7"/>
        <w:jc w:val="center"/>
        <w:rPr>
          <w:rFonts w:ascii="Times New Roman" w:hAnsi="Times New Roman"/>
          <w:strike w:val="0"/>
          <w:dstrike w:val="0"/>
          <w:color w:val="auto"/>
          <w:highlight w:val="none"/>
        </w:rPr>
      </w:pPr>
    </w:p>
    <w:p w14:paraId="710A4D59">
      <w:pPr>
        <w:pStyle w:val="7"/>
        <w:ind w:firstLine="0"/>
        <w:jc w:val="center"/>
        <w:rPr>
          <w:rFonts w:ascii="Times New Roman" w:hAnsi="Times New Roman"/>
          <w:b/>
          <w:bCs/>
          <w:strike w:val="0"/>
          <w:dstrike w:val="0"/>
          <w:color w:val="auto"/>
          <w:sz w:val="60"/>
          <w:szCs w:val="40"/>
          <w:highlight w:val="none"/>
        </w:rPr>
      </w:pPr>
      <w:r>
        <w:rPr>
          <w:rFonts w:ascii="Times New Roman" w:hAnsi="Times New Roman"/>
          <w:b/>
          <w:bCs/>
          <w:strike w:val="0"/>
          <w:dstrike w:val="0"/>
          <w:color w:val="auto"/>
          <w:sz w:val="60"/>
          <w:szCs w:val="40"/>
          <w:highlight w:val="none"/>
        </w:rPr>
        <w:t>重庆合川燃气有限责任公司</w:t>
      </w:r>
    </w:p>
    <w:p w14:paraId="756D573E">
      <w:pPr>
        <w:pStyle w:val="7"/>
        <w:ind w:firstLine="482"/>
        <w:jc w:val="center"/>
        <w:rPr>
          <w:rFonts w:ascii="Times New Roman" w:hAnsi="Times New Roman"/>
          <w:b/>
          <w:bCs/>
          <w:strike w:val="0"/>
          <w:dstrike w:val="0"/>
          <w:color w:val="auto"/>
          <w:sz w:val="72"/>
          <w:szCs w:val="44"/>
          <w:highlight w:val="none"/>
        </w:rPr>
      </w:pPr>
      <w:r>
        <w:rPr>
          <w:rFonts w:ascii="Times New Roman" w:hAnsi="Times New Roman"/>
          <w:b/>
          <w:bCs/>
          <w:strike w:val="0"/>
          <w:dstrike w:val="0"/>
          <w:color w:val="auto"/>
          <w:sz w:val="60"/>
          <w:szCs w:val="40"/>
          <w:highlight w:val="none"/>
        </w:rPr>
        <w:t>合川区土场综合能源站工程</w:t>
      </w:r>
    </w:p>
    <w:p w14:paraId="168D59F8">
      <w:pPr>
        <w:pStyle w:val="7"/>
        <w:ind w:firstLine="0"/>
        <w:jc w:val="center"/>
        <w:outlineLvl w:val="0"/>
        <w:rPr>
          <w:rFonts w:ascii="Times New Roman" w:hAnsi="Times New Roman"/>
          <w:b/>
          <w:bCs/>
          <w:strike w:val="0"/>
          <w:dstrike w:val="0"/>
          <w:color w:val="auto"/>
          <w:sz w:val="72"/>
          <w:szCs w:val="44"/>
          <w:highlight w:val="none"/>
        </w:rPr>
      </w:pPr>
      <w:r>
        <w:rPr>
          <w:rFonts w:ascii="Times New Roman" w:hAnsi="Times New Roman"/>
          <w:b/>
          <w:bCs/>
          <w:strike w:val="0"/>
          <w:dstrike w:val="0"/>
          <w:color w:val="auto"/>
          <w:sz w:val="72"/>
          <w:szCs w:val="44"/>
          <w:highlight w:val="none"/>
        </w:rPr>
        <w:t>环境风险专项评价</w:t>
      </w:r>
    </w:p>
    <w:p w14:paraId="1BF2216D">
      <w:pPr>
        <w:pStyle w:val="19"/>
        <w:outlineLvl w:val="9"/>
        <w:rPr>
          <w:rFonts w:eastAsia="宋体"/>
          <w:strike w:val="0"/>
          <w:dstrike w:val="0"/>
          <w:color w:val="auto"/>
          <w:highlight w:val="none"/>
        </w:rPr>
      </w:pPr>
    </w:p>
    <w:p w14:paraId="0CEBF9C9">
      <w:pPr>
        <w:rPr>
          <w:b/>
          <w:bCs/>
          <w:strike w:val="0"/>
          <w:dstrike w:val="0"/>
          <w:color w:val="auto"/>
          <w:highlight w:val="none"/>
        </w:rPr>
      </w:pPr>
    </w:p>
    <w:p w14:paraId="16D91C09">
      <w:pPr>
        <w:pStyle w:val="7"/>
        <w:rPr>
          <w:rFonts w:ascii="Times New Roman" w:hAnsi="Times New Roman"/>
          <w:b/>
          <w:bCs/>
          <w:strike w:val="0"/>
          <w:dstrike w:val="0"/>
          <w:color w:val="auto"/>
          <w:highlight w:val="none"/>
        </w:rPr>
      </w:pPr>
    </w:p>
    <w:p w14:paraId="6C23D4ED">
      <w:pPr>
        <w:pStyle w:val="7"/>
        <w:ind w:firstLine="0"/>
        <w:rPr>
          <w:rFonts w:ascii="Times New Roman" w:hAnsi="Times New Roman"/>
          <w:b/>
          <w:bCs/>
          <w:strike w:val="0"/>
          <w:dstrike w:val="0"/>
          <w:color w:val="auto"/>
          <w:highlight w:val="none"/>
        </w:rPr>
      </w:pPr>
    </w:p>
    <w:p w14:paraId="68234555">
      <w:pPr>
        <w:pStyle w:val="19"/>
        <w:outlineLvl w:val="9"/>
        <w:rPr>
          <w:rFonts w:eastAsia="宋体"/>
          <w:strike w:val="0"/>
          <w:dstrike w:val="0"/>
          <w:color w:val="auto"/>
          <w:highlight w:val="none"/>
        </w:rPr>
      </w:pPr>
    </w:p>
    <w:p w14:paraId="625E882D">
      <w:pPr>
        <w:rPr>
          <w:b/>
          <w:bCs/>
          <w:strike w:val="0"/>
          <w:dstrike w:val="0"/>
          <w:color w:val="auto"/>
          <w:highlight w:val="none"/>
        </w:rPr>
      </w:pPr>
    </w:p>
    <w:p w14:paraId="4708FA3D">
      <w:pPr>
        <w:pStyle w:val="7"/>
        <w:rPr>
          <w:rFonts w:ascii="Times New Roman" w:hAnsi="Times New Roman"/>
          <w:b/>
          <w:bCs/>
          <w:strike w:val="0"/>
          <w:dstrike w:val="0"/>
          <w:color w:val="auto"/>
          <w:highlight w:val="none"/>
        </w:rPr>
      </w:pPr>
    </w:p>
    <w:p w14:paraId="3E754260">
      <w:pPr>
        <w:pStyle w:val="19"/>
        <w:outlineLvl w:val="9"/>
        <w:rPr>
          <w:rFonts w:eastAsia="宋体"/>
          <w:strike w:val="0"/>
          <w:dstrike w:val="0"/>
          <w:color w:val="auto"/>
          <w:highlight w:val="none"/>
        </w:rPr>
      </w:pPr>
    </w:p>
    <w:p w14:paraId="4CD6C092">
      <w:pPr>
        <w:rPr>
          <w:b/>
          <w:bCs/>
          <w:strike w:val="0"/>
          <w:dstrike w:val="0"/>
          <w:color w:val="auto"/>
          <w:highlight w:val="none"/>
        </w:rPr>
      </w:pPr>
    </w:p>
    <w:p w14:paraId="574B34EF">
      <w:pPr>
        <w:pStyle w:val="30"/>
        <w:outlineLvl w:val="9"/>
        <w:rPr>
          <w:rFonts w:ascii="Times New Roman"/>
          <w:bCs/>
          <w:strike w:val="0"/>
          <w:dstrike w:val="0"/>
          <w:color w:val="auto"/>
          <w:highlight w:val="none"/>
        </w:rPr>
      </w:pPr>
    </w:p>
    <w:p w14:paraId="128582C6">
      <w:pPr>
        <w:pStyle w:val="76"/>
        <w:rPr>
          <w:rFonts w:ascii="Times New Roman"/>
          <w:strike w:val="0"/>
          <w:dstrike w:val="0"/>
          <w:color w:val="auto"/>
          <w:highlight w:val="none"/>
        </w:rPr>
      </w:pPr>
    </w:p>
    <w:p w14:paraId="4FE860EC">
      <w:pPr>
        <w:rPr>
          <w:b/>
          <w:bCs/>
          <w:strike w:val="0"/>
          <w:dstrike w:val="0"/>
          <w:color w:val="auto"/>
          <w:highlight w:val="none"/>
        </w:rPr>
      </w:pPr>
    </w:p>
    <w:p w14:paraId="28F0958B">
      <w:pPr>
        <w:pStyle w:val="30"/>
        <w:outlineLvl w:val="9"/>
        <w:rPr>
          <w:rFonts w:ascii="Times New Roman"/>
          <w:bCs/>
          <w:strike w:val="0"/>
          <w:dstrike w:val="0"/>
          <w:color w:val="auto"/>
          <w:highlight w:val="none"/>
        </w:rPr>
      </w:pPr>
    </w:p>
    <w:p w14:paraId="64AD49E4">
      <w:pPr>
        <w:pStyle w:val="76"/>
        <w:rPr>
          <w:rFonts w:ascii="Times New Roman"/>
          <w:strike w:val="0"/>
          <w:dstrike w:val="0"/>
          <w:color w:val="auto"/>
          <w:highlight w:val="none"/>
        </w:rPr>
      </w:pPr>
    </w:p>
    <w:p w14:paraId="68CF83EB">
      <w:pPr>
        <w:rPr>
          <w:b/>
          <w:bCs/>
          <w:strike w:val="0"/>
          <w:dstrike w:val="0"/>
          <w:color w:val="auto"/>
          <w:highlight w:val="none"/>
        </w:rPr>
      </w:pPr>
    </w:p>
    <w:p w14:paraId="6CBDFD8D">
      <w:pPr>
        <w:pStyle w:val="7"/>
        <w:rPr>
          <w:rFonts w:ascii="Times New Roman" w:hAnsi="Times New Roman"/>
          <w:b/>
          <w:bCs/>
          <w:strike w:val="0"/>
          <w:dstrike w:val="0"/>
          <w:color w:val="auto"/>
          <w:highlight w:val="none"/>
        </w:rPr>
      </w:pPr>
    </w:p>
    <w:p w14:paraId="57577882">
      <w:pPr>
        <w:pStyle w:val="19"/>
        <w:jc w:val="center"/>
        <w:outlineLvl w:val="9"/>
        <w:rPr>
          <w:rFonts w:hint="default" w:ascii="Times New Roman" w:hAnsi="Times New Roman" w:eastAsia="宋体" w:cs="Times New Roman"/>
          <w:b/>
          <w:bCs/>
          <w:strike w:val="0"/>
          <w:dstrike w:val="0"/>
          <w:color w:val="auto"/>
          <w:kern w:val="2"/>
          <w:sz w:val="36"/>
          <w:szCs w:val="22"/>
          <w:highlight w:val="none"/>
          <w:lang w:val="en-US" w:eastAsia="zh-CN" w:bidi="ar-SA"/>
        </w:rPr>
      </w:pPr>
      <w:r>
        <w:rPr>
          <w:rFonts w:hint="eastAsia" w:ascii="Times New Roman" w:hAnsi="Times New Roman" w:eastAsia="宋体" w:cs="Times New Roman"/>
          <w:b/>
          <w:bCs/>
          <w:strike w:val="0"/>
          <w:dstrike w:val="0"/>
          <w:color w:val="auto"/>
          <w:kern w:val="2"/>
          <w:sz w:val="36"/>
          <w:szCs w:val="22"/>
          <w:highlight w:val="none"/>
          <w:lang w:val="en-US" w:eastAsia="zh-CN" w:bidi="ar-SA"/>
        </w:rPr>
        <w:t>编制单位：重庆雅城环保科技有限公司</w:t>
      </w:r>
    </w:p>
    <w:p w14:paraId="6B0336F9">
      <w:pPr>
        <w:pStyle w:val="7"/>
        <w:ind w:firstLine="0"/>
        <w:jc w:val="center"/>
        <w:rPr>
          <w:rFonts w:hint="eastAsia" w:ascii="Times New Roman" w:hAnsi="Times New Roman" w:eastAsia="宋体" w:cs="Times New Roman"/>
          <w:b/>
          <w:bCs/>
          <w:strike w:val="0"/>
          <w:dstrike w:val="0"/>
          <w:color w:val="auto"/>
          <w:kern w:val="2"/>
          <w:sz w:val="36"/>
          <w:szCs w:val="22"/>
          <w:highlight w:val="none"/>
          <w:lang w:val="en-US" w:eastAsia="zh-CN" w:bidi="ar-SA"/>
        </w:rPr>
      </w:pPr>
      <w:r>
        <w:rPr>
          <w:rFonts w:hint="eastAsia" w:ascii="Times New Roman" w:hAnsi="Times New Roman" w:eastAsia="宋体" w:cs="Times New Roman"/>
          <w:b/>
          <w:bCs/>
          <w:strike w:val="0"/>
          <w:dstrike w:val="0"/>
          <w:color w:val="auto"/>
          <w:kern w:val="2"/>
          <w:sz w:val="36"/>
          <w:szCs w:val="22"/>
          <w:highlight w:val="none"/>
          <w:lang w:val="en-US" w:eastAsia="zh-CN" w:bidi="ar-SA"/>
        </w:rPr>
        <w:t>2025年4月</w:t>
      </w:r>
    </w:p>
    <w:p w14:paraId="4EFDEEB2">
      <w:pPr>
        <w:pStyle w:val="7"/>
        <w:jc w:val="center"/>
        <w:rPr>
          <w:rFonts w:ascii="Times New Roman" w:hAnsi="Times New Roman"/>
          <w:b/>
          <w:bCs/>
          <w:strike w:val="0"/>
          <w:dstrike w:val="0"/>
          <w:color w:val="auto"/>
          <w:sz w:val="32"/>
          <w:szCs w:val="24"/>
          <w:highlight w:val="none"/>
        </w:rPr>
      </w:pPr>
      <w:r>
        <w:rPr>
          <w:rFonts w:ascii="Times New Roman" w:hAnsi="Times New Roman"/>
          <w:strike w:val="0"/>
          <w:dstrike w:val="0"/>
          <w:color w:val="auto"/>
          <w:sz w:val="36"/>
          <w:szCs w:val="22"/>
          <w:highlight w:val="none"/>
        </w:rPr>
        <w:br w:type="page"/>
      </w:r>
      <w:r>
        <w:rPr>
          <w:rFonts w:ascii="Times New Roman" w:hAnsi="Times New Roman"/>
          <w:b/>
          <w:bCs/>
          <w:strike w:val="0"/>
          <w:dstrike w:val="0"/>
          <w:color w:val="auto"/>
          <w:sz w:val="32"/>
          <w:szCs w:val="24"/>
          <w:highlight w:val="none"/>
        </w:rPr>
        <w:t>1总论</w:t>
      </w:r>
    </w:p>
    <w:p w14:paraId="1AE6D9FB">
      <w:pPr>
        <w:pStyle w:val="4"/>
        <w:spacing w:before="0" w:after="0" w:line="360" w:lineRule="auto"/>
        <w:ind w:firstLine="643" w:firstLineChars="200"/>
        <w:rPr>
          <w:rFonts w:ascii="Times New Roman" w:hAnsi="Times New Roman" w:eastAsia="宋体"/>
          <w:strike w:val="0"/>
          <w:dstrike w:val="0"/>
          <w:color w:val="auto"/>
          <w:highlight w:val="none"/>
        </w:rPr>
      </w:pPr>
      <w:r>
        <w:rPr>
          <w:rFonts w:ascii="Times New Roman" w:hAnsi="Times New Roman" w:eastAsia="宋体"/>
          <w:strike w:val="0"/>
          <w:dstrike w:val="0"/>
          <w:color w:val="auto"/>
          <w:highlight w:val="none"/>
        </w:rPr>
        <w:t>1.1任务由来</w:t>
      </w:r>
    </w:p>
    <w:p w14:paraId="139C8CBE">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根据《建设项目环境影响报告编制技术指南》(污染影响类)要求</w:t>
      </w:r>
      <w:bookmarkStart w:id="161" w:name="OfficeAI_Add_0_29"/>
      <w:r>
        <w:rPr>
          <w:rFonts w:hint="eastAsia"/>
          <w:strike w:val="0"/>
          <w:dstrike w:val="0"/>
          <w:color w:val="auto"/>
          <w:sz w:val="24"/>
          <w:szCs w:val="32"/>
          <w:highlight w:val="none"/>
          <w:lang w:eastAsia="zh-CN"/>
        </w:rPr>
        <w:t>，</w:t>
      </w:r>
      <w:bookmarkEnd w:id="161"/>
      <w:r>
        <w:rPr>
          <w:strike w:val="0"/>
          <w:dstrike w:val="0"/>
          <w:color w:val="auto"/>
          <w:sz w:val="24"/>
          <w:szCs w:val="32"/>
          <w:highlight w:val="none"/>
        </w:rPr>
        <w:t>有毒有害和易燃易爆危险物质储存超过临界量的项目需进行环境风险</w:t>
      </w:r>
      <w:r>
        <w:rPr>
          <w:rFonts w:hint="eastAsia"/>
          <w:strike w:val="0"/>
          <w:dstrike w:val="0"/>
          <w:color w:val="auto"/>
          <w:sz w:val="24"/>
          <w:szCs w:val="32"/>
          <w:highlight w:val="none"/>
          <w:lang w:val="en-US" w:eastAsia="zh-CN"/>
        </w:rPr>
        <w:t>专项</w:t>
      </w:r>
      <w:r>
        <w:rPr>
          <w:strike w:val="0"/>
          <w:dstrike w:val="0"/>
          <w:color w:val="auto"/>
          <w:sz w:val="24"/>
          <w:szCs w:val="32"/>
          <w:highlight w:val="none"/>
        </w:rPr>
        <w:t>评价工作。因此，现设环境风险评价专章，对项目存在的环境风险</w:t>
      </w:r>
      <w:bookmarkStart w:id="162" w:name="OfficeAI_Add_0_91"/>
      <w:r>
        <w:rPr>
          <w:rFonts w:hint="eastAsia"/>
          <w:strike w:val="0"/>
          <w:dstrike w:val="0"/>
          <w:color w:val="auto"/>
          <w:sz w:val="24"/>
          <w:szCs w:val="32"/>
          <w:highlight w:val="none"/>
          <w:lang w:eastAsia="zh-CN"/>
        </w:rPr>
        <w:t>进行</w:t>
      </w:r>
      <w:bookmarkEnd w:id="162"/>
      <w:r>
        <w:rPr>
          <w:strike w:val="0"/>
          <w:dstrike w:val="0"/>
          <w:color w:val="auto"/>
          <w:sz w:val="24"/>
          <w:szCs w:val="32"/>
          <w:highlight w:val="none"/>
        </w:rPr>
        <w:t>排查，对可能造成重大环境污染的</w:t>
      </w:r>
      <w:bookmarkStart w:id="163" w:name="OfficeAI_Add_0_108"/>
      <w:r>
        <w:rPr>
          <w:rFonts w:hint="eastAsia"/>
          <w:strike w:val="0"/>
          <w:dstrike w:val="0"/>
          <w:color w:val="auto"/>
          <w:sz w:val="24"/>
          <w:szCs w:val="32"/>
          <w:highlight w:val="none"/>
          <w:lang w:eastAsia="zh-CN"/>
        </w:rPr>
        <w:t>情况</w:t>
      </w:r>
      <w:bookmarkEnd w:id="163"/>
      <w:r>
        <w:rPr>
          <w:strike w:val="0"/>
          <w:dstrike w:val="0"/>
          <w:color w:val="auto"/>
          <w:sz w:val="24"/>
          <w:szCs w:val="32"/>
          <w:highlight w:val="none"/>
        </w:rPr>
        <w:t>所做预防措施进行分析</w:t>
      </w:r>
      <w:bookmarkStart w:id="164" w:name="OfficeAI_Add_0_121"/>
      <w:r>
        <w:rPr>
          <w:rFonts w:hint="eastAsia"/>
          <w:strike w:val="0"/>
          <w:dstrike w:val="0"/>
          <w:color w:val="auto"/>
          <w:sz w:val="24"/>
          <w:szCs w:val="32"/>
          <w:highlight w:val="none"/>
          <w:lang w:eastAsia="zh-CN"/>
        </w:rPr>
        <w:t>、</w:t>
      </w:r>
      <w:bookmarkEnd w:id="164"/>
      <w:r>
        <w:rPr>
          <w:strike w:val="0"/>
          <w:dstrike w:val="0"/>
          <w:color w:val="auto"/>
          <w:sz w:val="24"/>
          <w:szCs w:val="32"/>
          <w:highlight w:val="none"/>
        </w:rPr>
        <w:t>改进措施，完善相应预案，提出建议，加强项目全过程风险管理。</w:t>
      </w:r>
    </w:p>
    <w:p w14:paraId="4A4DFEB3">
      <w:pPr>
        <w:pStyle w:val="4"/>
        <w:spacing w:before="0" w:after="0" w:line="360" w:lineRule="auto"/>
        <w:ind w:firstLine="643" w:firstLineChars="200"/>
        <w:rPr>
          <w:rFonts w:ascii="Times New Roman" w:hAnsi="Times New Roman" w:eastAsia="宋体"/>
          <w:strike w:val="0"/>
          <w:dstrike w:val="0"/>
          <w:color w:val="auto"/>
          <w:highlight w:val="none"/>
        </w:rPr>
      </w:pPr>
      <w:r>
        <w:rPr>
          <w:rFonts w:ascii="Times New Roman" w:hAnsi="Times New Roman" w:eastAsia="宋体"/>
          <w:strike w:val="0"/>
          <w:dstrike w:val="0"/>
          <w:color w:val="auto"/>
          <w:highlight w:val="none"/>
        </w:rPr>
        <w:t>1.2编制依据</w:t>
      </w:r>
    </w:p>
    <w:p w14:paraId="245BDD24">
      <w:pPr>
        <w:spacing w:line="360" w:lineRule="auto"/>
        <w:ind w:firstLine="562" w:firstLineChars="200"/>
        <w:rPr>
          <w:b/>
          <w:bCs/>
          <w:strike w:val="0"/>
          <w:dstrike w:val="0"/>
          <w:color w:val="auto"/>
          <w:sz w:val="28"/>
          <w:szCs w:val="36"/>
          <w:highlight w:val="none"/>
        </w:rPr>
      </w:pPr>
      <w:r>
        <w:rPr>
          <w:b/>
          <w:bCs/>
          <w:strike w:val="0"/>
          <w:dstrike w:val="0"/>
          <w:color w:val="auto"/>
          <w:sz w:val="28"/>
          <w:szCs w:val="36"/>
          <w:highlight w:val="none"/>
        </w:rPr>
        <w:t>1.2.1法律法规</w:t>
      </w:r>
    </w:p>
    <w:p w14:paraId="39888479">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《中华人民共和国突发事件应对法》（2007年11月1日起实施）；</w:t>
      </w:r>
    </w:p>
    <w:p w14:paraId="69F91C51">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《中华人民共和国</w:t>
      </w:r>
      <w:r>
        <w:rPr>
          <w:rFonts w:hint="eastAsia"/>
          <w:strike w:val="0"/>
          <w:dstrike w:val="0"/>
          <w:color w:val="auto"/>
          <w:sz w:val="24"/>
          <w:highlight w:val="none"/>
          <w:lang w:val="en-US" w:eastAsia="zh-CN"/>
        </w:rPr>
        <w:t>环境影响评价</w:t>
      </w:r>
      <w:r>
        <w:rPr>
          <w:strike w:val="0"/>
          <w:dstrike w:val="0"/>
          <w:color w:val="auto"/>
          <w:sz w:val="24"/>
          <w:highlight w:val="none"/>
        </w:rPr>
        <w:t>法》（20</w:t>
      </w:r>
      <w:r>
        <w:rPr>
          <w:rFonts w:hint="eastAsia"/>
          <w:strike w:val="0"/>
          <w:dstrike w:val="0"/>
          <w:color w:val="auto"/>
          <w:sz w:val="24"/>
          <w:highlight w:val="none"/>
          <w:lang w:val="en-US" w:eastAsia="zh-CN"/>
        </w:rPr>
        <w:t>18</w:t>
      </w:r>
      <w:r>
        <w:rPr>
          <w:strike w:val="0"/>
          <w:dstrike w:val="0"/>
          <w:color w:val="auto"/>
          <w:sz w:val="24"/>
          <w:highlight w:val="none"/>
        </w:rPr>
        <w:t>年</w:t>
      </w:r>
      <w:r>
        <w:rPr>
          <w:rFonts w:hint="eastAsia"/>
          <w:strike w:val="0"/>
          <w:dstrike w:val="0"/>
          <w:color w:val="auto"/>
          <w:sz w:val="24"/>
          <w:highlight w:val="none"/>
          <w:lang w:val="en-US" w:eastAsia="zh-CN"/>
        </w:rPr>
        <w:t>12</w:t>
      </w:r>
      <w:r>
        <w:rPr>
          <w:strike w:val="0"/>
          <w:dstrike w:val="0"/>
          <w:color w:val="auto"/>
          <w:sz w:val="24"/>
          <w:highlight w:val="none"/>
        </w:rPr>
        <w:t>月</w:t>
      </w:r>
      <w:r>
        <w:rPr>
          <w:rFonts w:hint="eastAsia"/>
          <w:strike w:val="0"/>
          <w:dstrike w:val="0"/>
          <w:color w:val="auto"/>
          <w:sz w:val="24"/>
          <w:highlight w:val="none"/>
          <w:lang w:val="en-US" w:eastAsia="zh-CN"/>
        </w:rPr>
        <w:t>29日</w:t>
      </w:r>
      <w:r>
        <w:rPr>
          <w:strike w:val="0"/>
          <w:dstrike w:val="0"/>
          <w:color w:val="auto"/>
          <w:sz w:val="24"/>
          <w:highlight w:val="none"/>
        </w:rPr>
        <w:t>修订版）；</w:t>
      </w:r>
    </w:p>
    <w:p w14:paraId="08F34B4F">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《中华人民共和国环境保护法》（2015年1月1日实施）；</w:t>
      </w:r>
    </w:p>
    <w:p w14:paraId="0384300A">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《中华人民共和国水污染防治法》（2018年1月1日起实施）；</w:t>
      </w:r>
    </w:p>
    <w:p w14:paraId="685440E9">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《中华人民共和国大气污染防治法》（2018年10月26日修正版）；</w:t>
      </w:r>
    </w:p>
    <w:p w14:paraId="6738382B">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《中华人民共和国消防法》（国家主席令[2008]第6号、2021年4月29日修正版）；</w:t>
      </w:r>
    </w:p>
    <w:p w14:paraId="23EAB84C">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《国务院关于加强环境保护重点工作的意见》（国发〔2011〕35号）；</w:t>
      </w:r>
    </w:p>
    <w:p w14:paraId="3C46F571">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《突发环境事件信息报告办法》（2011年5月1日起实施）；</w:t>
      </w:r>
    </w:p>
    <w:p w14:paraId="48319A8A">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《化学品环境风险防控“十二五</w:t>
      </w:r>
      <w:r>
        <w:rPr>
          <w:rFonts w:hint="eastAsia"/>
          <w:strike w:val="0"/>
          <w:dstrike w:val="0"/>
          <w:color w:val="auto"/>
          <w:sz w:val="24"/>
          <w:highlight w:val="none"/>
        </w:rPr>
        <w:t>”</w:t>
      </w:r>
      <w:r>
        <w:rPr>
          <w:strike w:val="0"/>
          <w:dstrike w:val="0"/>
          <w:color w:val="auto"/>
          <w:sz w:val="24"/>
          <w:highlight w:val="none"/>
        </w:rPr>
        <w:t>规划》（环发〔2013〕20号）；</w:t>
      </w:r>
    </w:p>
    <w:p w14:paraId="39D64E95">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《突发环境事件应急管理办法》（2015年6月5日起实施）；</w:t>
      </w:r>
    </w:p>
    <w:p w14:paraId="29252BAD">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《企业事业单位突发环境事件应急预案备案管理办法（试行）》（环发〔2015〕4号）；</w:t>
      </w:r>
    </w:p>
    <w:p w14:paraId="1F1BA974">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《重庆市人民政府办公厅关于印发重庆市突发事件应急预案管理实施办法的通知》（渝府办发〔2022〕37号）；</w:t>
      </w:r>
    </w:p>
    <w:p w14:paraId="1D54C2FD">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《危险化学品安全管理条例》（2016年修正本）；</w:t>
      </w:r>
    </w:p>
    <w:p w14:paraId="7B52BB6C">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《企业突发环境事件隐患排查和治理工作指南（试行）》（环保部公告2016年第74号）；</w:t>
      </w:r>
    </w:p>
    <w:p w14:paraId="3C9E91F2">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《重庆市环境保护条例》（2018年修订）；</w:t>
      </w:r>
    </w:p>
    <w:p w14:paraId="24418014">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《关于做好2018年度重点突发环境事件风险企业和工业园区信息登记及深化突发环境事件应急预案管理工作的通知》（渝环办〔2018〕93号）；</w:t>
      </w:r>
    </w:p>
    <w:p w14:paraId="25D7BB26">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《企业事业单位突发环境事件应急预案评审工作指南（试行）》（环办应急[2018]8号）。</w:t>
      </w:r>
    </w:p>
    <w:p w14:paraId="11497C8F">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《产业结构调整指导目录》（2024年本）；</w:t>
      </w:r>
    </w:p>
    <w:p w14:paraId="2C997E76">
      <w:pPr>
        <w:numPr>
          <w:ilvl w:val="0"/>
          <w:numId w:val="13"/>
        </w:numPr>
        <w:spacing w:line="360" w:lineRule="auto"/>
        <w:ind w:firstLine="480" w:firstLineChars="200"/>
        <w:rPr>
          <w:strike w:val="0"/>
          <w:dstrike w:val="0"/>
          <w:color w:val="auto"/>
          <w:sz w:val="24"/>
          <w:highlight w:val="none"/>
        </w:rPr>
      </w:pPr>
      <w:r>
        <w:rPr>
          <w:strike w:val="0"/>
          <w:dstrike w:val="0"/>
          <w:color w:val="auto"/>
          <w:sz w:val="24"/>
          <w:highlight w:val="none"/>
        </w:rPr>
        <w:t>《建设项目环境影响评价分类管理名录》（2021年版）。</w:t>
      </w:r>
    </w:p>
    <w:p w14:paraId="33A27F9F">
      <w:pPr>
        <w:spacing w:line="360" w:lineRule="auto"/>
        <w:ind w:firstLine="562" w:firstLineChars="200"/>
        <w:rPr>
          <w:b/>
          <w:bCs/>
          <w:strike w:val="0"/>
          <w:dstrike w:val="0"/>
          <w:color w:val="auto"/>
          <w:sz w:val="28"/>
          <w:szCs w:val="36"/>
          <w:highlight w:val="none"/>
        </w:rPr>
      </w:pPr>
      <w:r>
        <w:rPr>
          <w:b/>
          <w:bCs/>
          <w:strike w:val="0"/>
          <w:dstrike w:val="0"/>
          <w:color w:val="auto"/>
          <w:sz w:val="28"/>
          <w:szCs w:val="36"/>
          <w:highlight w:val="none"/>
        </w:rPr>
        <w:t>1.2.2技术导则</w:t>
      </w:r>
    </w:p>
    <w:p w14:paraId="5E62D9A6">
      <w:pPr>
        <w:spacing w:line="360" w:lineRule="auto"/>
        <w:ind w:firstLine="480" w:firstLineChars="200"/>
        <w:rPr>
          <w:strike w:val="0"/>
          <w:dstrike w:val="0"/>
          <w:color w:val="auto"/>
          <w:sz w:val="24"/>
          <w:szCs w:val="32"/>
          <w:highlight w:val="none"/>
        </w:rPr>
      </w:pPr>
      <w:r>
        <w:rPr>
          <w:rFonts w:hint="eastAsia"/>
          <w:strike w:val="0"/>
          <w:dstrike w:val="0"/>
          <w:color w:val="auto"/>
          <w:sz w:val="24"/>
          <w:szCs w:val="32"/>
          <w:highlight w:val="none"/>
          <w:lang w:eastAsia="zh-CN"/>
        </w:rPr>
        <w:t>（</w:t>
      </w:r>
      <w:r>
        <w:rPr>
          <w:rFonts w:hint="eastAsia"/>
          <w:strike w:val="0"/>
          <w:dstrike w:val="0"/>
          <w:color w:val="auto"/>
          <w:sz w:val="24"/>
          <w:szCs w:val="32"/>
          <w:highlight w:val="none"/>
          <w:lang w:val="en-US" w:eastAsia="zh-CN"/>
        </w:rPr>
        <w:t>1</w:t>
      </w:r>
      <w:r>
        <w:rPr>
          <w:rFonts w:hint="eastAsia"/>
          <w:strike w:val="0"/>
          <w:dstrike w:val="0"/>
          <w:color w:val="auto"/>
          <w:sz w:val="24"/>
          <w:szCs w:val="32"/>
          <w:highlight w:val="none"/>
          <w:lang w:eastAsia="zh-CN"/>
        </w:rPr>
        <w:t>）</w:t>
      </w:r>
      <w:r>
        <w:rPr>
          <w:strike w:val="0"/>
          <w:dstrike w:val="0"/>
          <w:color w:val="auto"/>
          <w:sz w:val="24"/>
          <w:szCs w:val="32"/>
          <w:highlight w:val="none"/>
        </w:rPr>
        <w:t>《建设项目环境影响评价技术导则总纲》（HJ 2.1-2016）；</w:t>
      </w:r>
    </w:p>
    <w:p w14:paraId="6E50EFA7">
      <w:pPr>
        <w:spacing w:line="360" w:lineRule="auto"/>
        <w:ind w:firstLine="480" w:firstLineChars="200"/>
        <w:rPr>
          <w:rFonts w:hint="eastAsia"/>
          <w:strike w:val="0"/>
          <w:dstrike w:val="0"/>
          <w:color w:val="auto"/>
          <w:sz w:val="24"/>
          <w:szCs w:val="32"/>
          <w:highlight w:val="none"/>
          <w:lang w:eastAsia="zh-CN"/>
        </w:rPr>
      </w:pPr>
      <w:r>
        <w:rPr>
          <w:rFonts w:hint="eastAsia"/>
          <w:strike w:val="0"/>
          <w:dstrike w:val="0"/>
          <w:color w:val="auto"/>
          <w:sz w:val="24"/>
          <w:szCs w:val="32"/>
          <w:highlight w:val="none"/>
          <w:lang w:eastAsia="zh-CN"/>
        </w:rPr>
        <w:t>（</w:t>
      </w:r>
      <w:r>
        <w:rPr>
          <w:rFonts w:hint="eastAsia"/>
          <w:strike w:val="0"/>
          <w:dstrike w:val="0"/>
          <w:color w:val="auto"/>
          <w:sz w:val="24"/>
          <w:szCs w:val="32"/>
          <w:highlight w:val="none"/>
          <w:lang w:val="en-US" w:eastAsia="zh-CN"/>
        </w:rPr>
        <w:t>2</w:t>
      </w:r>
      <w:r>
        <w:rPr>
          <w:rFonts w:hint="eastAsia"/>
          <w:strike w:val="0"/>
          <w:dstrike w:val="0"/>
          <w:color w:val="auto"/>
          <w:sz w:val="24"/>
          <w:szCs w:val="32"/>
          <w:highlight w:val="none"/>
          <w:lang w:eastAsia="zh-CN"/>
        </w:rPr>
        <w:t>）</w:t>
      </w:r>
      <w:r>
        <w:rPr>
          <w:strike w:val="0"/>
          <w:dstrike w:val="0"/>
          <w:color w:val="auto"/>
          <w:sz w:val="24"/>
          <w:szCs w:val="32"/>
          <w:highlight w:val="none"/>
        </w:rPr>
        <w:t>《建设项目环境风险评价技术导则》（HJ 169-2018）</w:t>
      </w:r>
      <w:r>
        <w:rPr>
          <w:rFonts w:hint="eastAsia"/>
          <w:strike w:val="0"/>
          <w:dstrike w:val="0"/>
          <w:color w:val="auto"/>
          <w:sz w:val="24"/>
          <w:szCs w:val="32"/>
          <w:highlight w:val="none"/>
          <w:lang w:eastAsia="zh-CN"/>
        </w:rPr>
        <w:t>；</w:t>
      </w:r>
    </w:p>
    <w:p w14:paraId="16CB64FE">
      <w:pPr>
        <w:spacing w:line="360" w:lineRule="auto"/>
        <w:ind w:firstLine="480" w:firstLineChars="200"/>
        <w:rPr>
          <w:strike w:val="0"/>
          <w:dstrike w:val="0"/>
          <w:color w:val="auto"/>
          <w:sz w:val="24"/>
          <w:szCs w:val="32"/>
          <w:highlight w:val="none"/>
        </w:rPr>
      </w:pPr>
      <w:r>
        <w:rPr>
          <w:rFonts w:hint="eastAsia"/>
          <w:strike w:val="0"/>
          <w:dstrike w:val="0"/>
          <w:color w:val="auto"/>
          <w:sz w:val="24"/>
          <w:szCs w:val="32"/>
          <w:highlight w:val="none"/>
          <w:lang w:eastAsia="zh-CN"/>
        </w:rPr>
        <w:t>（</w:t>
      </w:r>
      <w:r>
        <w:rPr>
          <w:rFonts w:hint="eastAsia"/>
          <w:strike w:val="0"/>
          <w:dstrike w:val="0"/>
          <w:color w:val="auto"/>
          <w:sz w:val="24"/>
          <w:szCs w:val="32"/>
          <w:highlight w:val="none"/>
          <w:lang w:val="en-US" w:eastAsia="zh-CN"/>
        </w:rPr>
        <w:t>3</w:t>
      </w:r>
      <w:r>
        <w:rPr>
          <w:rFonts w:hint="eastAsia"/>
          <w:strike w:val="0"/>
          <w:dstrike w:val="0"/>
          <w:color w:val="auto"/>
          <w:sz w:val="24"/>
          <w:szCs w:val="32"/>
          <w:highlight w:val="none"/>
          <w:lang w:eastAsia="zh-CN"/>
        </w:rPr>
        <w:t>）《</w:t>
      </w:r>
      <w:r>
        <w:rPr>
          <w:rFonts w:hint="eastAsia"/>
          <w:strike w:val="0"/>
          <w:dstrike w:val="0"/>
          <w:color w:val="auto"/>
          <w:sz w:val="24"/>
          <w:szCs w:val="32"/>
          <w:highlight w:val="none"/>
          <w:lang w:val="en-US" w:eastAsia="zh-CN"/>
        </w:rPr>
        <w:t>建设项目环境影响报告表编制技术指南</w:t>
      </w:r>
      <w:r>
        <w:rPr>
          <w:rFonts w:hint="eastAsia"/>
          <w:strike w:val="0"/>
          <w:dstrike w:val="0"/>
          <w:color w:val="auto"/>
          <w:sz w:val="24"/>
          <w:szCs w:val="32"/>
          <w:highlight w:val="none"/>
          <w:lang w:eastAsia="zh-CN"/>
        </w:rPr>
        <w:t>》（</w:t>
      </w:r>
      <w:r>
        <w:rPr>
          <w:rFonts w:hint="eastAsia"/>
          <w:strike w:val="0"/>
          <w:dstrike w:val="0"/>
          <w:color w:val="auto"/>
          <w:sz w:val="24"/>
          <w:szCs w:val="32"/>
          <w:highlight w:val="none"/>
          <w:lang w:val="en-US" w:eastAsia="zh-CN"/>
        </w:rPr>
        <w:t>污染影响类</w:t>
      </w:r>
      <w:r>
        <w:rPr>
          <w:rFonts w:hint="eastAsia"/>
          <w:strike w:val="0"/>
          <w:dstrike w:val="0"/>
          <w:color w:val="auto"/>
          <w:sz w:val="24"/>
          <w:szCs w:val="32"/>
          <w:highlight w:val="none"/>
          <w:lang w:eastAsia="zh-CN"/>
        </w:rPr>
        <w:t>）</w:t>
      </w:r>
      <w:r>
        <w:rPr>
          <w:strike w:val="0"/>
          <w:dstrike w:val="0"/>
          <w:color w:val="auto"/>
          <w:sz w:val="24"/>
          <w:szCs w:val="32"/>
          <w:highlight w:val="none"/>
        </w:rPr>
        <w:t>(试行)。</w:t>
      </w:r>
    </w:p>
    <w:p w14:paraId="60A2D52A">
      <w:pPr>
        <w:pStyle w:val="4"/>
        <w:spacing w:before="0" w:after="0" w:line="360" w:lineRule="auto"/>
        <w:ind w:firstLine="643" w:firstLineChars="200"/>
        <w:rPr>
          <w:rFonts w:ascii="Times New Roman" w:hAnsi="Times New Roman" w:eastAsia="宋体"/>
          <w:strike w:val="0"/>
          <w:dstrike w:val="0"/>
          <w:color w:val="auto"/>
          <w:highlight w:val="none"/>
        </w:rPr>
      </w:pPr>
      <w:r>
        <w:rPr>
          <w:rFonts w:ascii="Times New Roman" w:hAnsi="Times New Roman" w:eastAsia="宋体"/>
          <w:strike w:val="0"/>
          <w:dstrike w:val="0"/>
          <w:color w:val="auto"/>
          <w:highlight w:val="none"/>
        </w:rPr>
        <w:t>1.3评价目的</w:t>
      </w:r>
    </w:p>
    <w:p w14:paraId="7A31A566">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分析和预测建设项目存在的潜在危险、有害因素，项目建设和运行期间可能发生的突发性事件和事故，引起有毒有害和易燃易爆等物质泄漏，所造成的人身安全与环境影响及损害程度，提出合理可行的防范、应急与减缓措施，以使建设项目事故率、损失和环境影响达到可接受的水平。</w:t>
      </w:r>
    </w:p>
    <w:p w14:paraId="3A83DF75">
      <w:pPr>
        <w:pStyle w:val="4"/>
        <w:spacing w:before="0" w:after="0" w:line="360" w:lineRule="auto"/>
        <w:ind w:firstLine="643" w:firstLineChars="200"/>
        <w:rPr>
          <w:rFonts w:ascii="Times New Roman" w:hAnsi="Times New Roman" w:eastAsia="宋体"/>
          <w:strike w:val="0"/>
          <w:dstrike w:val="0"/>
          <w:color w:val="auto"/>
          <w:highlight w:val="none"/>
        </w:rPr>
      </w:pPr>
      <w:r>
        <w:rPr>
          <w:rFonts w:ascii="Times New Roman" w:hAnsi="Times New Roman" w:eastAsia="宋体"/>
          <w:strike w:val="0"/>
          <w:dstrike w:val="0"/>
          <w:color w:val="auto"/>
          <w:highlight w:val="none"/>
        </w:rPr>
        <w:t>1.4评价重点</w:t>
      </w:r>
    </w:p>
    <w:p w14:paraId="5EA55003">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鉴于项目对环境的影响主要为火灾、爆炸事故危害，其属于安全评价的主要内容，因此，本次环评仅对项目营运期存在的环境风险进行识别，收集国内同行业事故统计分析，确定最大事故概率，并对事故的影响进行分析，</w:t>
      </w:r>
      <w:bookmarkStart w:id="165" w:name="OfficeAI_Del_0_98"/>
      <w:r>
        <w:rPr>
          <w:strike w:val="0"/>
          <w:dstrike w:val="0"/>
          <w:color w:val="auto"/>
          <w:sz w:val="24"/>
          <w:szCs w:val="32"/>
          <w:highlight w:val="none"/>
        </w:rPr>
        <w:t>并</w:t>
      </w:r>
      <w:bookmarkEnd w:id="165"/>
      <w:bookmarkStart w:id="166" w:name="OfficeAI_Add_0_99"/>
      <w:r>
        <w:rPr>
          <w:rFonts w:hint="eastAsia"/>
          <w:strike w:val="0"/>
          <w:dstrike w:val="0"/>
          <w:color w:val="auto"/>
          <w:sz w:val="24"/>
          <w:szCs w:val="32"/>
          <w:highlight w:val="none"/>
          <w:lang w:eastAsia="zh-CN"/>
        </w:rPr>
        <w:t>同时</w:t>
      </w:r>
      <w:bookmarkEnd w:id="166"/>
      <w:r>
        <w:rPr>
          <w:strike w:val="0"/>
          <w:dstrike w:val="0"/>
          <w:color w:val="auto"/>
          <w:sz w:val="24"/>
          <w:szCs w:val="32"/>
          <w:highlight w:val="none"/>
        </w:rPr>
        <w:t>提出防范、减缓措施和应急预案。</w:t>
      </w:r>
    </w:p>
    <w:p w14:paraId="6B715EE2">
      <w:pPr>
        <w:spacing w:line="360" w:lineRule="auto"/>
        <w:ind w:firstLine="420" w:firstLineChars="200"/>
        <w:jc w:val="center"/>
        <w:rPr>
          <w:rStyle w:val="77"/>
          <w:rFonts w:eastAsia="宋体"/>
          <w:strike w:val="0"/>
          <w:dstrike w:val="0"/>
          <w:color w:val="auto"/>
          <w:highlight w:val="none"/>
        </w:rPr>
      </w:pPr>
      <w:r>
        <w:rPr>
          <w:strike w:val="0"/>
          <w:dstrike w:val="0"/>
          <w:color w:val="auto"/>
          <w:highlight w:val="none"/>
        </w:rPr>
        <w:br w:type="page"/>
      </w:r>
      <w:r>
        <w:rPr>
          <w:rStyle w:val="77"/>
          <w:rFonts w:eastAsia="宋体"/>
          <w:strike w:val="0"/>
          <w:dstrike w:val="0"/>
          <w:color w:val="auto"/>
          <w:highlight w:val="none"/>
        </w:rPr>
        <w:t>2评价工作程序</w:t>
      </w:r>
    </w:p>
    <w:p w14:paraId="094FF6A4">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本次环境风险评价工作程序见下图。</w:t>
      </w:r>
    </w:p>
    <w:p w14:paraId="3FD8D1F0">
      <w:pPr>
        <w:spacing w:line="360" w:lineRule="auto"/>
        <w:rPr>
          <w:strike w:val="0"/>
          <w:dstrike w:val="0"/>
          <w:color w:val="auto"/>
          <w:highlight w:val="none"/>
        </w:rPr>
      </w:pPr>
      <w:r>
        <w:rPr>
          <w:strike w:val="0"/>
          <w:dstrike w:val="0"/>
          <w:color w:val="auto"/>
          <w:highlight w:val="none"/>
        </w:rPr>
        <w:drawing>
          <wp:inline distT="0" distB="0" distL="114300" distR="114300">
            <wp:extent cx="5581650" cy="5753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8"/>
                    <a:stretch>
                      <a:fillRect/>
                    </a:stretch>
                  </pic:blipFill>
                  <pic:spPr>
                    <a:xfrm>
                      <a:off x="0" y="0"/>
                      <a:ext cx="5581650" cy="5753100"/>
                    </a:xfrm>
                    <a:prstGeom prst="rect">
                      <a:avLst/>
                    </a:prstGeom>
                    <a:noFill/>
                    <a:ln>
                      <a:noFill/>
                    </a:ln>
                  </pic:spPr>
                </pic:pic>
              </a:graphicData>
            </a:graphic>
          </wp:inline>
        </w:drawing>
      </w:r>
    </w:p>
    <w:p w14:paraId="7FF7A829">
      <w:pPr>
        <w:pStyle w:val="30"/>
        <w:spacing w:line="240" w:lineRule="auto"/>
        <w:jc w:val="center"/>
        <w:outlineLvl w:val="9"/>
        <w:rPr>
          <w:rFonts w:ascii="Times New Roman"/>
          <w:strike w:val="0"/>
          <w:dstrike w:val="0"/>
          <w:color w:val="auto"/>
          <w:highlight w:val="none"/>
        </w:rPr>
      </w:pPr>
      <w:r>
        <w:rPr>
          <w:rFonts w:ascii="Times New Roman"/>
          <w:strike w:val="0"/>
          <w:dstrike w:val="0"/>
          <w:color w:val="auto"/>
          <w:highlight w:val="none"/>
        </w:rPr>
        <w:t>图1  评价工作程序</w:t>
      </w:r>
    </w:p>
    <w:p w14:paraId="171AAF57">
      <w:pPr>
        <w:pStyle w:val="3"/>
        <w:jc w:val="center"/>
        <w:rPr>
          <w:rFonts w:eastAsia="宋体"/>
          <w:strike w:val="0"/>
          <w:dstrike w:val="0"/>
          <w:color w:val="auto"/>
          <w:highlight w:val="none"/>
        </w:rPr>
      </w:pPr>
      <w:r>
        <w:rPr>
          <w:rFonts w:eastAsia="宋体"/>
          <w:b w:val="0"/>
          <w:bCs w:val="0"/>
          <w:strike w:val="0"/>
          <w:dstrike w:val="0"/>
          <w:color w:val="auto"/>
          <w:sz w:val="24"/>
          <w:szCs w:val="24"/>
          <w:highlight w:val="none"/>
        </w:rPr>
        <w:br w:type="page"/>
      </w:r>
      <w:r>
        <w:rPr>
          <w:rFonts w:hint="eastAsia" w:eastAsia="宋体"/>
          <w:strike w:val="0"/>
          <w:dstrike w:val="0"/>
          <w:color w:val="auto"/>
          <w:highlight w:val="none"/>
        </w:rPr>
        <w:t>2</w:t>
      </w:r>
      <w:r>
        <w:rPr>
          <w:rFonts w:eastAsia="宋体"/>
          <w:strike w:val="0"/>
          <w:dstrike w:val="0"/>
          <w:color w:val="auto"/>
          <w:highlight w:val="none"/>
        </w:rPr>
        <w:t>风险调查</w:t>
      </w:r>
    </w:p>
    <w:p w14:paraId="04DB6C88">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rPr>
        <w:t>2</w:t>
      </w:r>
      <w:r>
        <w:rPr>
          <w:rFonts w:ascii="Times New Roman" w:hAnsi="Times New Roman" w:eastAsia="宋体"/>
          <w:strike w:val="0"/>
          <w:dstrike w:val="0"/>
          <w:color w:val="auto"/>
          <w:highlight w:val="none"/>
        </w:rPr>
        <w:t>.1建设项目风险源调查</w:t>
      </w:r>
    </w:p>
    <w:p w14:paraId="48C41721">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建设项目风险源调查建设项目危险物质数量和分布情况以及工艺特点。</w:t>
      </w:r>
    </w:p>
    <w:p w14:paraId="25078259">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⑴物质危险性识别</w:t>
      </w:r>
    </w:p>
    <w:p w14:paraId="3DB4B4CF">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物质危险性识别</w:t>
      </w:r>
      <w:r>
        <w:rPr>
          <w:rFonts w:hint="eastAsia"/>
          <w:strike w:val="0"/>
          <w:dstrike w:val="0"/>
          <w:color w:val="auto"/>
          <w:sz w:val="24"/>
          <w:szCs w:val="32"/>
          <w:highlight w:val="none"/>
          <w:lang w:val="en-US" w:eastAsia="zh-CN"/>
        </w:rPr>
        <w:t>，包括对</w:t>
      </w:r>
      <w:r>
        <w:rPr>
          <w:strike w:val="0"/>
          <w:dstrike w:val="0"/>
          <w:color w:val="auto"/>
          <w:sz w:val="24"/>
          <w:szCs w:val="32"/>
          <w:highlight w:val="none"/>
        </w:rPr>
        <w:t>原辅材料、产品、污染物、火灾和爆炸等伴生/次生污染物等</w:t>
      </w:r>
      <w:r>
        <w:rPr>
          <w:rFonts w:hint="eastAsia"/>
          <w:strike w:val="0"/>
          <w:dstrike w:val="0"/>
          <w:color w:val="auto"/>
          <w:sz w:val="24"/>
          <w:szCs w:val="32"/>
          <w:highlight w:val="none"/>
          <w:lang w:val="en-US" w:eastAsia="zh-CN"/>
        </w:rPr>
        <w:t>物质</w:t>
      </w:r>
      <w:r>
        <w:rPr>
          <w:strike w:val="0"/>
          <w:dstrike w:val="0"/>
          <w:color w:val="auto"/>
          <w:sz w:val="24"/>
          <w:szCs w:val="32"/>
          <w:highlight w:val="none"/>
        </w:rPr>
        <w:t>。根据对本项目原辅料、产品、污染物识别结果，本项目生产过程中涉及的风险物质为汽油、柴油、天然气。</w:t>
      </w:r>
    </w:p>
    <w:p w14:paraId="4C3B7595">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⑵物质危险性调查</w:t>
      </w:r>
    </w:p>
    <w:p w14:paraId="0907F767">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物质风险源指存在物质意外释放，并可能产生环境危害的源。本项目厂区存在可能产生环境危害的物质</w:t>
      </w:r>
      <w:r>
        <w:rPr>
          <w:rFonts w:hint="eastAsia"/>
          <w:strike w:val="0"/>
          <w:dstrike w:val="0"/>
          <w:color w:val="auto"/>
          <w:sz w:val="24"/>
          <w:szCs w:val="32"/>
          <w:highlight w:val="none"/>
        </w:rPr>
        <w:t>为</w:t>
      </w:r>
      <w:r>
        <w:rPr>
          <w:strike w:val="0"/>
          <w:dstrike w:val="0"/>
          <w:color w:val="auto"/>
          <w:sz w:val="24"/>
          <w:szCs w:val="32"/>
          <w:highlight w:val="none"/>
        </w:rPr>
        <w:t>汽油、柴油、天然气。</w:t>
      </w:r>
    </w:p>
    <w:p w14:paraId="04E30884">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汽油、柴油、</w:t>
      </w:r>
      <w:r>
        <w:rPr>
          <w:rFonts w:hint="eastAsia"/>
          <w:strike w:val="0"/>
          <w:dstrike w:val="0"/>
          <w:color w:val="auto"/>
          <w:sz w:val="24"/>
          <w:szCs w:val="32"/>
          <w:highlight w:val="none"/>
          <w:lang w:val="en-US" w:eastAsia="zh-CN"/>
        </w:rPr>
        <w:t>天然气</w:t>
      </w:r>
      <w:r>
        <w:rPr>
          <w:strike w:val="0"/>
          <w:dstrike w:val="0"/>
          <w:color w:val="auto"/>
          <w:sz w:val="24"/>
          <w:szCs w:val="32"/>
          <w:highlight w:val="none"/>
        </w:rPr>
        <w:t>理化性质和危险特性详见下表。</w:t>
      </w:r>
    </w:p>
    <w:p w14:paraId="11FEFCF3">
      <w:pPr>
        <w:keepNext/>
        <w:overflowPunct w:val="0"/>
        <w:snapToGrid w:val="0"/>
        <w:spacing w:line="360" w:lineRule="auto"/>
        <w:jc w:val="center"/>
        <w:rPr>
          <w:b/>
          <w:bCs/>
          <w:strike w:val="0"/>
          <w:dstrike w:val="0"/>
          <w:color w:val="auto"/>
          <w:sz w:val="24"/>
          <w:highlight w:val="none"/>
        </w:rPr>
      </w:pPr>
      <w:r>
        <w:rPr>
          <w:rFonts w:hint="eastAsia"/>
          <w:b/>
          <w:bCs/>
          <w:strike w:val="0"/>
          <w:dstrike w:val="0"/>
          <w:color w:val="auto"/>
          <w:sz w:val="24"/>
          <w:highlight w:val="none"/>
        </w:rPr>
        <w:t>表2.1</w:t>
      </w:r>
      <w:r>
        <w:rPr>
          <w:b/>
          <w:bCs/>
          <w:strike w:val="0"/>
          <w:dstrike w:val="0"/>
          <w:color w:val="auto"/>
          <w:sz w:val="24"/>
          <w:highlight w:val="none"/>
        </w:rPr>
        <w:t>-1 汽油的理化性质一览表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790"/>
        <w:gridCol w:w="2261"/>
        <w:gridCol w:w="2282"/>
      </w:tblGrid>
      <w:tr w14:paraId="6668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000" w:type="pct"/>
            <w:gridSpan w:val="4"/>
            <w:vAlign w:val="center"/>
          </w:tcPr>
          <w:p w14:paraId="7C2FECAD">
            <w:pPr>
              <w:jc w:val="center"/>
              <w:rPr>
                <w:strike w:val="0"/>
                <w:dstrike w:val="0"/>
                <w:color w:val="auto"/>
                <w:szCs w:val="21"/>
                <w:highlight w:val="none"/>
              </w:rPr>
            </w:pPr>
            <w:r>
              <w:rPr>
                <w:strike w:val="0"/>
                <w:dstrike w:val="0"/>
                <w:color w:val="auto"/>
                <w:szCs w:val="21"/>
                <w:highlight w:val="none"/>
              </w:rPr>
              <w:t>第一部分危险性概述</w:t>
            </w:r>
          </w:p>
        </w:tc>
      </w:tr>
      <w:tr w14:paraId="2AB0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0B5CF3D8">
            <w:pPr>
              <w:jc w:val="center"/>
              <w:rPr>
                <w:strike w:val="0"/>
                <w:dstrike w:val="0"/>
                <w:color w:val="auto"/>
                <w:szCs w:val="21"/>
                <w:highlight w:val="none"/>
              </w:rPr>
            </w:pPr>
            <w:r>
              <w:rPr>
                <w:strike w:val="0"/>
                <w:dstrike w:val="0"/>
                <w:color w:val="auto"/>
                <w:szCs w:val="21"/>
                <w:highlight w:val="none"/>
              </w:rPr>
              <w:t>危险性类别：</w:t>
            </w:r>
          </w:p>
        </w:tc>
        <w:tc>
          <w:tcPr>
            <w:tcW w:w="1540" w:type="pct"/>
            <w:vAlign w:val="center"/>
          </w:tcPr>
          <w:p w14:paraId="30DF2371">
            <w:pPr>
              <w:jc w:val="center"/>
              <w:rPr>
                <w:strike w:val="0"/>
                <w:dstrike w:val="0"/>
                <w:color w:val="auto"/>
                <w:szCs w:val="21"/>
                <w:highlight w:val="none"/>
              </w:rPr>
            </w:pPr>
            <w:r>
              <w:rPr>
                <w:strike w:val="0"/>
                <w:dstrike w:val="0"/>
                <w:color w:val="auto"/>
                <w:szCs w:val="21"/>
                <w:highlight w:val="none"/>
              </w:rPr>
              <w:t>第3.1类低闪点易燃液体。</w:t>
            </w:r>
          </w:p>
        </w:tc>
        <w:tc>
          <w:tcPr>
            <w:tcW w:w="1248" w:type="pct"/>
            <w:vAlign w:val="center"/>
          </w:tcPr>
          <w:p w14:paraId="31F28B0F">
            <w:pPr>
              <w:jc w:val="center"/>
              <w:rPr>
                <w:strike w:val="0"/>
                <w:dstrike w:val="0"/>
                <w:color w:val="auto"/>
                <w:szCs w:val="21"/>
                <w:highlight w:val="none"/>
              </w:rPr>
            </w:pPr>
            <w:r>
              <w:rPr>
                <w:strike w:val="0"/>
                <w:dstrike w:val="0"/>
                <w:color w:val="auto"/>
                <w:szCs w:val="21"/>
                <w:highlight w:val="none"/>
              </w:rPr>
              <w:t>燃爆危险：</w:t>
            </w:r>
          </w:p>
        </w:tc>
        <w:tc>
          <w:tcPr>
            <w:tcW w:w="1257" w:type="pct"/>
            <w:vAlign w:val="center"/>
          </w:tcPr>
          <w:p w14:paraId="31A1CC06">
            <w:pPr>
              <w:jc w:val="center"/>
              <w:rPr>
                <w:strike w:val="0"/>
                <w:dstrike w:val="0"/>
                <w:color w:val="auto"/>
                <w:szCs w:val="21"/>
                <w:highlight w:val="none"/>
              </w:rPr>
            </w:pPr>
            <w:r>
              <w:rPr>
                <w:strike w:val="0"/>
                <w:dstrike w:val="0"/>
                <w:color w:val="auto"/>
                <w:szCs w:val="21"/>
                <w:highlight w:val="none"/>
              </w:rPr>
              <w:t>易燃。</w:t>
            </w:r>
          </w:p>
        </w:tc>
      </w:tr>
      <w:tr w14:paraId="6964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0A5F87B3">
            <w:pPr>
              <w:jc w:val="center"/>
              <w:rPr>
                <w:strike w:val="0"/>
                <w:dstrike w:val="0"/>
                <w:color w:val="auto"/>
                <w:szCs w:val="21"/>
                <w:highlight w:val="none"/>
              </w:rPr>
            </w:pPr>
            <w:r>
              <w:rPr>
                <w:strike w:val="0"/>
                <w:dstrike w:val="0"/>
                <w:color w:val="auto"/>
                <w:szCs w:val="21"/>
                <w:highlight w:val="none"/>
              </w:rPr>
              <w:t>侵入途径：</w:t>
            </w:r>
          </w:p>
        </w:tc>
        <w:tc>
          <w:tcPr>
            <w:tcW w:w="1540" w:type="pct"/>
            <w:vAlign w:val="center"/>
          </w:tcPr>
          <w:p w14:paraId="311FF93B">
            <w:pPr>
              <w:jc w:val="center"/>
              <w:rPr>
                <w:strike w:val="0"/>
                <w:dstrike w:val="0"/>
                <w:color w:val="auto"/>
                <w:szCs w:val="21"/>
                <w:highlight w:val="none"/>
              </w:rPr>
            </w:pPr>
            <w:r>
              <w:rPr>
                <w:strike w:val="0"/>
                <w:dstrike w:val="0"/>
                <w:color w:val="auto"/>
                <w:szCs w:val="21"/>
                <w:highlight w:val="none"/>
              </w:rPr>
              <w:t>吸入、食入、经皮吸收。</w:t>
            </w:r>
          </w:p>
        </w:tc>
        <w:tc>
          <w:tcPr>
            <w:tcW w:w="1248" w:type="pct"/>
            <w:vAlign w:val="center"/>
          </w:tcPr>
          <w:p w14:paraId="33A53E0C">
            <w:pPr>
              <w:jc w:val="center"/>
              <w:rPr>
                <w:strike w:val="0"/>
                <w:dstrike w:val="0"/>
                <w:color w:val="auto"/>
                <w:szCs w:val="21"/>
                <w:highlight w:val="none"/>
              </w:rPr>
            </w:pPr>
            <w:r>
              <w:rPr>
                <w:strike w:val="0"/>
                <w:dstrike w:val="0"/>
                <w:color w:val="auto"/>
                <w:szCs w:val="21"/>
                <w:highlight w:val="none"/>
              </w:rPr>
              <w:t>有害燃烧产物：</w:t>
            </w:r>
          </w:p>
        </w:tc>
        <w:tc>
          <w:tcPr>
            <w:tcW w:w="1257" w:type="pct"/>
            <w:vAlign w:val="center"/>
          </w:tcPr>
          <w:p w14:paraId="42F316A9">
            <w:pPr>
              <w:jc w:val="center"/>
              <w:rPr>
                <w:strike w:val="0"/>
                <w:dstrike w:val="0"/>
                <w:color w:val="auto"/>
                <w:szCs w:val="21"/>
                <w:highlight w:val="none"/>
              </w:rPr>
            </w:pPr>
            <w:r>
              <w:rPr>
                <w:strike w:val="0"/>
                <w:dstrike w:val="0"/>
                <w:color w:val="auto"/>
                <w:szCs w:val="21"/>
                <w:highlight w:val="none"/>
              </w:rPr>
              <w:t>一氧化碳、二氧化碳</w:t>
            </w:r>
          </w:p>
        </w:tc>
      </w:tr>
      <w:tr w14:paraId="5EAB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7477FC82">
            <w:pPr>
              <w:jc w:val="center"/>
              <w:rPr>
                <w:strike w:val="0"/>
                <w:dstrike w:val="0"/>
                <w:color w:val="auto"/>
                <w:szCs w:val="21"/>
                <w:highlight w:val="none"/>
              </w:rPr>
            </w:pPr>
            <w:r>
              <w:rPr>
                <w:strike w:val="0"/>
                <w:dstrike w:val="0"/>
                <w:color w:val="auto"/>
                <w:szCs w:val="21"/>
                <w:highlight w:val="none"/>
              </w:rPr>
              <w:t>健康危害：</w:t>
            </w:r>
          </w:p>
        </w:tc>
        <w:tc>
          <w:tcPr>
            <w:tcW w:w="4046" w:type="pct"/>
            <w:gridSpan w:val="3"/>
            <w:vAlign w:val="center"/>
          </w:tcPr>
          <w:p w14:paraId="6EC03ECB">
            <w:pPr>
              <w:jc w:val="left"/>
              <w:rPr>
                <w:strike w:val="0"/>
                <w:dstrike w:val="0"/>
                <w:color w:val="auto"/>
                <w:szCs w:val="21"/>
                <w:highlight w:val="none"/>
              </w:rPr>
            </w:pPr>
            <w:r>
              <w:rPr>
                <w:strike w:val="0"/>
                <w:dstrike w:val="0"/>
                <w:color w:val="auto"/>
                <w:szCs w:val="21"/>
                <w:highlight w:val="none"/>
              </w:rP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症，周围神经病，皮肤损害。</w:t>
            </w:r>
          </w:p>
        </w:tc>
      </w:tr>
      <w:tr w14:paraId="36C3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36832091">
            <w:pPr>
              <w:jc w:val="center"/>
              <w:rPr>
                <w:strike w:val="0"/>
                <w:dstrike w:val="0"/>
                <w:color w:val="auto"/>
                <w:szCs w:val="21"/>
                <w:highlight w:val="none"/>
              </w:rPr>
            </w:pPr>
            <w:r>
              <w:rPr>
                <w:strike w:val="0"/>
                <w:dstrike w:val="0"/>
                <w:color w:val="auto"/>
                <w:szCs w:val="21"/>
                <w:highlight w:val="none"/>
              </w:rPr>
              <w:t>环境危害：</w:t>
            </w:r>
          </w:p>
        </w:tc>
        <w:tc>
          <w:tcPr>
            <w:tcW w:w="4046" w:type="pct"/>
            <w:gridSpan w:val="3"/>
            <w:vAlign w:val="center"/>
          </w:tcPr>
          <w:p w14:paraId="5E78AA81">
            <w:pPr>
              <w:jc w:val="center"/>
              <w:rPr>
                <w:strike w:val="0"/>
                <w:dstrike w:val="0"/>
                <w:color w:val="auto"/>
                <w:szCs w:val="21"/>
                <w:highlight w:val="none"/>
              </w:rPr>
            </w:pPr>
            <w:r>
              <w:rPr>
                <w:strike w:val="0"/>
                <w:dstrike w:val="0"/>
                <w:color w:val="auto"/>
                <w:szCs w:val="21"/>
                <w:highlight w:val="none"/>
              </w:rPr>
              <w:t>该物质对环境有危害，应特别注意对地表水、土壤、大气和饮用水的污染。</w:t>
            </w:r>
          </w:p>
        </w:tc>
      </w:tr>
      <w:tr w14:paraId="0097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2770B75C">
            <w:pPr>
              <w:jc w:val="center"/>
              <w:rPr>
                <w:strike w:val="0"/>
                <w:dstrike w:val="0"/>
                <w:color w:val="auto"/>
                <w:szCs w:val="21"/>
                <w:highlight w:val="none"/>
              </w:rPr>
            </w:pPr>
            <w:r>
              <w:rPr>
                <w:strike w:val="0"/>
                <w:dstrike w:val="0"/>
                <w:color w:val="auto"/>
                <w:szCs w:val="21"/>
                <w:highlight w:val="none"/>
              </w:rPr>
              <w:t>第二部分理化特性</w:t>
            </w:r>
          </w:p>
        </w:tc>
      </w:tr>
      <w:tr w14:paraId="0C81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285FB25F">
            <w:pPr>
              <w:jc w:val="center"/>
              <w:rPr>
                <w:strike w:val="0"/>
                <w:dstrike w:val="0"/>
                <w:color w:val="auto"/>
                <w:szCs w:val="21"/>
                <w:highlight w:val="none"/>
              </w:rPr>
            </w:pPr>
            <w:r>
              <w:rPr>
                <w:strike w:val="0"/>
                <w:dstrike w:val="0"/>
                <w:color w:val="auto"/>
                <w:szCs w:val="21"/>
                <w:highlight w:val="none"/>
              </w:rPr>
              <w:t>外观及性状：</w:t>
            </w:r>
          </w:p>
        </w:tc>
        <w:tc>
          <w:tcPr>
            <w:tcW w:w="4046" w:type="pct"/>
            <w:gridSpan w:val="3"/>
            <w:vAlign w:val="center"/>
          </w:tcPr>
          <w:p w14:paraId="51F27292">
            <w:pPr>
              <w:jc w:val="center"/>
              <w:rPr>
                <w:strike w:val="0"/>
                <w:dstrike w:val="0"/>
                <w:color w:val="auto"/>
                <w:szCs w:val="21"/>
                <w:highlight w:val="none"/>
              </w:rPr>
            </w:pPr>
            <w:r>
              <w:rPr>
                <w:strike w:val="0"/>
                <w:dstrike w:val="0"/>
                <w:color w:val="auto"/>
                <w:szCs w:val="21"/>
                <w:highlight w:val="none"/>
              </w:rPr>
              <w:t>无色或淡黄色易挥发液体，具有特殊臭味。</w:t>
            </w:r>
          </w:p>
        </w:tc>
      </w:tr>
      <w:tr w14:paraId="603E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7C576558">
            <w:pPr>
              <w:jc w:val="center"/>
              <w:rPr>
                <w:strike w:val="0"/>
                <w:dstrike w:val="0"/>
                <w:color w:val="auto"/>
                <w:szCs w:val="21"/>
                <w:highlight w:val="none"/>
              </w:rPr>
            </w:pPr>
            <w:r>
              <w:rPr>
                <w:strike w:val="0"/>
                <w:dstrike w:val="0"/>
                <w:color w:val="auto"/>
                <w:szCs w:val="21"/>
                <w:highlight w:val="none"/>
              </w:rPr>
              <w:t>熔点（℃）：</w:t>
            </w:r>
          </w:p>
        </w:tc>
        <w:tc>
          <w:tcPr>
            <w:tcW w:w="1540" w:type="pct"/>
            <w:vAlign w:val="center"/>
          </w:tcPr>
          <w:p w14:paraId="62940CF1">
            <w:pPr>
              <w:jc w:val="center"/>
              <w:rPr>
                <w:strike w:val="0"/>
                <w:dstrike w:val="0"/>
                <w:color w:val="auto"/>
                <w:szCs w:val="21"/>
                <w:highlight w:val="none"/>
              </w:rPr>
            </w:pPr>
            <w:r>
              <w:rPr>
                <w:strike w:val="0"/>
                <w:dstrike w:val="0"/>
                <w:color w:val="auto"/>
                <w:szCs w:val="21"/>
                <w:highlight w:val="none"/>
              </w:rPr>
              <w:t>&lt;-60</w:t>
            </w:r>
          </w:p>
        </w:tc>
        <w:tc>
          <w:tcPr>
            <w:tcW w:w="1248" w:type="pct"/>
            <w:vAlign w:val="center"/>
          </w:tcPr>
          <w:p w14:paraId="30CC09EA">
            <w:pPr>
              <w:jc w:val="center"/>
              <w:rPr>
                <w:strike w:val="0"/>
                <w:dstrike w:val="0"/>
                <w:color w:val="auto"/>
                <w:szCs w:val="21"/>
                <w:highlight w:val="none"/>
              </w:rPr>
            </w:pPr>
            <w:r>
              <w:rPr>
                <w:strike w:val="0"/>
                <w:dstrike w:val="0"/>
                <w:color w:val="auto"/>
                <w:szCs w:val="21"/>
                <w:highlight w:val="none"/>
              </w:rPr>
              <w:t>相对密度（水＝1）</w:t>
            </w:r>
          </w:p>
        </w:tc>
        <w:tc>
          <w:tcPr>
            <w:tcW w:w="1257" w:type="pct"/>
            <w:vAlign w:val="center"/>
          </w:tcPr>
          <w:p w14:paraId="0D659AAC">
            <w:pPr>
              <w:jc w:val="center"/>
              <w:rPr>
                <w:strike w:val="0"/>
                <w:dstrike w:val="0"/>
                <w:color w:val="auto"/>
                <w:szCs w:val="21"/>
                <w:highlight w:val="none"/>
              </w:rPr>
            </w:pPr>
            <w:r>
              <w:rPr>
                <w:strike w:val="0"/>
                <w:dstrike w:val="0"/>
                <w:color w:val="auto"/>
                <w:szCs w:val="21"/>
                <w:highlight w:val="none"/>
              </w:rPr>
              <w:t>0.70～0.79</w:t>
            </w:r>
          </w:p>
        </w:tc>
      </w:tr>
      <w:tr w14:paraId="3C00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29FED1AC">
            <w:pPr>
              <w:jc w:val="center"/>
              <w:rPr>
                <w:strike w:val="0"/>
                <w:dstrike w:val="0"/>
                <w:color w:val="auto"/>
                <w:szCs w:val="21"/>
                <w:highlight w:val="none"/>
              </w:rPr>
            </w:pPr>
            <w:r>
              <w:rPr>
                <w:strike w:val="0"/>
                <w:dstrike w:val="0"/>
                <w:color w:val="auto"/>
                <w:szCs w:val="21"/>
                <w:highlight w:val="none"/>
              </w:rPr>
              <w:t>闪点（℃）：</w:t>
            </w:r>
          </w:p>
        </w:tc>
        <w:tc>
          <w:tcPr>
            <w:tcW w:w="1540" w:type="pct"/>
            <w:vAlign w:val="center"/>
          </w:tcPr>
          <w:p w14:paraId="63A51236">
            <w:pPr>
              <w:jc w:val="center"/>
              <w:rPr>
                <w:strike w:val="0"/>
                <w:dstrike w:val="0"/>
                <w:color w:val="auto"/>
                <w:szCs w:val="21"/>
                <w:highlight w:val="none"/>
              </w:rPr>
            </w:pPr>
            <w:r>
              <w:rPr>
                <w:strike w:val="0"/>
                <w:dstrike w:val="0"/>
                <w:color w:val="auto"/>
                <w:szCs w:val="21"/>
                <w:highlight w:val="none"/>
              </w:rPr>
              <w:t>-50</w:t>
            </w:r>
          </w:p>
        </w:tc>
        <w:tc>
          <w:tcPr>
            <w:tcW w:w="1248" w:type="pct"/>
            <w:vAlign w:val="center"/>
          </w:tcPr>
          <w:p w14:paraId="504CE768">
            <w:pPr>
              <w:jc w:val="center"/>
              <w:rPr>
                <w:strike w:val="0"/>
                <w:dstrike w:val="0"/>
                <w:color w:val="auto"/>
                <w:szCs w:val="21"/>
                <w:highlight w:val="none"/>
              </w:rPr>
            </w:pPr>
            <w:r>
              <w:rPr>
                <w:strike w:val="0"/>
                <w:dstrike w:val="0"/>
                <w:color w:val="auto"/>
                <w:szCs w:val="21"/>
                <w:highlight w:val="none"/>
              </w:rPr>
              <w:t>相对密度（空气=1）</w:t>
            </w:r>
          </w:p>
        </w:tc>
        <w:tc>
          <w:tcPr>
            <w:tcW w:w="1257" w:type="pct"/>
            <w:vAlign w:val="center"/>
          </w:tcPr>
          <w:p w14:paraId="642D2FFE">
            <w:pPr>
              <w:jc w:val="center"/>
              <w:rPr>
                <w:strike w:val="0"/>
                <w:dstrike w:val="0"/>
                <w:color w:val="auto"/>
                <w:szCs w:val="21"/>
                <w:highlight w:val="none"/>
              </w:rPr>
            </w:pPr>
            <w:r>
              <w:rPr>
                <w:strike w:val="0"/>
                <w:dstrike w:val="0"/>
                <w:color w:val="auto"/>
                <w:szCs w:val="21"/>
                <w:highlight w:val="none"/>
              </w:rPr>
              <w:t>3.5</w:t>
            </w:r>
          </w:p>
        </w:tc>
      </w:tr>
      <w:tr w14:paraId="2ADE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1645E6B6">
            <w:pPr>
              <w:jc w:val="center"/>
              <w:rPr>
                <w:strike w:val="0"/>
                <w:dstrike w:val="0"/>
                <w:color w:val="auto"/>
                <w:szCs w:val="21"/>
                <w:highlight w:val="none"/>
              </w:rPr>
            </w:pPr>
            <w:r>
              <w:rPr>
                <w:strike w:val="0"/>
                <w:dstrike w:val="0"/>
                <w:color w:val="auto"/>
                <w:szCs w:val="21"/>
                <w:highlight w:val="none"/>
              </w:rPr>
              <w:t>引燃温度（℃）：</w:t>
            </w:r>
          </w:p>
        </w:tc>
        <w:tc>
          <w:tcPr>
            <w:tcW w:w="1540" w:type="pct"/>
            <w:vAlign w:val="center"/>
          </w:tcPr>
          <w:p w14:paraId="4A77FA2D">
            <w:pPr>
              <w:jc w:val="center"/>
              <w:rPr>
                <w:strike w:val="0"/>
                <w:dstrike w:val="0"/>
                <w:color w:val="auto"/>
                <w:szCs w:val="21"/>
                <w:highlight w:val="none"/>
              </w:rPr>
            </w:pPr>
            <w:r>
              <w:rPr>
                <w:strike w:val="0"/>
                <w:dstrike w:val="0"/>
                <w:color w:val="auto"/>
                <w:szCs w:val="21"/>
                <w:highlight w:val="none"/>
              </w:rPr>
              <w:t>415～530</w:t>
            </w:r>
          </w:p>
        </w:tc>
        <w:tc>
          <w:tcPr>
            <w:tcW w:w="1248" w:type="pct"/>
            <w:vAlign w:val="center"/>
          </w:tcPr>
          <w:p w14:paraId="0CCB3CD4">
            <w:pPr>
              <w:jc w:val="center"/>
              <w:rPr>
                <w:strike w:val="0"/>
                <w:dstrike w:val="0"/>
                <w:color w:val="auto"/>
                <w:szCs w:val="21"/>
                <w:highlight w:val="none"/>
              </w:rPr>
            </w:pPr>
            <w:r>
              <w:rPr>
                <w:strike w:val="0"/>
                <w:dstrike w:val="0"/>
                <w:color w:val="auto"/>
                <w:szCs w:val="21"/>
                <w:highlight w:val="none"/>
              </w:rPr>
              <w:t>爆炸上限％（V/V）：</w:t>
            </w:r>
          </w:p>
        </w:tc>
        <w:tc>
          <w:tcPr>
            <w:tcW w:w="1257" w:type="pct"/>
            <w:vAlign w:val="center"/>
          </w:tcPr>
          <w:p w14:paraId="5B6404A5">
            <w:pPr>
              <w:jc w:val="center"/>
              <w:rPr>
                <w:strike w:val="0"/>
                <w:dstrike w:val="0"/>
                <w:color w:val="auto"/>
                <w:szCs w:val="21"/>
                <w:highlight w:val="none"/>
              </w:rPr>
            </w:pPr>
            <w:r>
              <w:rPr>
                <w:strike w:val="0"/>
                <w:dstrike w:val="0"/>
                <w:color w:val="auto"/>
                <w:szCs w:val="21"/>
                <w:highlight w:val="none"/>
              </w:rPr>
              <w:t>6.0</w:t>
            </w:r>
          </w:p>
        </w:tc>
      </w:tr>
      <w:tr w14:paraId="405D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36C48A01">
            <w:pPr>
              <w:jc w:val="center"/>
              <w:rPr>
                <w:strike w:val="0"/>
                <w:dstrike w:val="0"/>
                <w:color w:val="auto"/>
                <w:szCs w:val="21"/>
                <w:highlight w:val="none"/>
              </w:rPr>
            </w:pPr>
            <w:r>
              <w:rPr>
                <w:strike w:val="0"/>
                <w:dstrike w:val="0"/>
                <w:color w:val="auto"/>
                <w:szCs w:val="21"/>
                <w:highlight w:val="none"/>
              </w:rPr>
              <w:t>沸点（℃）：</w:t>
            </w:r>
          </w:p>
        </w:tc>
        <w:tc>
          <w:tcPr>
            <w:tcW w:w="1540" w:type="pct"/>
            <w:vAlign w:val="center"/>
          </w:tcPr>
          <w:p w14:paraId="579F25B2">
            <w:pPr>
              <w:jc w:val="center"/>
              <w:rPr>
                <w:strike w:val="0"/>
                <w:dstrike w:val="0"/>
                <w:color w:val="auto"/>
                <w:szCs w:val="21"/>
                <w:highlight w:val="none"/>
              </w:rPr>
            </w:pPr>
            <w:r>
              <w:rPr>
                <w:strike w:val="0"/>
                <w:dstrike w:val="0"/>
                <w:color w:val="auto"/>
                <w:szCs w:val="21"/>
                <w:highlight w:val="none"/>
              </w:rPr>
              <w:t>40～200</w:t>
            </w:r>
          </w:p>
        </w:tc>
        <w:tc>
          <w:tcPr>
            <w:tcW w:w="1248" w:type="pct"/>
            <w:vAlign w:val="center"/>
          </w:tcPr>
          <w:p w14:paraId="2292A16B">
            <w:pPr>
              <w:jc w:val="center"/>
              <w:rPr>
                <w:strike w:val="0"/>
                <w:dstrike w:val="0"/>
                <w:color w:val="auto"/>
                <w:szCs w:val="21"/>
                <w:highlight w:val="none"/>
              </w:rPr>
            </w:pPr>
            <w:r>
              <w:rPr>
                <w:strike w:val="0"/>
                <w:dstrike w:val="0"/>
                <w:color w:val="auto"/>
                <w:szCs w:val="21"/>
                <w:highlight w:val="none"/>
              </w:rPr>
              <w:t>爆炸下限％（V/V）：</w:t>
            </w:r>
          </w:p>
        </w:tc>
        <w:tc>
          <w:tcPr>
            <w:tcW w:w="1257" w:type="pct"/>
            <w:vAlign w:val="center"/>
          </w:tcPr>
          <w:p w14:paraId="4BB1A978">
            <w:pPr>
              <w:jc w:val="center"/>
              <w:rPr>
                <w:strike w:val="0"/>
                <w:dstrike w:val="0"/>
                <w:color w:val="auto"/>
                <w:szCs w:val="21"/>
                <w:highlight w:val="none"/>
              </w:rPr>
            </w:pPr>
            <w:r>
              <w:rPr>
                <w:strike w:val="0"/>
                <w:dstrike w:val="0"/>
                <w:color w:val="auto"/>
                <w:szCs w:val="21"/>
                <w:highlight w:val="none"/>
              </w:rPr>
              <w:t>1.3</w:t>
            </w:r>
          </w:p>
        </w:tc>
      </w:tr>
      <w:tr w14:paraId="7D62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pct"/>
            <w:vAlign w:val="center"/>
          </w:tcPr>
          <w:p w14:paraId="55CBE663">
            <w:pPr>
              <w:jc w:val="center"/>
              <w:rPr>
                <w:strike w:val="0"/>
                <w:dstrike w:val="0"/>
                <w:color w:val="auto"/>
                <w:szCs w:val="21"/>
                <w:highlight w:val="none"/>
              </w:rPr>
            </w:pPr>
            <w:r>
              <w:rPr>
                <w:strike w:val="0"/>
                <w:dstrike w:val="0"/>
                <w:color w:val="auto"/>
                <w:szCs w:val="21"/>
                <w:highlight w:val="none"/>
              </w:rPr>
              <w:t>溶解性：</w:t>
            </w:r>
          </w:p>
        </w:tc>
        <w:tc>
          <w:tcPr>
            <w:tcW w:w="4046" w:type="pct"/>
            <w:gridSpan w:val="3"/>
            <w:vAlign w:val="center"/>
          </w:tcPr>
          <w:p w14:paraId="5E43EB61">
            <w:pPr>
              <w:jc w:val="center"/>
              <w:rPr>
                <w:strike w:val="0"/>
                <w:dstrike w:val="0"/>
                <w:color w:val="auto"/>
                <w:szCs w:val="21"/>
                <w:highlight w:val="none"/>
              </w:rPr>
            </w:pPr>
            <w:r>
              <w:rPr>
                <w:strike w:val="0"/>
                <w:dstrike w:val="0"/>
                <w:color w:val="auto"/>
                <w:szCs w:val="21"/>
                <w:highlight w:val="none"/>
              </w:rPr>
              <w:t>不溶于水、易溶于苯、二硫化碳、醇、易溶于脂肪。</w:t>
            </w:r>
          </w:p>
        </w:tc>
      </w:tr>
      <w:tr w14:paraId="78D3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pct"/>
            <w:vAlign w:val="center"/>
          </w:tcPr>
          <w:p w14:paraId="363EE534">
            <w:pPr>
              <w:jc w:val="center"/>
              <w:rPr>
                <w:strike w:val="0"/>
                <w:dstrike w:val="0"/>
                <w:color w:val="auto"/>
                <w:szCs w:val="21"/>
                <w:highlight w:val="none"/>
              </w:rPr>
            </w:pPr>
            <w:r>
              <w:rPr>
                <w:strike w:val="0"/>
                <w:dstrike w:val="0"/>
                <w:color w:val="auto"/>
                <w:szCs w:val="21"/>
                <w:highlight w:val="none"/>
              </w:rPr>
              <w:t>主要用途：</w:t>
            </w:r>
          </w:p>
        </w:tc>
        <w:tc>
          <w:tcPr>
            <w:tcW w:w="4046" w:type="pct"/>
            <w:gridSpan w:val="3"/>
            <w:vAlign w:val="center"/>
          </w:tcPr>
          <w:p w14:paraId="262DC4A3">
            <w:pPr>
              <w:jc w:val="left"/>
              <w:rPr>
                <w:strike w:val="0"/>
                <w:dstrike w:val="0"/>
                <w:color w:val="auto"/>
                <w:szCs w:val="21"/>
                <w:highlight w:val="none"/>
              </w:rPr>
            </w:pPr>
            <w:r>
              <w:rPr>
                <w:strike w:val="0"/>
                <w:dstrike w:val="0"/>
                <w:color w:val="auto"/>
                <w:szCs w:val="21"/>
                <w:highlight w:val="none"/>
              </w:rPr>
              <w:t>主要用作汽油机的燃料，用于橡胶、制鞋、印刷、制革、等行业，也可用作机械零件的去污剂。</w:t>
            </w:r>
          </w:p>
        </w:tc>
      </w:tr>
      <w:tr w14:paraId="70E7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51F3C126">
            <w:pPr>
              <w:jc w:val="center"/>
              <w:rPr>
                <w:strike w:val="0"/>
                <w:dstrike w:val="0"/>
                <w:color w:val="auto"/>
                <w:szCs w:val="21"/>
                <w:highlight w:val="none"/>
              </w:rPr>
            </w:pPr>
            <w:r>
              <w:rPr>
                <w:strike w:val="0"/>
                <w:dstrike w:val="0"/>
                <w:color w:val="auto"/>
                <w:szCs w:val="21"/>
                <w:highlight w:val="none"/>
              </w:rPr>
              <w:t>第三部分稳定性及化学活性</w:t>
            </w:r>
          </w:p>
        </w:tc>
      </w:tr>
      <w:tr w14:paraId="2E37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04E3F5F3">
            <w:pPr>
              <w:jc w:val="center"/>
              <w:rPr>
                <w:strike w:val="0"/>
                <w:dstrike w:val="0"/>
                <w:color w:val="auto"/>
                <w:szCs w:val="21"/>
                <w:highlight w:val="none"/>
              </w:rPr>
            </w:pPr>
            <w:r>
              <w:rPr>
                <w:strike w:val="0"/>
                <w:dstrike w:val="0"/>
                <w:color w:val="auto"/>
                <w:szCs w:val="21"/>
                <w:highlight w:val="none"/>
              </w:rPr>
              <w:t>稳定性：</w:t>
            </w:r>
          </w:p>
        </w:tc>
        <w:tc>
          <w:tcPr>
            <w:tcW w:w="1540" w:type="pct"/>
            <w:vAlign w:val="center"/>
          </w:tcPr>
          <w:p w14:paraId="44706CDA">
            <w:pPr>
              <w:jc w:val="center"/>
              <w:rPr>
                <w:strike w:val="0"/>
                <w:dstrike w:val="0"/>
                <w:color w:val="auto"/>
                <w:szCs w:val="21"/>
                <w:highlight w:val="none"/>
              </w:rPr>
            </w:pPr>
            <w:r>
              <w:rPr>
                <w:strike w:val="0"/>
                <w:dstrike w:val="0"/>
                <w:color w:val="auto"/>
                <w:szCs w:val="21"/>
                <w:highlight w:val="none"/>
              </w:rPr>
              <w:t>稳定</w:t>
            </w:r>
          </w:p>
        </w:tc>
        <w:tc>
          <w:tcPr>
            <w:tcW w:w="1248" w:type="pct"/>
            <w:vAlign w:val="center"/>
          </w:tcPr>
          <w:p w14:paraId="7D12D082">
            <w:pPr>
              <w:jc w:val="center"/>
              <w:rPr>
                <w:strike w:val="0"/>
                <w:dstrike w:val="0"/>
                <w:color w:val="auto"/>
                <w:szCs w:val="21"/>
                <w:highlight w:val="none"/>
              </w:rPr>
            </w:pPr>
            <w:r>
              <w:rPr>
                <w:strike w:val="0"/>
                <w:dstrike w:val="0"/>
                <w:color w:val="auto"/>
                <w:szCs w:val="21"/>
                <w:highlight w:val="none"/>
              </w:rPr>
              <w:t>避免接触的条件：</w:t>
            </w:r>
          </w:p>
        </w:tc>
        <w:tc>
          <w:tcPr>
            <w:tcW w:w="1257" w:type="pct"/>
            <w:vAlign w:val="center"/>
          </w:tcPr>
          <w:p w14:paraId="40208653">
            <w:pPr>
              <w:jc w:val="center"/>
              <w:rPr>
                <w:strike w:val="0"/>
                <w:dstrike w:val="0"/>
                <w:color w:val="auto"/>
                <w:szCs w:val="21"/>
                <w:highlight w:val="none"/>
              </w:rPr>
            </w:pPr>
            <w:r>
              <w:rPr>
                <w:strike w:val="0"/>
                <w:dstrike w:val="0"/>
                <w:color w:val="auto"/>
                <w:szCs w:val="21"/>
                <w:highlight w:val="none"/>
              </w:rPr>
              <w:t>明火、高热。</w:t>
            </w:r>
          </w:p>
        </w:tc>
      </w:tr>
      <w:tr w14:paraId="5F56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7DB52D81">
            <w:pPr>
              <w:jc w:val="center"/>
              <w:rPr>
                <w:strike w:val="0"/>
                <w:dstrike w:val="0"/>
                <w:color w:val="auto"/>
                <w:szCs w:val="21"/>
                <w:highlight w:val="none"/>
              </w:rPr>
            </w:pPr>
            <w:r>
              <w:rPr>
                <w:strike w:val="0"/>
                <w:dstrike w:val="0"/>
                <w:color w:val="auto"/>
                <w:szCs w:val="21"/>
                <w:highlight w:val="none"/>
              </w:rPr>
              <w:t>禁配物：</w:t>
            </w:r>
          </w:p>
        </w:tc>
        <w:tc>
          <w:tcPr>
            <w:tcW w:w="1540" w:type="pct"/>
            <w:vAlign w:val="center"/>
          </w:tcPr>
          <w:p w14:paraId="3CA7F0D1">
            <w:pPr>
              <w:jc w:val="center"/>
              <w:rPr>
                <w:strike w:val="0"/>
                <w:dstrike w:val="0"/>
                <w:color w:val="auto"/>
                <w:szCs w:val="21"/>
                <w:highlight w:val="none"/>
              </w:rPr>
            </w:pPr>
            <w:r>
              <w:rPr>
                <w:strike w:val="0"/>
                <w:dstrike w:val="0"/>
                <w:color w:val="auto"/>
                <w:szCs w:val="21"/>
                <w:highlight w:val="none"/>
              </w:rPr>
              <w:t>强氧化剂</w:t>
            </w:r>
          </w:p>
        </w:tc>
        <w:tc>
          <w:tcPr>
            <w:tcW w:w="1248" w:type="pct"/>
            <w:vAlign w:val="center"/>
          </w:tcPr>
          <w:p w14:paraId="4ADECD60">
            <w:pPr>
              <w:jc w:val="center"/>
              <w:rPr>
                <w:strike w:val="0"/>
                <w:dstrike w:val="0"/>
                <w:color w:val="auto"/>
                <w:szCs w:val="21"/>
                <w:highlight w:val="none"/>
              </w:rPr>
            </w:pPr>
            <w:r>
              <w:rPr>
                <w:strike w:val="0"/>
                <w:dstrike w:val="0"/>
                <w:color w:val="auto"/>
                <w:szCs w:val="21"/>
                <w:highlight w:val="none"/>
              </w:rPr>
              <w:t>聚合危害：</w:t>
            </w:r>
          </w:p>
        </w:tc>
        <w:tc>
          <w:tcPr>
            <w:tcW w:w="1257" w:type="pct"/>
            <w:vAlign w:val="center"/>
          </w:tcPr>
          <w:p w14:paraId="3CB43A45">
            <w:pPr>
              <w:jc w:val="center"/>
              <w:rPr>
                <w:strike w:val="0"/>
                <w:dstrike w:val="0"/>
                <w:color w:val="auto"/>
                <w:szCs w:val="21"/>
                <w:highlight w:val="none"/>
              </w:rPr>
            </w:pPr>
            <w:r>
              <w:rPr>
                <w:strike w:val="0"/>
                <w:dstrike w:val="0"/>
                <w:color w:val="auto"/>
                <w:szCs w:val="21"/>
                <w:highlight w:val="none"/>
              </w:rPr>
              <w:t>不聚合</w:t>
            </w:r>
          </w:p>
        </w:tc>
      </w:tr>
      <w:tr w14:paraId="741B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145B3635">
            <w:pPr>
              <w:jc w:val="center"/>
              <w:rPr>
                <w:strike w:val="0"/>
                <w:dstrike w:val="0"/>
                <w:color w:val="auto"/>
                <w:szCs w:val="21"/>
                <w:highlight w:val="none"/>
              </w:rPr>
            </w:pPr>
            <w:r>
              <w:rPr>
                <w:strike w:val="0"/>
                <w:dstrike w:val="0"/>
                <w:color w:val="auto"/>
                <w:szCs w:val="21"/>
                <w:highlight w:val="none"/>
              </w:rPr>
              <w:t>分解产物：</w:t>
            </w:r>
          </w:p>
        </w:tc>
        <w:tc>
          <w:tcPr>
            <w:tcW w:w="4046" w:type="pct"/>
            <w:gridSpan w:val="3"/>
            <w:vAlign w:val="center"/>
          </w:tcPr>
          <w:p w14:paraId="4041945C">
            <w:pPr>
              <w:jc w:val="center"/>
              <w:rPr>
                <w:strike w:val="0"/>
                <w:dstrike w:val="0"/>
                <w:color w:val="auto"/>
                <w:szCs w:val="21"/>
                <w:highlight w:val="none"/>
              </w:rPr>
            </w:pPr>
            <w:r>
              <w:rPr>
                <w:strike w:val="0"/>
                <w:dstrike w:val="0"/>
                <w:color w:val="auto"/>
                <w:szCs w:val="21"/>
                <w:highlight w:val="none"/>
              </w:rPr>
              <w:t>一氧化碳、二氧化碳</w:t>
            </w:r>
          </w:p>
        </w:tc>
      </w:tr>
      <w:tr w14:paraId="4D8E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1A6FD8B">
            <w:pPr>
              <w:jc w:val="center"/>
              <w:rPr>
                <w:strike w:val="0"/>
                <w:dstrike w:val="0"/>
                <w:color w:val="auto"/>
                <w:szCs w:val="21"/>
                <w:highlight w:val="none"/>
              </w:rPr>
            </w:pPr>
            <w:r>
              <w:rPr>
                <w:strike w:val="0"/>
                <w:dstrike w:val="0"/>
                <w:color w:val="auto"/>
                <w:szCs w:val="21"/>
                <w:highlight w:val="none"/>
              </w:rPr>
              <w:t>第四部分毒理学资料</w:t>
            </w:r>
          </w:p>
        </w:tc>
      </w:tr>
      <w:tr w14:paraId="2FB9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2366D59C">
            <w:pPr>
              <w:jc w:val="center"/>
              <w:rPr>
                <w:strike w:val="0"/>
                <w:dstrike w:val="0"/>
                <w:color w:val="auto"/>
                <w:szCs w:val="21"/>
                <w:highlight w:val="none"/>
              </w:rPr>
            </w:pPr>
            <w:r>
              <w:rPr>
                <w:strike w:val="0"/>
                <w:dstrike w:val="0"/>
                <w:color w:val="auto"/>
                <w:szCs w:val="21"/>
                <w:highlight w:val="none"/>
              </w:rPr>
              <w:t>急性毒性：</w:t>
            </w:r>
          </w:p>
        </w:tc>
        <w:tc>
          <w:tcPr>
            <w:tcW w:w="4046" w:type="pct"/>
            <w:gridSpan w:val="3"/>
            <w:vAlign w:val="center"/>
          </w:tcPr>
          <w:p w14:paraId="61A8AB03">
            <w:pPr>
              <w:jc w:val="center"/>
              <w:rPr>
                <w:strike w:val="0"/>
                <w:dstrike w:val="0"/>
                <w:color w:val="auto"/>
                <w:szCs w:val="21"/>
                <w:highlight w:val="none"/>
              </w:rPr>
            </w:pPr>
            <w:r>
              <w:rPr>
                <w:strike w:val="0"/>
                <w:dstrike w:val="0"/>
                <w:color w:val="auto"/>
                <w:szCs w:val="21"/>
                <w:highlight w:val="none"/>
              </w:rPr>
              <w:t>LD50 67000mg/kg（小鼠经口），（120号溶剂汽油）</w:t>
            </w:r>
          </w:p>
          <w:p w14:paraId="17A5580B">
            <w:pPr>
              <w:jc w:val="center"/>
              <w:rPr>
                <w:strike w:val="0"/>
                <w:dstrike w:val="0"/>
                <w:color w:val="auto"/>
                <w:szCs w:val="21"/>
                <w:highlight w:val="none"/>
              </w:rPr>
            </w:pPr>
            <w:r>
              <w:rPr>
                <w:strike w:val="0"/>
                <w:dstrike w:val="0"/>
                <w:color w:val="auto"/>
                <w:szCs w:val="21"/>
                <w:highlight w:val="none"/>
              </w:rPr>
              <w:t>LC50 103000mg/m³小鼠，2小时（120号溶剂汽油）</w:t>
            </w:r>
          </w:p>
        </w:tc>
      </w:tr>
      <w:tr w14:paraId="751E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55C6EFD0">
            <w:pPr>
              <w:jc w:val="center"/>
              <w:rPr>
                <w:strike w:val="0"/>
                <w:dstrike w:val="0"/>
                <w:color w:val="auto"/>
                <w:szCs w:val="21"/>
                <w:highlight w:val="none"/>
              </w:rPr>
            </w:pPr>
            <w:r>
              <w:rPr>
                <w:strike w:val="0"/>
                <w:dstrike w:val="0"/>
                <w:color w:val="auto"/>
                <w:szCs w:val="21"/>
                <w:highlight w:val="none"/>
              </w:rPr>
              <w:t>急性中毒：</w:t>
            </w:r>
          </w:p>
        </w:tc>
        <w:tc>
          <w:tcPr>
            <w:tcW w:w="4046" w:type="pct"/>
            <w:gridSpan w:val="3"/>
            <w:vAlign w:val="center"/>
          </w:tcPr>
          <w:p w14:paraId="19D84395">
            <w:pPr>
              <w:jc w:val="left"/>
              <w:rPr>
                <w:strike w:val="0"/>
                <w:dstrike w:val="0"/>
                <w:color w:val="auto"/>
                <w:szCs w:val="21"/>
                <w:highlight w:val="none"/>
              </w:rPr>
            </w:pPr>
            <w:r>
              <w:rPr>
                <w:strike w:val="0"/>
                <w:dstrike w:val="0"/>
                <w:color w:val="auto"/>
                <w:szCs w:val="21"/>
                <w:highlight w:val="none"/>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14:paraId="0C5C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375814BC">
            <w:pPr>
              <w:jc w:val="center"/>
              <w:rPr>
                <w:strike w:val="0"/>
                <w:dstrike w:val="0"/>
                <w:color w:val="auto"/>
                <w:szCs w:val="21"/>
                <w:highlight w:val="none"/>
              </w:rPr>
            </w:pPr>
            <w:r>
              <w:rPr>
                <w:strike w:val="0"/>
                <w:dstrike w:val="0"/>
                <w:color w:val="auto"/>
                <w:szCs w:val="21"/>
                <w:highlight w:val="none"/>
              </w:rPr>
              <w:t>慢性中毒：</w:t>
            </w:r>
          </w:p>
        </w:tc>
        <w:tc>
          <w:tcPr>
            <w:tcW w:w="4046" w:type="pct"/>
            <w:gridSpan w:val="3"/>
            <w:vAlign w:val="center"/>
          </w:tcPr>
          <w:p w14:paraId="5BC35350">
            <w:pPr>
              <w:jc w:val="center"/>
              <w:rPr>
                <w:strike w:val="0"/>
                <w:dstrike w:val="0"/>
                <w:color w:val="auto"/>
                <w:szCs w:val="21"/>
                <w:highlight w:val="none"/>
              </w:rPr>
            </w:pPr>
            <w:r>
              <w:rPr>
                <w:strike w:val="0"/>
                <w:dstrike w:val="0"/>
                <w:color w:val="auto"/>
                <w:szCs w:val="21"/>
                <w:highlight w:val="none"/>
              </w:rPr>
              <w:t>神经衰弱综合症，周围神经病，皮肤损害。</w:t>
            </w:r>
          </w:p>
        </w:tc>
      </w:tr>
      <w:tr w14:paraId="6383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6B6DCCE7">
            <w:pPr>
              <w:jc w:val="center"/>
              <w:rPr>
                <w:strike w:val="0"/>
                <w:dstrike w:val="0"/>
                <w:color w:val="auto"/>
                <w:szCs w:val="21"/>
                <w:highlight w:val="none"/>
              </w:rPr>
            </w:pPr>
            <w:r>
              <w:rPr>
                <w:strike w:val="0"/>
                <w:dstrike w:val="0"/>
                <w:color w:val="auto"/>
                <w:szCs w:val="21"/>
                <w:highlight w:val="none"/>
              </w:rPr>
              <w:t>刺激性：</w:t>
            </w:r>
          </w:p>
        </w:tc>
        <w:tc>
          <w:tcPr>
            <w:tcW w:w="4046" w:type="pct"/>
            <w:gridSpan w:val="3"/>
            <w:vAlign w:val="center"/>
          </w:tcPr>
          <w:p w14:paraId="21EA93E4">
            <w:pPr>
              <w:jc w:val="center"/>
              <w:rPr>
                <w:strike w:val="0"/>
                <w:dstrike w:val="0"/>
                <w:color w:val="auto"/>
                <w:szCs w:val="21"/>
                <w:highlight w:val="none"/>
              </w:rPr>
            </w:pPr>
            <w:r>
              <w:rPr>
                <w:strike w:val="0"/>
                <w:dstrike w:val="0"/>
                <w:color w:val="auto"/>
                <w:szCs w:val="21"/>
                <w:highlight w:val="none"/>
              </w:rPr>
              <w:t>人经眼：140ppm（8小时），轻度刺激。</w:t>
            </w:r>
          </w:p>
        </w:tc>
      </w:tr>
      <w:tr w14:paraId="63E3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4456E764">
            <w:pPr>
              <w:jc w:val="center"/>
              <w:rPr>
                <w:strike w:val="0"/>
                <w:dstrike w:val="0"/>
                <w:color w:val="auto"/>
                <w:szCs w:val="21"/>
                <w:highlight w:val="none"/>
              </w:rPr>
            </w:pPr>
            <w:r>
              <w:rPr>
                <w:strike w:val="0"/>
                <w:dstrike w:val="0"/>
                <w:color w:val="auto"/>
                <w:szCs w:val="21"/>
                <w:highlight w:val="none"/>
              </w:rPr>
              <w:t>最高容许浓度</w:t>
            </w:r>
          </w:p>
        </w:tc>
        <w:tc>
          <w:tcPr>
            <w:tcW w:w="4046" w:type="pct"/>
            <w:gridSpan w:val="3"/>
            <w:vAlign w:val="center"/>
          </w:tcPr>
          <w:p w14:paraId="011F60E5">
            <w:pPr>
              <w:jc w:val="center"/>
              <w:rPr>
                <w:strike w:val="0"/>
                <w:dstrike w:val="0"/>
                <w:color w:val="auto"/>
                <w:szCs w:val="21"/>
                <w:highlight w:val="none"/>
              </w:rPr>
            </w:pPr>
            <w:r>
              <w:rPr>
                <w:strike w:val="0"/>
                <w:dstrike w:val="0"/>
                <w:color w:val="auto"/>
                <w:szCs w:val="21"/>
                <w:highlight w:val="none"/>
              </w:rPr>
              <w:t>300mg/m³</w:t>
            </w:r>
          </w:p>
        </w:tc>
      </w:tr>
    </w:tbl>
    <w:p w14:paraId="36D429FE">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表2.1</w:t>
      </w:r>
      <w:r>
        <w:rPr>
          <w:b/>
          <w:bCs/>
          <w:strike w:val="0"/>
          <w:dstrike w:val="0"/>
          <w:color w:val="auto"/>
          <w:sz w:val="24"/>
          <w:szCs w:val="32"/>
          <w:highlight w:val="none"/>
        </w:rPr>
        <w:t>-2 柴油理化性质一览表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2584"/>
        <w:gridCol w:w="2263"/>
        <w:gridCol w:w="2278"/>
      </w:tblGrid>
      <w:tr w14:paraId="247F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000" w:type="pct"/>
            <w:gridSpan w:val="4"/>
            <w:vAlign w:val="center"/>
          </w:tcPr>
          <w:p w14:paraId="69573B04">
            <w:pPr>
              <w:jc w:val="center"/>
              <w:rPr>
                <w:strike w:val="0"/>
                <w:dstrike w:val="0"/>
                <w:color w:val="auto"/>
                <w:szCs w:val="21"/>
                <w:highlight w:val="none"/>
              </w:rPr>
            </w:pPr>
            <w:r>
              <w:rPr>
                <w:strike w:val="0"/>
                <w:dstrike w:val="0"/>
                <w:color w:val="auto"/>
                <w:szCs w:val="21"/>
                <w:highlight w:val="none"/>
              </w:rPr>
              <w:t>第一部分危险性概述</w:t>
            </w:r>
          </w:p>
        </w:tc>
      </w:tr>
      <w:tr w14:paraId="6E96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3E81F58F">
            <w:pPr>
              <w:jc w:val="center"/>
              <w:rPr>
                <w:strike w:val="0"/>
                <w:dstrike w:val="0"/>
                <w:color w:val="auto"/>
                <w:szCs w:val="21"/>
                <w:highlight w:val="none"/>
              </w:rPr>
            </w:pPr>
            <w:r>
              <w:rPr>
                <w:strike w:val="0"/>
                <w:dstrike w:val="0"/>
                <w:color w:val="auto"/>
                <w:szCs w:val="21"/>
                <w:highlight w:val="none"/>
              </w:rPr>
              <w:t>危险性类别：</w:t>
            </w:r>
          </w:p>
        </w:tc>
        <w:tc>
          <w:tcPr>
            <w:tcW w:w="1426" w:type="pct"/>
            <w:vAlign w:val="center"/>
          </w:tcPr>
          <w:p w14:paraId="3BC2ACCF">
            <w:pPr>
              <w:jc w:val="center"/>
              <w:rPr>
                <w:strike w:val="0"/>
                <w:dstrike w:val="0"/>
                <w:color w:val="auto"/>
                <w:szCs w:val="21"/>
                <w:highlight w:val="none"/>
              </w:rPr>
            </w:pPr>
            <w:r>
              <w:rPr>
                <w:strike w:val="0"/>
                <w:dstrike w:val="0"/>
                <w:color w:val="auto"/>
                <w:szCs w:val="21"/>
                <w:highlight w:val="none"/>
              </w:rPr>
              <w:t>第3.1类低闪点易燃液体。</w:t>
            </w:r>
          </w:p>
        </w:tc>
        <w:tc>
          <w:tcPr>
            <w:tcW w:w="1249" w:type="pct"/>
            <w:vAlign w:val="center"/>
          </w:tcPr>
          <w:p w14:paraId="176F3784">
            <w:pPr>
              <w:jc w:val="center"/>
              <w:rPr>
                <w:strike w:val="0"/>
                <w:dstrike w:val="0"/>
                <w:color w:val="auto"/>
                <w:szCs w:val="21"/>
                <w:highlight w:val="none"/>
              </w:rPr>
            </w:pPr>
            <w:r>
              <w:rPr>
                <w:strike w:val="0"/>
                <w:dstrike w:val="0"/>
                <w:color w:val="auto"/>
                <w:szCs w:val="21"/>
                <w:highlight w:val="none"/>
              </w:rPr>
              <w:t>燃爆危险：</w:t>
            </w:r>
          </w:p>
        </w:tc>
        <w:tc>
          <w:tcPr>
            <w:tcW w:w="1256" w:type="pct"/>
            <w:vAlign w:val="center"/>
          </w:tcPr>
          <w:p w14:paraId="3ED5575E">
            <w:pPr>
              <w:jc w:val="center"/>
              <w:rPr>
                <w:strike w:val="0"/>
                <w:dstrike w:val="0"/>
                <w:color w:val="auto"/>
                <w:szCs w:val="21"/>
                <w:highlight w:val="none"/>
              </w:rPr>
            </w:pPr>
            <w:r>
              <w:rPr>
                <w:strike w:val="0"/>
                <w:dstrike w:val="0"/>
                <w:color w:val="auto"/>
                <w:szCs w:val="21"/>
                <w:highlight w:val="none"/>
              </w:rPr>
              <w:t>易燃。</w:t>
            </w:r>
          </w:p>
        </w:tc>
      </w:tr>
      <w:tr w14:paraId="51EE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3D428095">
            <w:pPr>
              <w:jc w:val="center"/>
              <w:rPr>
                <w:strike w:val="0"/>
                <w:dstrike w:val="0"/>
                <w:color w:val="auto"/>
                <w:szCs w:val="21"/>
                <w:highlight w:val="none"/>
              </w:rPr>
            </w:pPr>
            <w:r>
              <w:rPr>
                <w:strike w:val="0"/>
                <w:dstrike w:val="0"/>
                <w:color w:val="auto"/>
                <w:szCs w:val="21"/>
                <w:highlight w:val="none"/>
              </w:rPr>
              <w:t>侵入途径：</w:t>
            </w:r>
          </w:p>
        </w:tc>
        <w:tc>
          <w:tcPr>
            <w:tcW w:w="1426" w:type="pct"/>
            <w:vAlign w:val="center"/>
          </w:tcPr>
          <w:p w14:paraId="0927AC10">
            <w:pPr>
              <w:jc w:val="center"/>
              <w:rPr>
                <w:strike w:val="0"/>
                <w:dstrike w:val="0"/>
                <w:color w:val="auto"/>
                <w:szCs w:val="21"/>
                <w:highlight w:val="none"/>
              </w:rPr>
            </w:pPr>
            <w:r>
              <w:rPr>
                <w:strike w:val="0"/>
                <w:dstrike w:val="0"/>
                <w:color w:val="auto"/>
                <w:szCs w:val="21"/>
                <w:highlight w:val="none"/>
              </w:rPr>
              <w:t>吸入、食入、经皮吸收。</w:t>
            </w:r>
          </w:p>
        </w:tc>
        <w:tc>
          <w:tcPr>
            <w:tcW w:w="1249" w:type="pct"/>
            <w:vAlign w:val="center"/>
          </w:tcPr>
          <w:p w14:paraId="57669FE7">
            <w:pPr>
              <w:jc w:val="center"/>
              <w:rPr>
                <w:strike w:val="0"/>
                <w:dstrike w:val="0"/>
                <w:color w:val="auto"/>
                <w:szCs w:val="21"/>
                <w:highlight w:val="none"/>
              </w:rPr>
            </w:pPr>
            <w:r>
              <w:rPr>
                <w:strike w:val="0"/>
                <w:dstrike w:val="0"/>
                <w:color w:val="auto"/>
                <w:szCs w:val="21"/>
                <w:highlight w:val="none"/>
              </w:rPr>
              <w:t>有害燃烧产物：</w:t>
            </w:r>
          </w:p>
        </w:tc>
        <w:tc>
          <w:tcPr>
            <w:tcW w:w="1256" w:type="pct"/>
            <w:vAlign w:val="center"/>
          </w:tcPr>
          <w:p w14:paraId="30350D2F">
            <w:pPr>
              <w:jc w:val="center"/>
              <w:rPr>
                <w:strike w:val="0"/>
                <w:dstrike w:val="0"/>
                <w:color w:val="auto"/>
                <w:szCs w:val="21"/>
                <w:highlight w:val="none"/>
              </w:rPr>
            </w:pPr>
            <w:r>
              <w:rPr>
                <w:strike w:val="0"/>
                <w:dstrike w:val="0"/>
                <w:color w:val="auto"/>
                <w:szCs w:val="21"/>
                <w:highlight w:val="none"/>
              </w:rPr>
              <w:t>一氧化碳、二氧化碳</w:t>
            </w:r>
          </w:p>
        </w:tc>
      </w:tr>
      <w:tr w14:paraId="14D8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693C7CE6">
            <w:pPr>
              <w:jc w:val="center"/>
              <w:rPr>
                <w:strike w:val="0"/>
                <w:dstrike w:val="0"/>
                <w:color w:val="auto"/>
                <w:szCs w:val="21"/>
                <w:highlight w:val="none"/>
              </w:rPr>
            </w:pPr>
            <w:r>
              <w:rPr>
                <w:strike w:val="0"/>
                <w:dstrike w:val="0"/>
                <w:color w:val="auto"/>
                <w:szCs w:val="21"/>
                <w:highlight w:val="none"/>
              </w:rPr>
              <w:t>健康危害：</w:t>
            </w:r>
          </w:p>
        </w:tc>
        <w:tc>
          <w:tcPr>
            <w:tcW w:w="3931" w:type="pct"/>
            <w:gridSpan w:val="3"/>
            <w:vAlign w:val="center"/>
          </w:tcPr>
          <w:p w14:paraId="69330D85">
            <w:pPr>
              <w:jc w:val="left"/>
              <w:rPr>
                <w:strike w:val="0"/>
                <w:dstrike w:val="0"/>
                <w:color w:val="auto"/>
                <w:szCs w:val="21"/>
                <w:highlight w:val="none"/>
              </w:rPr>
            </w:pPr>
            <w:r>
              <w:rPr>
                <w:strike w:val="0"/>
                <w:dstrike w:val="0"/>
                <w:color w:val="auto"/>
                <w:szCs w:val="21"/>
                <w:highlight w:val="none"/>
              </w:rPr>
              <w:t>皮肤接触可为主要吸收途径，可致急性肾脏损害。柴油可引起接触性皮炎、油性痤疮。吸入其雾滴或液体呛入可引起吸入性肺炎。能经胎盘进入胎儿血中。柴油废气可引起眼、鼻刺激症状，头晕及头痛。</w:t>
            </w:r>
          </w:p>
        </w:tc>
      </w:tr>
      <w:tr w14:paraId="6BE4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5E00915B">
            <w:pPr>
              <w:jc w:val="center"/>
              <w:rPr>
                <w:strike w:val="0"/>
                <w:dstrike w:val="0"/>
                <w:color w:val="auto"/>
                <w:szCs w:val="21"/>
                <w:highlight w:val="none"/>
              </w:rPr>
            </w:pPr>
            <w:r>
              <w:rPr>
                <w:strike w:val="0"/>
                <w:dstrike w:val="0"/>
                <w:color w:val="auto"/>
                <w:szCs w:val="21"/>
                <w:highlight w:val="none"/>
              </w:rPr>
              <w:t>环境危害：</w:t>
            </w:r>
          </w:p>
        </w:tc>
        <w:tc>
          <w:tcPr>
            <w:tcW w:w="3931" w:type="pct"/>
            <w:gridSpan w:val="3"/>
            <w:vAlign w:val="center"/>
          </w:tcPr>
          <w:p w14:paraId="45E7006A">
            <w:pPr>
              <w:jc w:val="center"/>
              <w:rPr>
                <w:strike w:val="0"/>
                <w:dstrike w:val="0"/>
                <w:color w:val="auto"/>
                <w:szCs w:val="21"/>
                <w:highlight w:val="none"/>
              </w:rPr>
            </w:pPr>
            <w:r>
              <w:rPr>
                <w:strike w:val="0"/>
                <w:dstrike w:val="0"/>
                <w:color w:val="auto"/>
                <w:szCs w:val="21"/>
                <w:highlight w:val="none"/>
              </w:rPr>
              <w:t>对环境有危害，对水体和大气可造成污染。</w:t>
            </w:r>
          </w:p>
        </w:tc>
      </w:tr>
      <w:tr w14:paraId="60CB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4E3F8AF">
            <w:pPr>
              <w:jc w:val="center"/>
              <w:rPr>
                <w:strike w:val="0"/>
                <w:dstrike w:val="0"/>
                <w:color w:val="auto"/>
                <w:szCs w:val="21"/>
                <w:highlight w:val="none"/>
              </w:rPr>
            </w:pPr>
            <w:r>
              <w:rPr>
                <w:strike w:val="0"/>
                <w:dstrike w:val="0"/>
                <w:color w:val="auto"/>
                <w:szCs w:val="21"/>
                <w:highlight w:val="none"/>
              </w:rPr>
              <w:t>第二部分理化特性</w:t>
            </w:r>
          </w:p>
        </w:tc>
      </w:tr>
      <w:tr w14:paraId="6CED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45E78624">
            <w:pPr>
              <w:jc w:val="center"/>
              <w:rPr>
                <w:strike w:val="0"/>
                <w:dstrike w:val="0"/>
                <w:color w:val="auto"/>
                <w:szCs w:val="21"/>
                <w:highlight w:val="none"/>
              </w:rPr>
            </w:pPr>
            <w:r>
              <w:rPr>
                <w:strike w:val="0"/>
                <w:dstrike w:val="0"/>
                <w:color w:val="auto"/>
                <w:szCs w:val="21"/>
                <w:highlight w:val="none"/>
              </w:rPr>
              <w:t>外观及性状：</w:t>
            </w:r>
          </w:p>
        </w:tc>
        <w:tc>
          <w:tcPr>
            <w:tcW w:w="3931" w:type="pct"/>
            <w:gridSpan w:val="3"/>
            <w:vAlign w:val="center"/>
          </w:tcPr>
          <w:p w14:paraId="0624E00C">
            <w:pPr>
              <w:jc w:val="center"/>
              <w:rPr>
                <w:strike w:val="0"/>
                <w:dstrike w:val="0"/>
                <w:color w:val="auto"/>
                <w:szCs w:val="21"/>
                <w:highlight w:val="none"/>
              </w:rPr>
            </w:pPr>
            <w:r>
              <w:rPr>
                <w:strike w:val="0"/>
                <w:dstrike w:val="0"/>
                <w:color w:val="auto"/>
                <w:szCs w:val="21"/>
                <w:highlight w:val="none"/>
              </w:rPr>
              <w:t>稍有粘性棕色液体。</w:t>
            </w:r>
          </w:p>
        </w:tc>
      </w:tr>
      <w:tr w14:paraId="4670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7A8B0B91">
            <w:pPr>
              <w:jc w:val="center"/>
              <w:rPr>
                <w:strike w:val="0"/>
                <w:dstrike w:val="0"/>
                <w:color w:val="auto"/>
                <w:szCs w:val="21"/>
                <w:highlight w:val="none"/>
              </w:rPr>
            </w:pPr>
            <w:r>
              <w:rPr>
                <w:strike w:val="0"/>
                <w:dstrike w:val="0"/>
                <w:color w:val="auto"/>
                <w:szCs w:val="21"/>
                <w:highlight w:val="none"/>
              </w:rPr>
              <w:t>熔点（℃）：</w:t>
            </w:r>
          </w:p>
        </w:tc>
        <w:tc>
          <w:tcPr>
            <w:tcW w:w="1426" w:type="pct"/>
            <w:vAlign w:val="center"/>
          </w:tcPr>
          <w:p w14:paraId="2D0CC974">
            <w:pPr>
              <w:jc w:val="center"/>
              <w:rPr>
                <w:strike w:val="0"/>
                <w:dstrike w:val="0"/>
                <w:color w:val="auto"/>
                <w:szCs w:val="21"/>
                <w:highlight w:val="none"/>
              </w:rPr>
            </w:pPr>
            <w:r>
              <w:rPr>
                <w:strike w:val="0"/>
                <w:dstrike w:val="0"/>
                <w:color w:val="auto"/>
                <w:szCs w:val="21"/>
                <w:highlight w:val="none"/>
              </w:rPr>
              <w:t>&lt;-18</w:t>
            </w:r>
          </w:p>
        </w:tc>
        <w:tc>
          <w:tcPr>
            <w:tcW w:w="1249" w:type="pct"/>
            <w:vAlign w:val="center"/>
          </w:tcPr>
          <w:p w14:paraId="01FCEDA7">
            <w:pPr>
              <w:jc w:val="center"/>
              <w:rPr>
                <w:strike w:val="0"/>
                <w:dstrike w:val="0"/>
                <w:color w:val="auto"/>
                <w:szCs w:val="21"/>
                <w:highlight w:val="none"/>
              </w:rPr>
            </w:pPr>
            <w:r>
              <w:rPr>
                <w:strike w:val="0"/>
                <w:dstrike w:val="0"/>
                <w:color w:val="auto"/>
                <w:szCs w:val="21"/>
                <w:highlight w:val="none"/>
              </w:rPr>
              <w:t>相对密度（水＝1）</w:t>
            </w:r>
          </w:p>
        </w:tc>
        <w:tc>
          <w:tcPr>
            <w:tcW w:w="1256" w:type="pct"/>
            <w:vAlign w:val="center"/>
          </w:tcPr>
          <w:p w14:paraId="5457A5B4">
            <w:pPr>
              <w:jc w:val="center"/>
              <w:rPr>
                <w:strike w:val="0"/>
                <w:dstrike w:val="0"/>
                <w:color w:val="auto"/>
                <w:szCs w:val="21"/>
                <w:highlight w:val="none"/>
              </w:rPr>
            </w:pPr>
            <w:r>
              <w:rPr>
                <w:strike w:val="0"/>
                <w:dstrike w:val="0"/>
                <w:color w:val="auto"/>
                <w:szCs w:val="21"/>
                <w:highlight w:val="none"/>
              </w:rPr>
              <w:t>0.84～0.86</w:t>
            </w:r>
          </w:p>
        </w:tc>
      </w:tr>
      <w:tr w14:paraId="3140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28BCBDD7">
            <w:pPr>
              <w:jc w:val="center"/>
              <w:rPr>
                <w:strike w:val="0"/>
                <w:dstrike w:val="0"/>
                <w:color w:val="auto"/>
                <w:szCs w:val="21"/>
                <w:highlight w:val="none"/>
              </w:rPr>
            </w:pPr>
            <w:r>
              <w:rPr>
                <w:strike w:val="0"/>
                <w:dstrike w:val="0"/>
                <w:color w:val="auto"/>
                <w:szCs w:val="21"/>
                <w:highlight w:val="none"/>
              </w:rPr>
              <w:t>闪点（℃）：</w:t>
            </w:r>
          </w:p>
        </w:tc>
        <w:tc>
          <w:tcPr>
            <w:tcW w:w="1426" w:type="pct"/>
            <w:vAlign w:val="center"/>
          </w:tcPr>
          <w:p w14:paraId="51374B9F">
            <w:pPr>
              <w:jc w:val="center"/>
              <w:rPr>
                <w:strike w:val="0"/>
                <w:dstrike w:val="0"/>
                <w:color w:val="auto"/>
                <w:szCs w:val="21"/>
                <w:highlight w:val="none"/>
              </w:rPr>
            </w:pPr>
            <w:r>
              <w:rPr>
                <w:strike w:val="0"/>
                <w:dstrike w:val="0"/>
                <w:color w:val="auto"/>
                <w:szCs w:val="21"/>
                <w:highlight w:val="none"/>
              </w:rPr>
              <w:t>38</w:t>
            </w:r>
          </w:p>
        </w:tc>
        <w:tc>
          <w:tcPr>
            <w:tcW w:w="1249" w:type="pct"/>
            <w:vAlign w:val="center"/>
          </w:tcPr>
          <w:p w14:paraId="33484526">
            <w:pPr>
              <w:jc w:val="center"/>
              <w:rPr>
                <w:strike w:val="0"/>
                <w:dstrike w:val="0"/>
                <w:color w:val="auto"/>
                <w:szCs w:val="21"/>
                <w:highlight w:val="none"/>
              </w:rPr>
            </w:pPr>
            <w:r>
              <w:rPr>
                <w:strike w:val="0"/>
                <w:dstrike w:val="0"/>
                <w:color w:val="auto"/>
                <w:szCs w:val="21"/>
                <w:highlight w:val="none"/>
              </w:rPr>
              <w:t>相对密度（空气=1）</w:t>
            </w:r>
          </w:p>
        </w:tc>
        <w:tc>
          <w:tcPr>
            <w:tcW w:w="1256" w:type="pct"/>
            <w:vAlign w:val="center"/>
          </w:tcPr>
          <w:p w14:paraId="26A419DB">
            <w:pPr>
              <w:jc w:val="center"/>
              <w:rPr>
                <w:strike w:val="0"/>
                <w:dstrike w:val="0"/>
                <w:color w:val="auto"/>
                <w:szCs w:val="21"/>
                <w:highlight w:val="none"/>
              </w:rPr>
            </w:pPr>
            <w:r>
              <w:rPr>
                <w:strike w:val="0"/>
                <w:dstrike w:val="0"/>
                <w:color w:val="auto"/>
                <w:szCs w:val="21"/>
                <w:highlight w:val="none"/>
              </w:rPr>
              <w:t>/</w:t>
            </w:r>
          </w:p>
        </w:tc>
      </w:tr>
      <w:tr w14:paraId="740C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68" w:type="pct"/>
            <w:vAlign w:val="center"/>
          </w:tcPr>
          <w:p w14:paraId="7AFF121E">
            <w:pPr>
              <w:jc w:val="center"/>
              <w:rPr>
                <w:strike w:val="0"/>
                <w:dstrike w:val="0"/>
                <w:color w:val="auto"/>
                <w:szCs w:val="21"/>
                <w:highlight w:val="none"/>
              </w:rPr>
            </w:pPr>
            <w:r>
              <w:rPr>
                <w:strike w:val="0"/>
                <w:dstrike w:val="0"/>
                <w:color w:val="auto"/>
                <w:szCs w:val="21"/>
                <w:highlight w:val="none"/>
              </w:rPr>
              <w:t>引燃温度（℃）：</w:t>
            </w:r>
          </w:p>
        </w:tc>
        <w:tc>
          <w:tcPr>
            <w:tcW w:w="1426" w:type="pct"/>
            <w:vAlign w:val="center"/>
          </w:tcPr>
          <w:p w14:paraId="3F0AFE00">
            <w:pPr>
              <w:jc w:val="center"/>
              <w:rPr>
                <w:strike w:val="0"/>
                <w:dstrike w:val="0"/>
                <w:color w:val="auto"/>
                <w:szCs w:val="21"/>
                <w:highlight w:val="none"/>
              </w:rPr>
            </w:pPr>
            <w:r>
              <w:rPr>
                <w:rFonts w:hint="eastAsia"/>
                <w:strike w:val="0"/>
                <w:dstrike w:val="0"/>
                <w:color w:val="auto"/>
                <w:szCs w:val="21"/>
                <w:highlight w:val="none"/>
              </w:rPr>
              <w:t>350~380</w:t>
            </w:r>
          </w:p>
        </w:tc>
        <w:tc>
          <w:tcPr>
            <w:tcW w:w="1249" w:type="pct"/>
            <w:vAlign w:val="center"/>
          </w:tcPr>
          <w:p w14:paraId="3AF1BB1A">
            <w:pPr>
              <w:jc w:val="center"/>
              <w:rPr>
                <w:strike w:val="0"/>
                <w:dstrike w:val="0"/>
                <w:color w:val="auto"/>
                <w:szCs w:val="21"/>
                <w:highlight w:val="none"/>
              </w:rPr>
            </w:pPr>
            <w:r>
              <w:rPr>
                <w:strike w:val="0"/>
                <w:dstrike w:val="0"/>
                <w:color w:val="auto"/>
                <w:szCs w:val="21"/>
                <w:highlight w:val="none"/>
              </w:rPr>
              <w:t>爆炸上限％（V/V）：</w:t>
            </w:r>
          </w:p>
        </w:tc>
        <w:tc>
          <w:tcPr>
            <w:tcW w:w="1256" w:type="pct"/>
            <w:vAlign w:val="center"/>
          </w:tcPr>
          <w:p w14:paraId="6C7F8CAA">
            <w:pPr>
              <w:jc w:val="center"/>
              <w:rPr>
                <w:strike w:val="0"/>
                <w:dstrike w:val="0"/>
                <w:color w:val="auto"/>
                <w:szCs w:val="21"/>
                <w:highlight w:val="none"/>
              </w:rPr>
            </w:pPr>
            <w:r>
              <w:rPr>
                <w:rFonts w:hint="eastAsia"/>
                <w:strike w:val="0"/>
                <w:dstrike w:val="0"/>
                <w:color w:val="auto"/>
                <w:szCs w:val="21"/>
                <w:highlight w:val="none"/>
              </w:rPr>
              <w:t>6.50</w:t>
            </w:r>
          </w:p>
        </w:tc>
      </w:tr>
      <w:tr w14:paraId="583F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2596A701">
            <w:pPr>
              <w:jc w:val="center"/>
              <w:rPr>
                <w:strike w:val="0"/>
                <w:dstrike w:val="0"/>
                <w:color w:val="auto"/>
                <w:szCs w:val="21"/>
                <w:highlight w:val="none"/>
              </w:rPr>
            </w:pPr>
            <w:r>
              <w:rPr>
                <w:strike w:val="0"/>
                <w:dstrike w:val="0"/>
                <w:color w:val="auto"/>
                <w:szCs w:val="21"/>
                <w:highlight w:val="none"/>
              </w:rPr>
              <w:t>沸点（℃）：</w:t>
            </w:r>
          </w:p>
        </w:tc>
        <w:tc>
          <w:tcPr>
            <w:tcW w:w="1426" w:type="pct"/>
            <w:vAlign w:val="center"/>
          </w:tcPr>
          <w:p w14:paraId="0B054569">
            <w:pPr>
              <w:jc w:val="center"/>
              <w:rPr>
                <w:strike w:val="0"/>
                <w:dstrike w:val="0"/>
                <w:color w:val="auto"/>
                <w:szCs w:val="21"/>
                <w:highlight w:val="none"/>
              </w:rPr>
            </w:pPr>
            <w:r>
              <w:rPr>
                <w:strike w:val="0"/>
                <w:dstrike w:val="0"/>
                <w:color w:val="auto"/>
                <w:szCs w:val="21"/>
                <w:highlight w:val="none"/>
              </w:rPr>
              <w:t>282～338</w:t>
            </w:r>
          </w:p>
        </w:tc>
        <w:tc>
          <w:tcPr>
            <w:tcW w:w="1249" w:type="pct"/>
            <w:vAlign w:val="center"/>
          </w:tcPr>
          <w:p w14:paraId="4FA12699">
            <w:pPr>
              <w:jc w:val="center"/>
              <w:rPr>
                <w:strike w:val="0"/>
                <w:dstrike w:val="0"/>
                <w:color w:val="auto"/>
                <w:szCs w:val="21"/>
                <w:highlight w:val="none"/>
              </w:rPr>
            </w:pPr>
            <w:r>
              <w:rPr>
                <w:strike w:val="0"/>
                <w:dstrike w:val="0"/>
                <w:color w:val="auto"/>
                <w:szCs w:val="21"/>
                <w:highlight w:val="none"/>
              </w:rPr>
              <w:t>爆炸下限％（V/V）：</w:t>
            </w:r>
          </w:p>
        </w:tc>
        <w:tc>
          <w:tcPr>
            <w:tcW w:w="1256" w:type="pct"/>
            <w:vAlign w:val="center"/>
          </w:tcPr>
          <w:p w14:paraId="53E5F477">
            <w:pPr>
              <w:jc w:val="center"/>
              <w:rPr>
                <w:strike w:val="0"/>
                <w:dstrike w:val="0"/>
                <w:color w:val="auto"/>
                <w:szCs w:val="21"/>
                <w:highlight w:val="none"/>
              </w:rPr>
            </w:pPr>
            <w:r>
              <w:rPr>
                <w:rFonts w:hint="eastAsia"/>
                <w:strike w:val="0"/>
                <w:dstrike w:val="0"/>
                <w:color w:val="auto"/>
                <w:szCs w:val="21"/>
                <w:highlight w:val="none"/>
              </w:rPr>
              <w:t>1.50</w:t>
            </w:r>
          </w:p>
        </w:tc>
      </w:tr>
      <w:tr w14:paraId="42B8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68" w:type="pct"/>
            <w:vAlign w:val="center"/>
          </w:tcPr>
          <w:p w14:paraId="15661326">
            <w:pPr>
              <w:jc w:val="center"/>
              <w:rPr>
                <w:strike w:val="0"/>
                <w:dstrike w:val="0"/>
                <w:color w:val="auto"/>
                <w:szCs w:val="21"/>
                <w:highlight w:val="none"/>
              </w:rPr>
            </w:pPr>
            <w:r>
              <w:rPr>
                <w:strike w:val="0"/>
                <w:dstrike w:val="0"/>
                <w:color w:val="auto"/>
                <w:szCs w:val="21"/>
                <w:highlight w:val="none"/>
              </w:rPr>
              <w:t>溶解性：</w:t>
            </w:r>
          </w:p>
        </w:tc>
        <w:tc>
          <w:tcPr>
            <w:tcW w:w="3931" w:type="pct"/>
            <w:gridSpan w:val="3"/>
            <w:vAlign w:val="center"/>
          </w:tcPr>
          <w:p w14:paraId="43736677">
            <w:pPr>
              <w:jc w:val="center"/>
              <w:rPr>
                <w:strike w:val="0"/>
                <w:dstrike w:val="0"/>
                <w:color w:val="auto"/>
                <w:szCs w:val="21"/>
                <w:highlight w:val="none"/>
              </w:rPr>
            </w:pPr>
            <w:r>
              <w:rPr>
                <w:strike w:val="0"/>
                <w:dstrike w:val="0"/>
                <w:color w:val="auto"/>
                <w:szCs w:val="21"/>
                <w:highlight w:val="none"/>
              </w:rPr>
              <w:t>难溶于水，易溶于醇和其他有机溶剂</w:t>
            </w:r>
          </w:p>
        </w:tc>
      </w:tr>
      <w:tr w14:paraId="3288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 w:type="pct"/>
            <w:vAlign w:val="center"/>
          </w:tcPr>
          <w:p w14:paraId="1894C928">
            <w:pPr>
              <w:jc w:val="center"/>
              <w:rPr>
                <w:strike w:val="0"/>
                <w:dstrike w:val="0"/>
                <w:color w:val="auto"/>
                <w:szCs w:val="21"/>
                <w:highlight w:val="none"/>
              </w:rPr>
            </w:pPr>
            <w:r>
              <w:rPr>
                <w:strike w:val="0"/>
                <w:dstrike w:val="0"/>
                <w:color w:val="auto"/>
                <w:szCs w:val="21"/>
                <w:highlight w:val="none"/>
              </w:rPr>
              <w:t>主要用途：</w:t>
            </w:r>
          </w:p>
        </w:tc>
        <w:tc>
          <w:tcPr>
            <w:tcW w:w="3931" w:type="pct"/>
            <w:gridSpan w:val="3"/>
            <w:vAlign w:val="center"/>
          </w:tcPr>
          <w:p w14:paraId="6D16470A">
            <w:pPr>
              <w:jc w:val="center"/>
              <w:rPr>
                <w:strike w:val="0"/>
                <w:dstrike w:val="0"/>
                <w:color w:val="auto"/>
                <w:szCs w:val="21"/>
                <w:highlight w:val="none"/>
              </w:rPr>
            </w:pPr>
            <w:r>
              <w:rPr>
                <w:strike w:val="0"/>
                <w:dstrike w:val="0"/>
                <w:color w:val="auto"/>
                <w:szCs w:val="21"/>
                <w:highlight w:val="none"/>
              </w:rPr>
              <w:t>主要用作柴油机的燃料。</w:t>
            </w:r>
          </w:p>
        </w:tc>
      </w:tr>
      <w:tr w14:paraId="0405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C60FA39">
            <w:pPr>
              <w:jc w:val="center"/>
              <w:rPr>
                <w:strike w:val="0"/>
                <w:dstrike w:val="0"/>
                <w:color w:val="auto"/>
                <w:szCs w:val="21"/>
                <w:highlight w:val="none"/>
              </w:rPr>
            </w:pPr>
            <w:r>
              <w:rPr>
                <w:strike w:val="0"/>
                <w:dstrike w:val="0"/>
                <w:color w:val="auto"/>
                <w:szCs w:val="21"/>
                <w:highlight w:val="none"/>
              </w:rPr>
              <w:t>第三部分稳定性及化学活性</w:t>
            </w:r>
          </w:p>
        </w:tc>
      </w:tr>
      <w:tr w14:paraId="0E8D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57F68868">
            <w:pPr>
              <w:jc w:val="center"/>
              <w:rPr>
                <w:strike w:val="0"/>
                <w:dstrike w:val="0"/>
                <w:color w:val="auto"/>
                <w:szCs w:val="21"/>
                <w:highlight w:val="none"/>
              </w:rPr>
            </w:pPr>
            <w:r>
              <w:rPr>
                <w:strike w:val="0"/>
                <w:dstrike w:val="0"/>
                <w:color w:val="auto"/>
                <w:szCs w:val="21"/>
                <w:highlight w:val="none"/>
              </w:rPr>
              <w:t>稳定性：</w:t>
            </w:r>
          </w:p>
        </w:tc>
        <w:tc>
          <w:tcPr>
            <w:tcW w:w="1426" w:type="pct"/>
            <w:vAlign w:val="center"/>
          </w:tcPr>
          <w:p w14:paraId="66E72128">
            <w:pPr>
              <w:jc w:val="center"/>
              <w:rPr>
                <w:strike w:val="0"/>
                <w:dstrike w:val="0"/>
                <w:color w:val="auto"/>
                <w:szCs w:val="21"/>
                <w:highlight w:val="none"/>
              </w:rPr>
            </w:pPr>
            <w:r>
              <w:rPr>
                <w:strike w:val="0"/>
                <w:dstrike w:val="0"/>
                <w:color w:val="auto"/>
                <w:szCs w:val="21"/>
                <w:highlight w:val="none"/>
              </w:rPr>
              <w:t>稳定</w:t>
            </w:r>
          </w:p>
        </w:tc>
        <w:tc>
          <w:tcPr>
            <w:tcW w:w="1249" w:type="pct"/>
            <w:vAlign w:val="center"/>
          </w:tcPr>
          <w:p w14:paraId="3808849D">
            <w:pPr>
              <w:jc w:val="center"/>
              <w:rPr>
                <w:strike w:val="0"/>
                <w:dstrike w:val="0"/>
                <w:color w:val="auto"/>
                <w:szCs w:val="21"/>
                <w:highlight w:val="none"/>
              </w:rPr>
            </w:pPr>
            <w:r>
              <w:rPr>
                <w:strike w:val="0"/>
                <w:dstrike w:val="0"/>
                <w:color w:val="auto"/>
                <w:szCs w:val="21"/>
                <w:highlight w:val="none"/>
              </w:rPr>
              <w:t>避免接触的条件：</w:t>
            </w:r>
          </w:p>
        </w:tc>
        <w:tc>
          <w:tcPr>
            <w:tcW w:w="1256" w:type="pct"/>
            <w:vAlign w:val="center"/>
          </w:tcPr>
          <w:p w14:paraId="0B11D598">
            <w:pPr>
              <w:jc w:val="center"/>
              <w:rPr>
                <w:strike w:val="0"/>
                <w:dstrike w:val="0"/>
                <w:color w:val="auto"/>
                <w:szCs w:val="21"/>
                <w:highlight w:val="none"/>
              </w:rPr>
            </w:pPr>
            <w:r>
              <w:rPr>
                <w:strike w:val="0"/>
                <w:dstrike w:val="0"/>
                <w:color w:val="auto"/>
                <w:szCs w:val="21"/>
                <w:highlight w:val="none"/>
              </w:rPr>
              <w:t>明火、高热。</w:t>
            </w:r>
          </w:p>
        </w:tc>
      </w:tr>
      <w:tr w14:paraId="5165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11F99259">
            <w:pPr>
              <w:jc w:val="center"/>
              <w:rPr>
                <w:strike w:val="0"/>
                <w:dstrike w:val="0"/>
                <w:color w:val="auto"/>
                <w:szCs w:val="21"/>
                <w:highlight w:val="none"/>
              </w:rPr>
            </w:pPr>
            <w:r>
              <w:rPr>
                <w:strike w:val="0"/>
                <w:dstrike w:val="0"/>
                <w:color w:val="auto"/>
                <w:szCs w:val="21"/>
                <w:highlight w:val="none"/>
              </w:rPr>
              <w:t>禁配物：</w:t>
            </w:r>
          </w:p>
        </w:tc>
        <w:tc>
          <w:tcPr>
            <w:tcW w:w="1426" w:type="pct"/>
            <w:vAlign w:val="center"/>
          </w:tcPr>
          <w:p w14:paraId="29FCF093">
            <w:pPr>
              <w:jc w:val="center"/>
              <w:rPr>
                <w:strike w:val="0"/>
                <w:dstrike w:val="0"/>
                <w:color w:val="auto"/>
                <w:szCs w:val="21"/>
                <w:highlight w:val="none"/>
              </w:rPr>
            </w:pPr>
            <w:r>
              <w:rPr>
                <w:strike w:val="0"/>
                <w:dstrike w:val="0"/>
                <w:color w:val="auto"/>
                <w:szCs w:val="21"/>
                <w:highlight w:val="none"/>
              </w:rPr>
              <w:t>强氧化剂、卤素</w:t>
            </w:r>
          </w:p>
        </w:tc>
        <w:tc>
          <w:tcPr>
            <w:tcW w:w="1249" w:type="pct"/>
            <w:vAlign w:val="center"/>
          </w:tcPr>
          <w:p w14:paraId="5F84011D">
            <w:pPr>
              <w:jc w:val="center"/>
              <w:rPr>
                <w:strike w:val="0"/>
                <w:dstrike w:val="0"/>
                <w:color w:val="auto"/>
                <w:szCs w:val="21"/>
                <w:highlight w:val="none"/>
              </w:rPr>
            </w:pPr>
            <w:r>
              <w:rPr>
                <w:strike w:val="0"/>
                <w:dstrike w:val="0"/>
                <w:color w:val="auto"/>
                <w:szCs w:val="21"/>
                <w:highlight w:val="none"/>
              </w:rPr>
              <w:t>聚合危害：</w:t>
            </w:r>
          </w:p>
        </w:tc>
        <w:tc>
          <w:tcPr>
            <w:tcW w:w="1256" w:type="pct"/>
            <w:vAlign w:val="center"/>
          </w:tcPr>
          <w:p w14:paraId="116A68CE">
            <w:pPr>
              <w:jc w:val="center"/>
              <w:rPr>
                <w:strike w:val="0"/>
                <w:dstrike w:val="0"/>
                <w:color w:val="auto"/>
                <w:szCs w:val="21"/>
                <w:highlight w:val="none"/>
              </w:rPr>
            </w:pPr>
          </w:p>
        </w:tc>
      </w:tr>
      <w:tr w14:paraId="4AF3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3B30A99B">
            <w:pPr>
              <w:jc w:val="center"/>
              <w:rPr>
                <w:strike w:val="0"/>
                <w:dstrike w:val="0"/>
                <w:color w:val="auto"/>
                <w:szCs w:val="21"/>
                <w:highlight w:val="none"/>
              </w:rPr>
            </w:pPr>
            <w:r>
              <w:rPr>
                <w:strike w:val="0"/>
                <w:dstrike w:val="0"/>
                <w:color w:val="auto"/>
                <w:szCs w:val="21"/>
                <w:highlight w:val="none"/>
              </w:rPr>
              <w:t>分解产物：</w:t>
            </w:r>
          </w:p>
        </w:tc>
        <w:tc>
          <w:tcPr>
            <w:tcW w:w="3931" w:type="pct"/>
            <w:gridSpan w:val="3"/>
            <w:vAlign w:val="center"/>
          </w:tcPr>
          <w:p w14:paraId="0874398F">
            <w:pPr>
              <w:jc w:val="center"/>
              <w:rPr>
                <w:strike w:val="0"/>
                <w:dstrike w:val="0"/>
                <w:color w:val="auto"/>
                <w:szCs w:val="21"/>
                <w:highlight w:val="none"/>
              </w:rPr>
            </w:pPr>
            <w:r>
              <w:rPr>
                <w:strike w:val="0"/>
                <w:dstrike w:val="0"/>
                <w:color w:val="auto"/>
                <w:szCs w:val="21"/>
                <w:highlight w:val="none"/>
              </w:rPr>
              <w:t>一氧化碳、二氧化碳</w:t>
            </w:r>
          </w:p>
        </w:tc>
      </w:tr>
      <w:tr w14:paraId="1995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4A07A3D">
            <w:pPr>
              <w:jc w:val="center"/>
              <w:rPr>
                <w:strike w:val="0"/>
                <w:dstrike w:val="0"/>
                <w:color w:val="auto"/>
                <w:szCs w:val="21"/>
                <w:highlight w:val="none"/>
              </w:rPr>
            </w:pPr>
            <w:r>
              <w:rPr>
                <w:strike w:val="0"/>
                <w:dstrike w:val="0"/>
                <w:color w:val="auto"/>
                <w:szCs w:val="21"/>
                <w:highlight w:val="none"/>
              </w:rPr>
              <w:t>第四部分毒理学资料</w:t>
            </w:r>
          </w:p>
        </w:tc>
      </w:tr>
      <w:tr w14:paraId="3B7B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736863CC">
            <w:pPr>
              <w:jc w:val="center"/>
              <w:rPr>
                <w:strike w:val="0"/>
                <w:dstrike w:val="0"/>
                <w:color w:val="auto"/>
                <w:szCs w:val="21"/>
                <w:highlight w:val="none"/>
              </w:rPr>
            </w:pPr>
            <w:r>
              <w:rPr>
                <w:strike w:val="0"/>
                <w:dstrike w:val="0"/>
                <w:color w:val="auto"/>
                <w:szCs w:val="21"/>
                <w:highlight w:val="none"/>
              </w:rPr>
              <w:t>急性毒性：</w:t>
            </w:r>
          </w:p>
        </w:tc>
        <w:tc>
          <w:tcPr>
            <w:tcW w:w="3931" w:type="pct"/>
            <w:gridSpan w:val="3"/>
            <w:vAlign w:val="center"/>
          </w:tcPr>
          <w:p w14:paraId="01323FB0">
            <w:pPr>
              <w:jc w:val="center"/>
              <w:rPr>
                <w:strike w:val="0"/>
                <w:dstrike w:val="0"/>
                <w:color w:val="auto"/>
                <w:szCs w:val="21"/>
                <w:highlight w:val="none"/>
              </w:rPr>
            </w:pPr>
            <w:r>
              <w:rPr>
                <w:strike w:val="0"/>
                <w:dstrike w:val="0"/>
                <w:color w:val="auto"/>
                <w:szCs w:val="21"/>
                <w:highlight w:val="none"/>
              </w:rPr>
              <w:t>无</w:t>
            </w:r>
          </w:p>
        </w:tc>
      </w:tr>
      <w:tr w14:paraId="7921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35EC7CAF">
            <w:pPr>
              <w:jc w:val="center"/>
              <w:rPr>
                <w:strike w:val="0"/>
                <w:dstrike w:val="0"/>
                <w:color w:val="auto"/>
                <w:szCs w:val="21"/>
                <w:highlight w:val="none"/>
              </w:rPr>
            </w:pPr>
            <w:r>
              <w:rPr>
                <w:strike w:val="0"/>
                <w:dstrike w:val="0"/>
                <w:color w:val="auto"/>
                <w:szCs w:val="21"/>
                <w:highlight w:val="none"/>
              </w:rPr>
              <w:t>急性中毒：</w:t>
            </w:r>
          </w:p>
        </w:tc>
        <w:tc>
          <w:tcPr>
            <w:tcW w:w="3931" w:type="pct"/>
            <w:gridSpan w:val="3"/>
            <w:vAlign w:val="center"/>
          </w:tcPr>
          <w:p w14:paraId="57D0CBB6">
            <w:pPr>
              <w:jc w:val="center"/>
              <w:rPr>
                <w:strike w:val="0"/>
                <w:dstrike w:val="0"/>
                <w:color w:val="auto"/>
                <w:szCs w:val="21"/>
                <w:highlight w:val="none"/>
              </w:rPr>
            </w:pPr>
            <w:r>
              <w:rPr>
                <w:strike w:val="0"/>
                <w:dstrike w:val="0"/>
                <w:color w:val="auto"/>
                <w:szCs w:val="21"/>
                <w:highlight w:val="none"/>
              </w:rPr>
              <w:t>无</w:t>
            </w:r>
          </w:p>
        </w:tc>
      </w:tr>
      <w:tr w14:paraId="188A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2F701557">
            <w:pPr>
              <w:jc w:val="center"/>
              <w:rPr>
                <w:strike w:val="0"/>
                <w:dstrike w:val="0"/>
                <w:color w:val="auto"/>
                <w:szCs w:val="21"/>
                <w:highlight w:val="none"/>
              </w:rPr>
            </w:pPr>
            <w:r>
              <w:rPr>
                <w:strike w:val="0"/>
                <w:dstrike w:val="0"/>
                <w:color w:val="auto"/>
                <w:szCs w:val="21"/>
                <w:highlight w:val="none"/>
              </w:rPr>
              <w:t>慢性中毒：</w:t>
            </w:r>
          </w:p>
        </w:tc>
        <w:tc>
          <w:tcPr>
            <w:tcW w:w="3931" w:type="pct"/>
            <w:gridSpan w:val="3"/>
            <w:vAlign w:val="center"/>
          </w:tcPr>
          <w:p w14:paraId="7D613F17">
            <w:pPr>
              <w:jc w:val="center"/>
              <w:rPr>
                <w:strike w:val="0"/>
                <w:dstrike w:val="0"/>
                <w:color w:val="auto"/>
                <w:szCs w:val="21"/>
                <w:highlight w:val="none"/>
              </w:rPr>
            </w:pPr>
            <w:r>
              <w:rPr>
                <w:strike w:val="0"/>
                <w:dstrike w:val="0"/>
                <w:color w:val="auto"/>
                <w:szCs w:val="21"/>
                <w:highlight w:val="none"/>
              </w:rPr>
              <w:t>/</w:t>
            </w:r>
          </w:p>
        </w:tc>
      </w:tr>
      <w:tr w14:paraId="24C0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 w:type="pct"/>
            <w:vAlign w:val="center"/>
          </w:tcPr>
          <w:p w14:paraId="39C16DB0">
            <w:pPr>
              <w:jc w:val="center"/>
              <w:rPr>
                <w:strike w:val="0"/>
                <w:dstrike w:val="0"/>
                <w:color w:val="auto"/>
                <w:szCs w:val="21"/>
                <w:highlight w:val="none"/>
              </w:rPr>
            </w:pPr>
            <w:r>
              <w:rPr>
                <w:strike w:val="0"/>
                <w:dstrike w:val="0"/>
                <w:color w:val="auto"/>
                <w:szCs w:val="21"/>
                <w:highlight w:val="none"/>
              </w:rPr>
              <w:t>刺激性：</w:t>
            </w:r>
          </w:p>
        </w:tc>
        <w:tc>
          <w:tcPr>
            <w:tcW w:w="3931" w:type="pct"/>
            <w:gridSpan w:val="3"/>
            <w:vAlign w:val="center"/>
          </w:tcPr>
          <w:p w14:paraId="27B26679">
            <w:pPr>
              <w:jc w:val="center"/>
              <w:rPr>
                <w:strike w:val="0"/>
                <w:dstrike w:val="0"/>
                <w:color w:val="auto"/>
                <w:szCs w:val="21"/>
                <w:highlight w:val="none"/>
              </w:rPr>
            </w:pPr>
            <w:r>
              <w:rPr>
                <w:strike w:val="0"/>
                <w:dstrike w:val="0"/>
                <w:color w:val="auto"/>
                <w:szCs w:val="21"/>
                <w:highlight w:val="none"/>
              </w:rPr>
              <w:t>/</w:t>
            </w:r>
          </w:p>
        </w:tc>
      </w:tr>
      <w:tr w14:paraId="088A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pct"/>
            <w:vAlign w:val="center"/>
          </w:tcPr>
          <w:p w14:paraId="65E170C2">
            <w:pPr>
              <w:jc w:val="center"/>
              <w:rPr>
                <w:strike w:val="0"/>
                <w:dstrike w:val="0"/>
                <w:color w:val="auto"/>
                <w:szCs w:val="21"/>
                <w:highlight w:val="none"/>
              </w:rPr>
            </w:pPr>
            <w:r>
              <w:rPr>
                <w:strike w:val="0"/>
                <w:dstrike w:val="0"/>
                <w:color w:val="auto"/>
                <w:szCs w:val="21"/>
                <w:highlight w:val="none"/>
              </w:rPr>
              <w:t>最高容许浓度</w:t>
            </w:r>
          </w:p>
        </w:tc>
        <w:tc>
          <w:tcPr>
            <w:tcW w:w="3931" w:type="pct"/>
            <w:gridSpan w:val="3"/>
            <w:vAlign w:val="center"/>
          </w:tcPr>
          <w:p w14:paraId="65F1BA3F">
            <w:pPr>
              <w:jc w:val="center"/>
              <w:rPr>
                <w:strike w:val="0"/>
                <w:dstrike w:val="0"/>
                <w:color w:val="auto"/>
                <w:szCs w:val="21"/>
                <w:highlight w:val="none"/>
              </w:rPr>
            </w:pPr>
            <w:r>
              <w:rPr>
                <w:strike w:val="0"/>
                <w:dstrike w:val="0"/>
                <w:color w:val="auto"/>
                <w:szCs w:val="21"/>
                <w:highlight w:val="none"/>
              </w:rPr>
              <w:t>/</w:t>
            </w:r>
          </w:p>
        </w:tc>
      </w:tr>
    </w:tbl>
    <w:p w14:paraId="16F25AB8">
      <w:pPr>
        <w:keepNext/>
        <w:overflowPunct w:val="0"/>
        <w:snapToGrid w:val="0"/>
        <w:spacing w:line="360" w:lineRule="auto"/>
        <w:jc w:val="center"/>
        <w:rPr>
          <w:b/>
          <w:bCs/>
          <w:strike w:val="0"/>
          <w:dstrike w:val="0"/>
          <w:color w:val="auto"/>
          <w:sz w:val="24"/>
          <w:highlight w:val="none"/>
        </w:rPr>
      </w:pPr>
      <w:r>
        <w:rPr>
          <w:b/>
          <w:bCs/>
          <w:strike w:val="0"/>
          <w:dstrike w:val="0"/>
          <w:color w:val="auto"/>
          <w:sz w:val="24"/>
          <w:highlight w:val="none"/>
        </w:rPr>
        <w:t>表</w:t>
      </w:r>
      <w:r>
        <w:rPr>
          <w:rFonts w:hint="eastAsia"/>
          <w:b/>
          <w:bCs/>
          <w:strike w:val="0"/>
          <w:dstrike w:val="0"/>
          <w:color w:val="auto"/>
          <w:sz w:val="24"/>
          <w:highlight w:val="none"/>
        </w:rPr>
        <w:t>2.1-3</w:t>
      </w:r>
      <w:r>
        <w:rPr>
          <w:b/>
          <w:bCs/>
          <w:strike w:val="0"/>
          <w:dstrike w:val="0"/>
          <w:color w:val="auto"/>
          <w:sz w:val="24"/>
          <w:highlight w:val="none"/>
        </w:rPr>
        <w:t xml:space="preserve"> 天然气的理化性质及危险特性表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3744"/>
        <w:gridCol w:w="2150"/>
        <w:gridCol w:w="2018"/>
      </w:tblGrid>
      <w:tr w14:paraId="3F81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48" w:type="dxa"/>
            <w:vMerge w:val="restart"/>
            <w:vAlign w:val="center"/>
          </w:tcPr>
          <w:p w14:paraId="34220649">
            <w:pPr>
              <w:jc w:val="center"/>
              <w:rPr>
                <w:strike w:val="0"/>
                <w:dstrike w:val="0"/>
                <w:color w:val="auto"/>
                <w:szCs w:val="21"/>
                <w:highlight w:val="none"/>
              </w:rPr>
            </w:pPr>
            <w:r>
              <w:rPr>
                <w:strike w:val="0"/>
                <w:dstrike w:val="0"/>
                <w:color w:val="auto"/>
                <w:szCs w:val="21"/>
                <w:highlight w:val="none"/>
              </w:rPr>
              <w:t>标识</w:t>
            </w:r>
          </w:p>
        </w:tc>
        <w:tc>
          <w:tcPr>
            <w:tcW w:w="3744" w:type="dxa"/>
            <w:vAlign w:val="center"/>
          </w:tcPr>
          <w:p w14:paraId="010D33CF">
            <w:pPr>
              <w:jc w:val="center"/>
              <w:rPr>
                <w:strike w:val="0"/>
                <w:dstrike w:val="0"/>
                <w:color w:val="auto"/>
                <w:szCs w:val="21"/>
                <w:highlight w:val="none"/>
              </w:rPr>
            </w:pPr>
            <w:r>
              <w:rPr>
                <w:strike w:val="0"/>
                <w:dstrike w:val="0"/>
                <w:color w:val="auto"/>
                <w:szCs w:val="21"/>
                <w:highlight w:val="none"/>
              </w:rPr>
              <w:t>中文名：天然气；沼气</w:t>
            </w:r>
          </w:p>
        </w:tc>
        <w:tc>
          <w:tcPr>
            <w:tcW w:w="4168" w:type="dxa"/>
            <w:gridSpan w:val="2"/>
            <w:vAlign w:val="center"/>
          </w:tcPr>
          <w:p w14:paraId="59E7E861">
            <w:pPr>
              <w:jc w:val="center"/>
              <w:rPr>
                <w:strike w:val="0"/>
                <w:dstrike w:val="0"/>
                <w:color w:val="auto"/>
                <w:szCs w:val="21"/>
                <w:highlight w:val="none"/>
              </w:rPr>
            </w:pPr>
            <w:r>
              <w:rPr>
                <w:strike w:val="0"/>
                <w:dstrike w:val="0"/>
                <w:color w:val="auto"/>
                <w:szCs w:val="21"/>
                <w:highlight w:val="none"/>
              </w:rPr>
              <w:t>英文名：Natural gas</w:t>
            </w:r>
          </w:p>
        </w:tc>
      </w:tr>
      <w:tr w14:paraId="2630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464D8C0C">
            <w:pPr>
              <w:jc w:val="center"/>
              <w:rPr>
                <w:strike w:val="0"/>
                <w:dstrike w:val="0"/>
                <w:color w:val="auto"/>
                <w:szCs w:val="21"/>
                <w:highlight w:val="none"/>
              </w:rPr>
            </w:pPr>
          </w:p>
        </w:tc>
        <w:tc>
          <w:tcPr>
            <w:tcW w:w="3744" w:type="dxa"/>
            <w:vAlign w:val="center"/>
          </w:tcPr>
          <w:p w14:paraId="0A2B847F">
            <w:pPr>
              <w:jc w:val="center"/>
              <w:rPr>
                <w:strike w:val="0"/>
                <w:dstrike w:val="0"/>
                <w:color w:val="auto"/>
                <w:szCs w:val="21"/>
                <w:highlight w:val="none"/>
              </w:rPr>
            </w:pPr>
            <w:r>
              <w:rPr>
                <w:strike w:val="0"/>
                <w:dstrike w:val="0"/>
                <w:color w:val="auto"/>
                <w:szCs w:val="21"/>
                <w:highlight w:val="none"/>
              </w:rPr>
              <w:t>分子式：CH</w:t>
            </w:r>
            <w:r>
              <w:rPr>
                <w:strike w:val="0"/>
                <w:dstrike w:val="0"/>
                <w:color w:val="auto"/>
                <w:szCs w:val="21"/>
                <w:highlight w:val="none"/>
                <w:vertAlign w:val="subscript"/>
              </w:rPr>
              <w:t>4</w:t>
            </w:r>
          </w:p>
        </w:tc>
        <w:tc>
          <w:tcPr>
            <w:tcW w:w="2150" w:type="dxa"/>
            <w:vAlign w:val="center"/>
          </w:tcPr>
          <w:p w14:paraId="736D834A">
            <w:pPr>
              <w:jc w:val="center"/>
              <w:rPr>
                <w:strike w:val="0"/>
                <w:dstrike w:val="0"/>
                <w:color w:val="auto"/>
                <w:szCs w:val="21"/>
                <w:highlight w:val="none"/>
              </w:rPr>
            </w:pPr>
            <w:r>
              <w:rPr>
                <w:strike w:val="0"/>
                <w:dstrike w:val="0"/>
                <w:color w:val="auto"/>
                <w:szCs w:val="21"/>
                <w:highlight w:val="none"/>
              </w:rPr>
              <w:t>分子量</w:t>
            </w:r>
          </w:p>
        </w:tc>
        <w:tc>
          <w:tcPr>
            <w:tcW w:w="2018" w:type="dxa"/>
            <w:vAlign w:val="center"/>
          </w:tcPr>
          <w:p w14:paraId="365BF1D3">
            <w:pPr>
              <w:jc w:val="center"/>
              <w:rPr>
                <w:strike w:val="0"/>
                <w:dstrike w:val="0"/>
                <w:color w:val="auto"/>
                <w:szCs w:val="21"/>
                <w:highlight w:val="none"/>
              </w:rPr>
            </w:pPr>
            <w:r>
              <w:rPr>
                <w:strike w:val="0"/>
                <w:dstrike w:val="0"/>
                <w:color w:val="auto"/>
                <w:szCs w:val="21"/>
                <w:highlight w:val="none"/>
              </w:rPr>
              <w:t>UN编号：1917</w:t>
            </w:r>
          </w:p>
        </w:tc>
      </w:tr>
      <w:tr w14:paraId="6A4C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7AA731C6">
            <w:pPr>
              <w:jc w:val="center"/>
              <w:rPr>
                <w:strike w:val="0"/>
                <w:dstrike w:val="0"/>
                <w:color w:val="auto"/>
                <w:szCs w:val="21"/>
                <w:highlight w:val="none"/>
              </w:rPr>
            </w:pPr>
          </w:p>
        </w:tc>
        <w:tc>
          <w:tcPr>
            <w:tcW w:w="3744" w:type="dxa"/>
            <w:vAlign w:val="center"/>
          </w:tcPr>
          <w:p w14:paraId="1D9A0345">
            <w:pPr>
              <w:jc w:val="center"/>
              <w:rPr>
                <w:strike w:val="0"/>
                <w:dstrike w:val="0"/>
                <w:color w:val="auto"/>
                <w:szCs w:val="21"/>
                <w:highlight w:val="none"/>
              </w:rPr>
            </w:pPr>
            <w:r>
              <w:rPr>
                <w:strike w:val="0"/>
                <w:dstrike w:val="0"/>
                <w:color w:val="auto"/>
                <w:szCs w:val="21"/>
                <w:highlight w:val="none"/>
              </w:rPr>
              <w:t>危险性类别第2.1类易燃气体</w:t>
            </w:r>
          </w:p>
        </w:tc>
        <w:tc>
          <w:tcPr>
            <w:tcW w:w="2150" w:type="dxa"/>
            <w:vAlign w:val="center"/>
          </w:tcPr>
          <w:p w14:paraId="5081B66C">
            <w:pPr>
              <w:jc w:val="center"/>
              <w:rPr>
                <w:strike w:val="0"/>
                <w:dstrike w:val="0"/>
                <w:color w:val="auto"/>
                <w:szCs w:val="21"/>
                <w:highlight w:val="none"/>
              </w:rPr>
            </w:pPr>
            <w:r>
              <w:rPr>
                <w:strike w:val="0"/>
                <w:dstrike w:val="0"/>
                <w:color w:val="auto"/>
                <w:szCs w:val="21"/>
                <w:highlight w:val="none"/>
              </w:rPr>
              <w:t>CAS号：74-82-8</w:t>
            </w:r>
          </w:p>
        </w:tc>
        <w:tc>
          <w:tcPr>
            <w:tcW w:w="2018" w:type="dxa"/>
            <w:vAlign w:val="center"/>
          </w:tcPr>
          <w:p w14:paraId="6ACD53F8">
            <w:pPr>
              <w:jc w:val="center"/>
              <w:rPr>
                <w:strike w:val="0"/>
                <w:dstrike w:val="0"/>
                <w:color w:val="auto"/>
                <w:szCs w:val="21"/>
                <w:highlight w:val="none"/>
              </w:rPr>
            </w:pPr>
            <w:r>
              <w:rPr>
                <w:strike w:val="0"/>
                <w:dstrike w:val="0"/>
                <w:color w:val="auto"/>
                <w:szCs w:val="21"/>
                <w:highlight w:val="none"/>
              </w:rPr>
              <w:t>危规号：21007</w:t>
            </w:r>
          </w:p>
        </w:tc>
      </w:tr>
      <w:tr w14:paraId="23F0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restart"/>
            <w:vAlign w:val="center"/>
          </w:tcPr>
          <w:p w14:paraId="670488CE">
            <w:pPr>
              <w:jc w:val="center"/>
              <w:rPr>
                <w:strike w:val="0"/>
                <w:dstrike w:val="0"/>
                <w:color w:val="auto"/>
                <w:szCs w:val="21"/>
                <w:highlight w:val="none"/>
              </w:rPr>
            </w:pPr>
            <w:r>
              <w:rPr>
                <w:strike w:val="0"/>
                <w:dstrike w:val="0"/>
                <w:color w:val="auto"/>
                <w:szCs w:val="21"/>
                <w:highlight w:val="none"/>
              </w:rPr>
              <w:t>理化性质</w:t>
            </w:r>
          </w:p>
        </w:tc>
        <w:tc>
          <w:tcPr>
            <w:tcW w:w="7912" w:type="dxa"/>
            <w:gridSpan w:val="3"/>
            <w:vAlign w:val="center"/>
          </w:tcPr>
          <w:p w14:paraId="3AA9DCA2">
            <w:pPr>
              <w:jc w:val="center"/>
              <w:rPr>
                <w:strike w:val="0"/>
                <w:dstrike w:val="0"/>
                <w:color w:val="auto"/>
                <w:szCs w:val="21"/>
                <w:highlight w:val="none"/>
              </w:rPr>
            </w:pPr>
            <w:r>
              <w:rPr>
                <w:strike w:val="0"/>
                <w:dstrike w:val="0"/>
                <w:color w:val="auto"/>
                <w:szCs w:val="21"/>
                <w:highlight w:val="none"/>
              </w:rPr>
              <w:t>性状：无色、无臭气体</w:t>
            </w:r>
          </w:p>
        </w:tc>
      </w:tr>
      <w:tr w14:paraId="50BB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148" w:type="dxa"/>
            <w:vMerge w:val="continue"/>
            <w:vAlign w:val="center"/>
          </w:tcPr>
          <w:p w14:paraId="409E0841">
            <w:pPr>
              <w:jc w:val="center"/>
              <w:rPr>
                <w:strike w:val="0"/>
                <w:dstrike w:val="0"/>
                <w:color w:val="auto"/>
                <w:szCs w:val="21"/>
                <w:highlight w:val="none"/>
              </w:rPr>
            </w:pPr>
          </w:p>
        </w:tc>
        <w:tc>
          <w:tcPr>
            <w:tcW w:w="7912" w:type="dxa"/>
            <w:gridSpan w:val="3"/>
            <w:vAlign w:val="center"/>
          </w:tcPr>
          <w:p w14:paraId="61CE293F">
            <w:pPr>
              <w:jc w:val="left"/>
              <w:rPr>
                <w:strike w:val="0"/>
                <w:dstrike w:val="0"/>
                <w:color w:val="auto"/>
                <w:szCs w:val="21"/>
                <w:highlight w:val="none"/>
              </w:rPr>
            </w:pPr>
            <w:r>
              <w:rPr>
                <w:strike w:val="0"/>
                <w:dstrike w:val="0"/>
                <w:color w:val="auto"/>
                <w:szCs w:val="21"/>
                <w:highlight w:val="none"/>
              </w:rPr>
              <w:t>主要用途：是重要的有机化工原料，可用作制造炭黑、合成氨、甲醇以及其它有机化合物，亦是优良的燃料。</w:t>
            </w:r>
          </w:p>
        </w:tc>
      </w:tr>
      <w:tr w14:paraId="08D1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0A120641">
            <w:pPr>
              <w:jc w:val="center"/>
              <w:rPr>
                <w:strike w:val="0"/>
                <w:dstrike w:val="0"/>
                <w:color w:val="auto"/>
                <w:szCs w:val="21"/>
                <w:highlight w:val="none"/>
              </w:rPr>
            </w:pPr>
          </w:p>
        </w:tc>
        <w:tc>
          <w:tcPr>
            <w:tcW w:w="3744" w:type="dxa"/>
            <w:vAlign w:val="center"/>
          </w:tcPr>
          <w:p w14:paraId="49FDC2BC">
            <w:pPr>
              <w:jc w:val="center"/>
              <w:rPr>
                <w:strike w:val="0"/>
                <w:dstrike w:val="0"/>
                <w:color w:val="auto"/>
                <w:szCs w:val="21"/>
                <w:highlight w:val="none"/>
              </w:rPr>
            </w:pPr>
            <w:r>
              <w:rPr>
                <w:strike w:val="0"/>
                <w:dstrike w:val="0"/>
                <w:color w:val="auto"/>
                <w:szCs w:val="21"/>
                <w:highlight w:val="none"/>
              </w:rPr>
              <w:t>最大爆炸压力：（100kPa）：6.8</w:t>
            </w:r>
          </w:p>
        </w:tc>
        <w:tc>
          <w:tcPr>
            <w:tcW w:w="4168" w:type="dxa"/>
            <w:gridSpan w:val="2"/>
            <w:vAlign w:val="center"/>
          </w:tcPr>
          <w:p w14:paraId="194E28AC">
            <w:pPr>
              <w:jc w:val="center"/>
              <w:rPr>
                <w:strike w:val="0"/>
                <w:dstrike w:val="0"/>
                <w:color w:val="auto"/>
                <w:szCs w:val="21"/>
                <w:highlight w:val="none"/>
              </w:rPr>
            </w:pPr>
            <w:r>
              <w:rPr>
                <w:strike w:val="0"/>
                <w:dstrike w:val="0"/>
                <w:color w:val="auto"/>
                <w:szCs w:val="21"/>
                <w:highlight w:val="none"/>
              </w:rPr>
              <w:t>溶解性：溶于水</w:t>
            </w:r>
          </w:p>
        </w:tc>
      </w:tr>
      <w:tr w14:paraId="4C4E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68557C0E">
            <w:pPr>
              <w:jc w:val="center"/>
              <w:rPr>
                <w:strike w:val="0"/>
                <w:dstrike w:val="0"/>
                <w:color w:val="auto"/>
                <w:szCs w:val="21"/>
                <w:highlight w:val="none"/>
              </w:rPr>
            </w:pPr>
          </w:p>
        </w:tc>
        <w:tc>
          <w:tcPr>
            <w:tcW w:w="3744" w:type="dxa"/>
            <w:vAlign w:val="center"/>
          </w:tcPr>
          <w:p w14:paraId="2D9400E2">
            <w:pPr>
              <w:jc w:val="center"/>
              <w:rPr>
                <w:strike w:val="0"/>
                <w:dstrike w:val="0"/>
                <w:color w:val="auto"/>
                <w:szCs w:val="21"/>
                <w:highlight w:val="none"/>
              </w:rPr>
            </w:pPr>
            <w:r>
              <w:rPr>
                <w:strike w:val="0"/>
                <w:dstrike w:val="0"/>
                <w:color w:val="auto"/>
                <w:szCs w:val="21"/>
                <w:highlight w:val="none"/>
              </w:rPr>
              <w:t>沸点/℃-160</w:t>
            </w:r>
          </w:p>
        </w:tc>
        <w:tc>
          <w:tcPr>
            <w:tcW w:w="4168" w:type="dxa"/>
            <w:gridSpan w:val="2"/>
            <w:vAlign w:val="center"/>
          </w:tcPr>
          <w:p w14:paraId="1D776651">
            <w:pPr>
              <w:jc w:val="center"/>
              <w:rPr>
                <w:strike w:val="0"/>
                <w:dstrike w:val="0"/>
                <w:color w:val="auto"/>
                <w:szCs w:val="21"/>
                <w:highlight w:val="none"/>
              </w:rPr>
            </w:pPr>
            <w:r>
              <w:rPr>
                <w:strike w:val="0"/>
                <w:dstrike w:val="0"/>
                <w:color w:val="auto"/>
                <w:szCs w:val="21"/>
                <w:highlight w:val="none"/>
              </w:rPr>
              <w:t>相对密度：(水=1）约 0.45（液化）</w:t>
            </w:r>
          </w:p>
        </w:tc>
      </w:tr>
      <w:tr w14:paraId="1EB2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2B77E7EB">
            <w:pPr>
              <w:jc w:val="center"/>
              <w:rPr>
                <w:strike w:val="0"/>
                <w:dstrike w:val="0"/>
                <w:color w:val="auto"/>
                <w:szCs w:val="21"/>
                <w:highlight w:val="none"/>
              </w:rPr>
            </w:pPr>
          </w:p>
        </w:tc>
        <w:tc>
          <w:tcPr>
            <w:tcW w:w="3744" w:type="dxa"/>
            <w:vAlign w:val="center"/>
          </w:tcPr>
          <w:p w14:paraId="4C9C8B90">
            <w:pPr>
              <w:jc w:val="center"/>
              <w:rPr>
                <w:strike w:val="0"/>
                <w:dstrike w:val="0"/>
                <w:color w:val="auto"/>
                <w:szCs w:val="21"/>
                <w:highlight w:val="none"/>
              </w:rPr>
            </w:pPr>
            <w:r>
              <w:rPr>
                <w:strike w:val="0"/>
                <w:dstrike w:val="0"/>
                <w:color w:val="auto"/>
                <w:szCs w:val="21"/>
                <w:highlight w:val="none"/>
              </w:rPr>
              <w:t>熔点/℃-182.5</w:t>
            </w:r>
          </w:p>
        </w:tc>
        <w:tc>
          <w:tcPr>
            <w:tcW w:w="4168" w:type="dxa"/>
            <w:gridSpan w:val="2"/>
            <w:vAlign w:val="center"/>
          </w:tcPr>
          <w:p w14:paraId="20F15534">
            <w:pPr>
              <w:jc w:val="center"/>
              <w:rPr>
                <w:strike w:val="0"/>
                <w:dstrike w:val="0"/>
                <w:color w:val="auto"/>
                <w:szCs w:val="21"/>
                <w:highlight w:val="none"/>
              </w:rPr>
            </w:pPr>
            <w:r>
              <w:rPr>
                <w:strike w:val="0"/>
                <w:dstrike w:val="0"/>
                <w:color w:val="auto"/>
                <w:szCs w:val="21"/>
                <w:highlight w:val="none"/>
              </w:rPr>
              <w:t>相对密度：(空气=1）0.62</w:t>
            </w:r>
          </w:p>
        </w:tc>
      </w:tr>
      <w:tr w14:paraId="4238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5ED7E89B">
            <w:pPr>
              <w:jc w:val="center"/>
              <w:rPr>
                <w:strike w:val="0"/>
                <w:dstrike w:val="0"/>
                <w:color w:val="auto"/>
                <w:szCs w:val="21"/>
                <w:highlight w:val="none"/>
              </w:rPr>
            </w:pPr>
          </w:p>
        </w:tc>
        <w:tc>
          <w:tcPr>
            <w:tcW w:w="7912" w:type="dxa"/>
            <w:gridSpan w:val="3"/>
            <w:vAlign w:val="center"/>
          </w:tcPr>
          <w:p w14:paraId="22C561F9">
            <w:pPr>
              <w:jc w:val="center"/>
              <w:rPr>
                <w:strike w:val="0"/>
                <w:dstrike w:val="0"/>
                <w:color w:val="auto"/>
                <w:szCs w:val="21"/>
                <w:highlight w:val="none"/>
              </w:rPr>
            </w:pPr>
            <w:r>
              <w:rPr>
                <w:strike w:val="0"/>
                <w:dstrike w:val="0"/>
                <w:color w:val="auto"/>
                <w:szCs w:val="21"/>
                <w:highlight w:val="none"/>
              </w:rPr>
              <w:t>燃烧热值（kj/mol）：803</w:t>
            </w:r>
          </w:p>
        </w:tc>
      </w:tr>
      <w:tr w14:paraId="1259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50FE93FC">
            <w:pPr>
              <w:jc w:val="center"/>
              <w:rPr>
                <w:strike w:val="0"/>
                <w:dstrike w:val="0"/>
                <w:color w:val="auto"/>
                <w:szCs w:val="21"/>
                <w:highlight w:val="none"/>
              </w:rPr>
            </w:pPr>
          </w:p>
        </w:tc>
        <w:tc>
          <w:tcPr>
            <w:tcW w:w="3744" w:type="dxa"/>
            <w:vAlign w:val="center"/>
          </w:tcPr>
          <w:p w14:paraId="27FEA200">
            <w:pPr>
              <w:jc w:val="center"/>
              <w:rPr>
                <w:strike w:val="0"/>
                <w:dstrike w:val="0"/>
                <w:color w:val="auto"/>
                <w:szCs w:val="21"/>
                <w:highlight w:val="none"/>
              </w:rPr>
            </w:pPr>
            <w:r>
              <w:rPr>
                <w:strike w:val="0"/>
                <w:dstrike w:val="0"/>
                <w:color w:val="auto"/>
                <w:szCs w:val="21"/>
                <w:highlight w:val="none"/>
              </w:rPr>
              <w:t>临界温度/℃：-82.6</w:t>
            </w:r>
          </w:p>
        </w:tc>
        <w:tc>
          <w:tcPr>
            <w:tcW w:w="4168" w:type="dxa"/>
            <w:gridSpan w:val="2"/>
            <w:vAlign w:val="center"/>
          </w:tcPr>
          <w:p w14:paraId="5A22EB0D">
            <w:pPr>
              <w:jc w:val="center"/>
              <w:rPr>
                <w:strike w:val="0"/>
                <w:dstrike w:val="0"/>
                <w:color w:val="auto"/>
                <w:szCs w:val="21"/>
                <w:highlight w:val="none"/>
              </w:rPr>
            </w:pPr>
            <w:r>
              <w:rPr>
                <w:strike w:val="0"/>
                <w:dstrike w:val="0"/>
                <w:color w:val="auto"/>
                <w:szCs w:val="21"/>
                <w:highlight w:val="none"/>
              </w:rPr>
              <w:t>临界压力/Mpa:4.62</w:t>
            </w:r>
          </w:p>
        </w:tc>
      </w:tr>
      <w:tr w14:paraId="50D8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restart"/>
            <w:vAlign w:val="center"/>
          </w:tcPr>
          <w:p w14:paraId="2E23F228">
            <w:pPr>
              <w:jc w:val="center"/>
              <w:rPr>
                <w:strike w:val="0"/>
                <w:dstrike w:val="0"/>
                <w:color w:val="auto"/>
                <w:szCs w:val="21"/>
                <w:highlight w:val="none"/>
              </w:rPr>
            </w:pPr>
            <w:r>
              <w:rPr>
                <w:strike w:val="0"/>
                <w:dstrike w:val="0"/>
                <w:color w:val="auto"/>
                <w:szCs w:val="21"/>
                <w:highlight w:val="none"/>
              </w:rPr>
              <w:t>燃烧爆炸危险性</w:t>
            </w:r>
          </w:p>
        </w:tc>
        <w:tc>
          <w:tcPr>
            <w:tcW w:w="3744" w:type="dxa"/>
            <w:vAlign w:val="center"/>
          </w:tcPr>
          <w:p w14:paraId="654F8F91">
            <w:pPr>
              <w:jc w:val="center"/>
              <w:rPr>
                <w:strike w:val="0"/>
                <w:dstrike w:val="0"/>
                <w:color w:val="auto"/>
                <w:szCs w:val="21"/>
                <w:highlight w:val="none"/>
              </w:rPr>
            </w:pPr>
            <w:r>
              <w:rPr>
                <w:strike w:val="0"/>
                <w:dstrike w:val="0"/>
                <w:color w:val="auto"/>
                <w:szCs w:val="21"/>
                <w:highlight w:val="none"/>
              </w:rPr>
              <w:t>燃烧性：易燃</w:t>
            </w:r>
          </w:p>
        </w:tc>
        <w:tc>
          <w:tcPr>
            <w:tcW w:w="4168" w:type="dxa"/>
            <w:gridSpan w:val="2"/>
            <w:vAlign w:val="center"/>
          </w:tcPr>
          <w:p w14:paraId="36E404BA">
            <w:pPr>
              <w:jc w:val="center"/>
              <w:rPr>
                <w:strike w:val="0"/>
                <w:dstrike w:val="0"/>
                <w:color w:val="auto"/>
                <w:szCs w:val="21"/>
                <w:highlight w:val="none"/>
              </w:rPr>
            </w:pPr>
            <w:r>
              <w:rPr>
                <w:strike w:val="0"/>
                <w:dstrike w:val="0"/>
                <w:color w:val="auto"/>
                <w:szCs w:val="21"/>
                <w:highlight w:val="none"/>
              </w:rPr>
              <w:t>燃烧分解产物：CO、CO</w:t>
            </w:r>
            <w:r>
              <w:rPr>
                <w:strike w:val="0"/>
                <w:dstrike w:val="0"/>
                <w:color w:val="auto"/>
                <w:szCs w:val="21"/>
                <w:highlight w:val="none"/>
                <w:vertAlign w:val="subscript"/>
              </w:rPr>
              <w:t>2</w:t>
            </w:r>
          </w:p>
        </w:tc>
      </w:tr>
      <w:tr w14:paraId="49FD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32BC659F">
            <w:pPr>
              <w:jc w:val="center"/>
              <w:rPr>
                <w:strike w:val="0"/>
                <w:dstrike w:val="0"/>
                <w:color w:val="auto"/>
                <w:szCs w:val="21"/>
                <w:highlight w:val="none"/>
              </w:rPr>
            </w:pPr>
          </w:p>
        </w:tc>
        <w:tc>
          <w:tcPr>
            <w:tcW w:w="3744" w:type="dxa"/>
            <w:vAlign w:val="center"/>
          </w:tcPr>
          <w:p w14:paraId="36A6D6E6">
            <w:pPr>
              <w:jc w:val="center"/>
              <w:rPr>
                <w:strike w:val="0"/>
                <w:dstrike w:val="0"/>
                <w:color w:val="auto"/>
                <w:szCs w:val="21"/>
                <w:highlight w:val="none"/>
              </w:rPr>
            </w:pPr>
            <w:r>
              <w:rPr>
                <w:strike w:val="0"/>
                <w:dstrike w:val="0"/>
                <w:color w:val="auto"/>
                <w:szCs w:val="21"/>
                <w:highlight w:val="none"/>
              </w:rPr>
              <w:t>闪点/℃</w:t>
            </w:r>
            <w:r>
              <w:rPr>
                <w:rFonts w:hint="eastAsia"/>
                <w:strike w:val="0"/>
                <w:dstrike w:val="0"/>
                <w:color w:val="auto"/>
                <w:szCs w:val="21"/>
                <w:highlight w:val="none"/>
              </w:rPr>
              <w:t xml:space="preserve"> -188</w:t>
            </w:r>
          </w:p>
        </w:tc>
        <w:tc>
          <w:tcPr>
            <w:tcW w:w="4168" w:type="dxa"/>
            <w:gridSpan w:val="2"/>
            <w:vAlign w:val="center"/>
          </w:tcPr>
          <w:p w14:paraId="1F21360D">
            <w:pPr>
              <w:jc w:val="center"/>
              <w:rPr>
                <w:strike w:val="0"/>
                <w:dstrike w:val="0"/>
                <w:color w:val="auto"/>
                <w:szCs w:val="21"/>
                <w:highlight w:val="none"/>
              </w:rPr>
            </w:pPr>
            <w:r>
              <w:rPr>
                <w:strike w:val="0"/>
                <w:dstrike w:val="0"/>
                <w:color w:val="auto"/>
                <w:szCs w:val="21"/>
                <w:highlight w:val="none"/>
              </w:rPr>
              <w:t>火灾危险</w:t>
            </w:r>
            <w:r>
              <w:rPr>
                <w:rFonts w:hint="eastAsia"/>
                <w:strike w:val="0"/>
                <w:dstrike w:val="0"/>
                <w:color w:val="auto"/>
                <w:szCs w:val="21"/>
                <w:highlight w:val="none"/>
              </w:rPr>
              <w:t>性</w:t>
            </w:r>
            <w:r>
              <w:rPr>
                <w:strike w:val="0"/>
                <w:dstrike w:val="0"/>
                <w:color w:val="auto"/>
                <w:szCs w:val="21"/>
                <w:highlight w:val="none"/>
              </w:rPr>
              <w:t>：甲</w:t>
            </w:r>
          </w:p>
        </w:tc>
      </w:tr>
      <w:tr w14:paraId="4DE1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06CCDE4F">
            <w:pPr>
              <w:jc w:val="center"/>
              <w:rPr>
                <w:strike w:val="0"/>
                <w:dstrike w:val="0"/>
                <w:color w:val="auto"/>
                <w:szCs w:val="21"/>
                <w:highlight w:val="none"/>
              </w:rPr>
            </w:pPr>
          </w:p>
        </w:tc>
        <w:tc>
          <w:tcPr>
            <w:tcW w:w="3744" w:type="dxa"/>
            <w:vAlign w:val="center"/>
          </w:tcPr>
          <w:p w14:paraId="50E51B84">
            <w:pPr>
              <w:jc w:val="center"/>
              <w:rPr>
                <w:strike w:val="0"/>
                <w:dstrike w:val="0"/>
                <w:color w:val="auto"/>
                <w:szCs w:val="21"/>
                <w:highlight w:val="none"/>
              </w:rPr>
            </w:pPr>
            <w:r>
              <w:rPr>
                <w:strike w:val="0"/>
                <w:dstrike w:val="0"/>
                <w:color w:val="auto"/>
                <w:szCs w:val="21"/>
                <w:highlight w:val="none"/>
              </w:rPr>
              <w:t>爆炸极限 5~14%</w:t>
            </w:r>
          </w:p>
        </w:tc>
        <w:tc>
          <w:tcPr>
            <w:tcW w:w="4168" w:type="dxa"/>
            <w:gridSpan w:val="2"/>
            <w:vAlign w:val="center"/>
          </w:tcPr>
          <w:p w14:paraId="3A93ECCD">
            <w:pPr>
              <w:jc w:val="center"/>
              <w:rPr>
                <w:strike w:val="0"/>
                <w:dstrike w:val="0"/>
                <w:color w:val="auto"/>
                <w:szCs w:val="21"/>
                <w:highlight w:val="none"/>
              </w:rPr>
            </w:pPr>
            <w:r>
              <w:rPr>
                <w:strike w:val="0"/>
                <w:dstrike w:val="0"/>
                <w:color w:val="auto"/>
                <w:szCs w:val="21"/>
                <w:highlight w:val="none"/>
              </w:rPr>
              <w:t>聚合危害不聚合</w:t>
            </w:r>
          </w:p>
        </w:tc>
      </w:tr>
      <w:tr w14:paraId="3367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14F4C4CE">
            <w:pPr>
              <w:jc w:val="center"/>
              <w:rPr>
                <w:strike w:val="0"/>
                <w:dstrike w:val="0"/>
                <w:color w:val="auto"/>
                <w:szCs w:val="21"/>
                <w:highlight w:val="none"/>
              </w:rPr>
            </w:pPr>
          </w:p>
        </w:tc>
        <w:tc>
          <w:tcPr>
            <w:tcW w:w="3744" w:type="dxa"/>
            <w:vAlign w:val="center"/>
          </w:tcPr>
          <w:p w14:paraId="24183EE8">
            <w:pPr>
              <w:jc w:val="center"/>
              <w:rPr>
                <w:strike w:val="0"/>
                <w:dstrike w:val="0"/>
                <w:color w:val="auto"/>
                <w:szCs w:val="21"/>
                <w:highlight w:val="none"/>
              </w:rPr>
            </w:pPr>
            <w:r>
              <w:rPr>
                <w:strike w:val="0"/>
                <w:dstrike w:val="0"/>
                <w:color w:val="auto"/>
                <w:szCs w:val="21"/>
                <w:highlight w:val="none"/>
              </w:rPr>
              <w:t>引燃温度/℃ 482~632</w:t>
            </w:r>
          </w:p>
        </w:tc>
        <w:tc>
          <w:tcPr>
            <w:tcW w:w="4168" w:type="dxa"/>
            <w:gridSpan w:val="2"/>
            <w:vAlign w:val="center"/>
          </w:tcPr>
          <w:p w14:paraId="18ECD459">
            <w:pPr>
              <w:jc w:val="center"/>
              <w:rPr>
                <w:strike w:val="0"/>
                <w:dstrike w:val="0"/>
                <w:color w:val="auto"/>
                <w:szCs w:val="21"/>
                <w:highlight w:val="none"/>
              </w:rPr>
            </w:pPr>
            <w:r>
              <w:rPr>
                <w:strike w:val="0"/>
                <w:dstrike w:val="0"/>
                <w:color w:val="auto"/>
                <w:szCs w:val="21"/>
                <w:highlight w:val="none"/>
              </w:rPr>
              <w:t>稳定性稳定</w:t>
            </w:r>
          </w:p>
        </w:tc>
      </w:tr>
      <w:tr w14:paraId="7553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3467D33A">
            <w:pPr>
              <w:jc w:val="center"/>
              <w:rPr>
                <w:strike w:val="0"/>
                <w:dstrike w:val="0"/>
                <w:color w:val="auto"/>
                <w:szCs w:val="21"/>
                <w:highlight w:val="none"/>
              </w:rPr>
            </w:pPr>
          </w:p>
        </w:tc>
        <w:tc>
          <w:tcPr>
            <w:tcW w:w="3744" w:type="dxa"/>
            <w:vAlign w:val="center"/>
          </w:tcPr>
          <w:p w14:paraId="31E56C0D">
            <w:pPr>
              <w:jc w:val="center"/>
              <w:rPr>
                <w:strike w:val="0"/>
                <w:dstrike w:val="0"/>
                <w:color w:val="auto"/>
                <w:szCs w:val="21"/>
                <w:highlight w:val="none"/>
              </w:rPr>
            </w:pPr>
            <w:r>
              <w:rPr>
                <w:strike w:val="0"/>
                <w:dstrike w:val="0"/>
                <w:color w:val="auto"/>
                <w:szCs w:val="21"/>
                <w:highlight w:val="none"/>
              </w:rPr>
              <w:t>最大爆炸压力/Mpa 0.717</w:t>
            </w:r>
          </w:p>
        </w:tc>
        <w:tc>
          <w:tcPr>
            <w:tcW w:w="4168" w:type="dxa"/>
            <w:gridSpan w:val="2"/>
            <w:vAlign w:val="center"/>
          </w:tcPr>
          <w:p w14:paraId="24ACA306">
            <w:pPr>
              <w:jc w:val="center"/>
              <w:rPr>
                <w:strike w:val="0"/>
                <w:dstrike w:val="0"/>
                <w:color w:val="auto"/>
                <w:szCs w:val="21"/>
                <w:highlight w:val="none"/>
              </w:rPr>
            </w:pPr>
            <w:r>
              <w:rPr>
                <w:strike w:val="0"/>
                <w:dstrike w:val="0"/>
                <w:color w:val="auto"/>
                <w:szCs w:val="21"/>
                <w:highlight w:val="none"/>
              </w:rPr>
              <w:t>禁忌物强氧化剂、卤素</w:t>
            </w:r>
          </w:p>
        </w:tc>
      </w:tr>
      <w:tr w14:paraId="6B6A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Merge w:val="continue"/>
            <w:vAlign w:val="center"/>
          </w:tcPr>
          <w:p w14:paraId="2570DCAB">
            <w:pPr>
              <w:jc w:val="center"/>
              <w:rPr>
                <w:strike w:val="0"/>
                <w:dstrike w:val="0"/>
                <w:color w:val="auto"/>
                <w:szCs w:val="21"/>
                <w:highlight w:val="none"/>
              </w:rPr>
            </w:pPr>
          </w:p>
        </w:tc>
        <w:tc>
          <w:tcPr>
            <w:tcW w:w="3744" w:type="dxa"/>
            <w:vAlign w:val="center"/>
          </w:tcPr>
          <w:p w14:paraId="04FEE273">
            <w:pPr>
              <w:jc w:val="center"/>
              <w:rPr>
                <w:strike w:val="0"/>
                <w:dstrike w:val="0"/>
                <w:color w:val="auto"/>
                <w:szCs w:val="21"/>
                <w:highlight w:val="none"/>
              </w:rPr>
            </w:pPr>
            <w:r>
              <w:rPr>
                <w:strike w:val="0"/>
                <w:dstrike w:val="0"/>
                <w:color w:val="auto"/>
                <w:szCs w:val="21"/>
                <w:highlight w:val="none"/>
              </w:rPr>
              <w:t>最小点火能（mj）：0.28</w:t>
            </w:r>
          </w:p>
        </w:tc>
        <w:tc>
          <w:tcPr>
            <w:tcW w:w="4168" w:type="dxa"/>
            <w:gridSpan w:val="2"/>
            <w:vAlign w:val="center"/>
          </w:tcPr>
          <w:p w14:paraId="1EEF39BD">
            <w:pPr>
              <w:jc w:val="center"/>
              <w:rPr>
                <w:strike w:val="0"/>
                <w:dstrike w:val="0"/>
                <w:color w:val="auto"/>
                <w:szCs w:val="21"/>
                <w:highlight w:val="none"/>
              </w:rPr>
            </w:pPr>
            <w:r>
              <w:rPr>
                <w:strike w:val="0"/>
                <w:dstrike w:val="0"/>
                <w:color w:val="auto"/>
                <w:szCs w:val="21"/>
                <w:highlight w:val="none"/>
              </w:rPr>
              <w:t>燃烧温度（℃）：2020</w:t>
            </w:r>
          </w:p>
        </w:tc>
      </w:tr>
      <w:tr w14:paraId="4836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48" w:type="dxa"/>
            <w:vMerge w:val="continue"/>
            <w:vAlign w:val="center"/>
          </w:tcPr>
          <w:p w14:paraId="50955D96">
            <w:pPr>
              <w:jc w:val="center"/>
              <w:rPr>
                <w:strike w:val="0"/>
                <w:dstrike w:val="0"/>
                <w:color w:val="auto"/>
                <w:szCs w:val="21"/>
                <w:highlight w:val="none"/>
              </w:rPr>
            </w:pPr>
          </w:p>
        </w:tc>
        <w:tc>
          <w:tcPr>
            <w:tcW w:w="7912" w:type="dxa"/>
            <w:gridSpan w:val="3"/>
            <w:vAlign w:val="center"/>
          </w:tcPr>
          <w:p w14:paraId="6881BD9E">
            <w:pPr>
              <w:jc w:val="left"/>
              <w:rPr>
                <w:strike w:val="0"/>
                <w:dstrike w:val="0"/>
                <w:color w:val="auto"/>
                <w:szCs w:val="21"/>
                <w:highlight w:val="none"/>
              </w:rPr>
            </w:pPr>
            <w:r>
              <w:rPr>
                <w:strike w:val="0"/>
                <w:dstrike w:val="0"/>
                <w:color w:val="auto"/>
                <w:szCs w:val="21"/>
                <w:highlight w:val="none"/>
              </w:rPr>
              <w:t>危险特性与空气混合能形成爆炸性混合物，遇明火、高热极易燃烧爆炸。与氟、氯等能发生剧烈的化学反应。其蒸气遇明火会引着回燃。若遇高热，容器内压增大，有开裂和爆炸的危险。</w:t>
            </w:r>
          </w:p>
        </w:tc>
      </w:tr>
      <w:tr w14:paraId="20BB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48" w:type="dxa"/>
            <w:vMerge w:val="continue"/>
            <w:vAlign w:val="center"/>
          </w:tcPr>
          <w:p w14:paraId="1A19F56D">
            <w:pPr>
              <w:jc w:val="center"/>
              <w:rPr>
                <w:strike w:val="0"/>
                <w:dstrike w:val="0"/>
                <w:color w:val="auto"/>
                <w:szCs w:val="21"/>
                <w:highlight w:val="none"/>
              </w:rPr>
            </w:pPr>
          </w:p>
        </w:tc>
        <w:tc>
          <w:tcPr>
            <w:tcW w:w="7912" w:type="dxa"/>
            <w:gridSpan w:val="3"/>
            <w:vAlign w:val="center"/>
          </w:tcPr>
          <w:p w14:paraId="7AF67AA8">
            <w:pPr>
              <w:jc w:val="left"/>
              <w:rPr>
                <w:strike w:val="0"/>
                <w:dstrike w:val="0"/>
                <w:color w:val="auto"/>
                <w:szCs w:val="21"/>
                <w:highlight w:val="none"/>
              </w:rPr>
            </w:pPr>
            <w:r>
              <w:rPr>
                <w:strike w:val="0"/>
                <w:dstrike w:val="0"/>
                <w:color w:val="auto"/>
                <w:szCs w:val="21"/>
                <w:highlight w:val="none"/>
              </w:rPr>
              <w:t>灭火方法：切断气源。若不能立即切断气源，则不允许熄灭正在燃烧的气体，喷水冷却容器，可能的话将容器从火场移至空旷处。雾状水、泡沫、二氧化碳。灭火器泡沫、干粉、二氧化碳、砂土</w:t>
            </w:r>
          </w:p>
        </w:tc>
      </w:tr>
      <w:tr w14:paraId="166E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48" w:type="dxa"/>
            <w:vAlign w:val="center"/>
          </w:tcPr>
          <w:p w14:paraId="210829DE">
            <w:pPr>
              <w:jc w:val="center"/>
              <w:rPr>
                <w:strike w:val="0"/>
                <w:dstrike w:val="0"/>
                <w:color w:val="auto"/>
                <w:szCs w:val="21"/>
                <w:highlight w:val="none"/>
              </w:rPr>
            </w:pPr>
            <w:r>
              <w:rPr>
                <w:strike w:val="0"/>
                <w:dstrike w:val="0"/>
                <w:color w:val="auto"/>
                <w:szCs w:val="21"/>
                <w:highlight w:val="none"/>
              </w:rPr>
              <w:t>毒性</w:t>
            </w:r>
          </w:p>
        </w:tc>
        <w:tc>
          <w:tcPr>
            <w:tcW w:w="7912" w:type="dxa"/>
            <w:gridSpan w:val="3"/>
            <w:vAlign w:val="center"/>
          </w:tcPr>
          <w:p w14:paraId="063C6270">
            <w:pPr>
              <w:jc w:val="center"/>
              <w:rPr>
                <w:strike w:val="0"/>
                <w:dstrike w:val="0"/>
                <w:color w:val="auto"/>
                <w:szCs w:val="21"/>
                <w:highlight w:val="none"/>
              </w:rPr>
            </w:pPr>
            <w:r>
              <w:rPr>
                <w:strike w:val="0"/>
                <w:dstrike w:val="0"/>
                <w:color w:val="auto"/>
                <w:szCs w:val="21"/>
                <w:highlight w:val="none"/>
              </w:rPr>
              <w:t>低毒</w:t>
            </w:r>
          </w:p>
        </w:tc>
      </w:tr>
      <w:tr w14:paraId="032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48" w:type="dxa"/>
            <w:vAlign w:val="center"/>
          </w:tcPr>
          <w:p w14:paraId="2240A872">
            <w:pPr>
              <w:jc w:val="center"/>
              <w:rPr>
                <w:strike w:val="0"/>
                <w:dstrike w:val="0"/>
                <w:color w:val="auto"/>
                <w:szCs w:val="21"/>
                <w:highlight w:val="none"/>
              </w:rPr>
            </w:pPr>
            <w:r>
              <w:rPr>
                <w:strike w:val="0"/>
                <w:dstrike w:val="0"/>
                <w:color w:val="auto"/>
                <w:szCs w:val="21"/>
                <w:highlight w:val="none"/>
              </w:rPr>
              <w:t>对人体危害</w:t>
            </w:r>
          </w:p>
        </w:tc>
        <w:tc>
          <w:tcPr>
            <w:tcW w:w="7912" w:type="dxa"/>
            <w:gridSpan w:val="3"/>
            <w:vAlign w:val="center"/>
          </w:tcPr>
          <w:p w14:paraId="6895CC10">
            <w:pPr>
              <w:jc w:val="left"/>
              <w:rPr>
                <w:strike w:val="0"/>
                <w:dstrike w:val="0"/>
                <w:color w:val="auto"/>
                <w:szCs w:val="21"/>
                <w:highlight w:val="none"/>
              </w:rPr>
            </w:pPr>
            <w:r>
              <w:rPr>
                <w:strike w:val="0"/>
                <w:dstrike w:val="0"/>
                <w:color w:val="auto"/>
                <w:szCs w:val="21"/>
                <w:highlight w:val="none"/>
              </w:rPr>
              <w:t>侵入途径吸入</w:t>
            </w:r>
          </w:p>
          <w:p w14:paraId="4AC50B5A">
            <w:pPr>
              <w:jc w:val="left"/>
              <w:rPr>
                <w:strike w:val="0"/>
                <w:dstrike w:val="0"/>
                <w:color w:val="auto"/>
                <w:szCs w:val="21"/>
                <w:highlight w:val="none"/>
              </w:rPr>
            </w:pPr>
            <w:r>
              <w:rPr>
                <w:strike w:val="0"/>
                <w:dstrike w:val="0"/>
                <w:color w:val="auto"/>
                <w:szCs w:val="21"/>
                <w:highlight w:val="none"/>
              </w:rPr>
              <w:t>健康危害：急性中毒时，可有头昏、头痛、呕吐、乏力甚至昏迷。病程中尚可出现精神症状，步态不稳，昏迷过程久者，醒后可有运动性失语及偏瘫。长期接触天然气者，可出现神经衰弱综合症。</w:t>
            </w:r>
          </w:p>
        </w:tc>
      </w:tr>
      <w:tr w14:paraId="37DC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148" w:type="dxa"/>
            <w:vAlign w:val="center"/>
          </w:tcPr>
          <w:p w14:paraId="23A83B2D">
            <w:pPr>
              <w:jc w:val="center"/>
              <w:rPr>
                <w:strike w:val="0"/>
                <w:dstrike w:val="0"/>
                <w:color w:val="auto"/>
                <w:szCs w:val="21"/>
                <w:highlight w:val="none"/>
              </w:rPr>
            </w:pPr>
            <w:r>
              <w:rPr>
                <w:strike w:val="0"/>
                <w:dstrike w:val="0"/>
                <w:color w:val="auto"/>
                <w:szCs w:val="21"/>
                <w:highlight w:val="none"/>
              </w:rPr>
              <w:t>急救</w:t>
            </w:r>
          </w:p>
        </w:tc>
        <w:tc>
          <w:tcPr>
            <w:tcW w:w="7912" w:type="dxa"/>
            <w:gridSpan w:val="3"/>
            <w:vAlign w:val="center"/>
          </w:tcPr>
          <w:p w14:paraId="3F920D9C">
            <w:pPr>
              <w:jc w:val="left"/>
              <w:rPr>
                <w:strike w:val="0"/>
                <w:dstrike w:val="0"/>
                <w:color w:val="auto"/>
                <w:szCs w:val="21"/>
                <w:highlight w:val="none"/>
              </w:rPr>
            </w:pPr>
            <w:r>
              <w:rPr>
                <w:strike w:val="0"/>
                <w:dstrike w:val="0"/>
                <w:color w:val="auto"/>
                <w:szCs w:val="21"/>
                <w:highlight w:val="none"/>
              </w:rPr>
              <w:t>吸入：脱离有毒环境，至空气新鲜处，给氧，对症治疗。注意防治脑水肿。</w:t>
            </w:r>
          </w:p>
        </w:tc>
      </w:tr>
      <w:tr w14:paraId="1332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148" w:type="dxa"/>
            <w:vAlign w:val="center"/>
          </w:tcPr>
          <w:p w14:paraId="2683AA7D">
            <w:pPr>
              <w:jc w:val="center"/>
              <w:rPr>
                <w:strike w:val="0"/>
                <w:dstrike w:val="0"/>
                <w:color w:val="auto"/>
                <w:szCs w:val="21"/>
                <w:highlight w:val="none"/>
              </w:rPr>
            </w:pPr>
            <w:r>
              <w:rPr>
                <w:strike w:val="0"/>
                <w:dstrike w:val="0"/>
                <w:color w:val="auto"/>
                <w:szCs w:val="21"/>
                <w:highlight w:val="none"/>
              </w:rPr>
              <w:t>防护</w:t>
            </w:r>
          </w:p>
        </w:tc>
        <w:tc>
          <w:tcPr>
            <w:tcW w:w="7912" w:type="dxa"/>
            <w:gridSpan w:val="3"/>
            <w:vAlign w:val="center"/>
          </w:tcPr>
          <w:p w14:paraId="26CD6197">
            <w:pPr>
              <w:jc w:val="left"/>
              <w:rPr>
                <w:strike w:val="0"/>
                <w:dstrike w:val="0"/>
                <w:color w:val="auto"/>
                <w:szCs w:val="21"/>
                <w:highlight w:val="none"/>
              </w:rPr>
            </w:pPr>
            <w:r>
              <w:rPr>
                <w:strike w:val="0"/>
                <w:dstrike w:val="0"/>
                <w:color w:val="auto"/>
                <w:szCs w:val="21"/>
                <w:highlight w:val="none"/>
              </w:rPr>
              <w:t>工程控制：密闭操作。提供良好的自然通风条件。呼吸系统防护：高浓度环境中，佩戴供气式呼吸器。眼睛防护：一般不需要特殊防护，高浓度接触时可戴化学安全防护眼睛。防护服：穿防静电工作服。手防护：必要时戴防护手套。其他工作现场严禁吸烟。避免高浓度吸入。进入灌或其他高浓度区作业，须有人监护。</w:t>
            </w:r>
          </w:p>
        </w:tc>
      </w:tr>
      <w:tr w14:paraId="6316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48" w:type="dxa"/>
            <w:vAlign w:val="center"/>
          </w:tcPr>
          <w:p w14:paraId="4F81D335">
            <w:pPr>
              <w:jc w:val="center"/>
              <w:rPr>
                <w:strike w:val="0"/>
                <w:dstrike w:val="0"/>
                <w:color w:val="auto"/>
                <w:szCs w:val="21"/>
                <w:highlight w:val="none"/>
              </w:rPr>
            </w:pPr>
            <w:r>
              <w:rPr>
                <w:strike w:val="0"/>
                <w:dstrike w:val="0"/>
                <w:color w:val="auto"/>
                <w:szCs w:val="21"/>
                <w:highlight w:val="none"/>
              </w:rPr>
              <w:t>泄漏处理</w:t>
            </w:r>
          </w:p>
        </w:tc>
        <w:tc>
          <w:tcPr>
            <w:tcW w:w="7912" w:type="dxa"/>
            <w:gridSpan w:val="3"/>
            <w:vAlign w:val="center"/>
          </w:tcPr>
          <w:p w14:paraId="450BF89E">
            <w:pPr>
              <w:jc w:val="left"/>
              <w:rPr>
                <w:strike w:val="0"/>
                <w:dstrike w:val="0"/>
                <w:color w:val="auto"/>
                <w:szCs w:val="21"/>
                <w:highlight w:val="none"/>
              </w:rPr>
            </w:pPr>
            <w:r>
              <w:rPr>
                <w:strike w:val="0"/>
                <w:dstrike w:val="0"/>
                <w:color w:val="auto"/>
                <w:szCs w:val="21"/>
                <w:highlight w:val="none"/>
              </w:rPr>
              <w:t>切断火源。戴自给式呼吸器，穿一般消防防护服。合理通风，禁止泄漏物进入受限制的空间（如下水道等），以避免发生爆炸。切断气源，喷洒雾状水稀释，抽排（室内）或强力通风（室外）。漏气容器不能再用，且要经过技术处理以清除可能剩下的气体。</w:t>
            </w:r>
          </w:p>
        </w:tc>
      </w:tr>
      <w:tr w14:paraId="62B4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1148" w:type="dxa"/>
            <w:vAlign w:val="center"/>
          </w:tcPr>
          <w:p w14:paraId="320BD5B7">
            <w:pPr>
              <w:jc w:val="center"/>
              <w:rPr>
                <w:strike w:val="0"/>
                <w:dstrike w:val="0"/>
                <w:color w:val="auto"/>
                <w:szCs w:val="21"/>
                <w:highlight w:val="none"/>
              </w:rPr>
            </w:pPr>
            <w:r>
              <w:rPr>
                <w:strike w:val="0"/>
                <w:dstrike w:val="0"/>
                <w:color w:val="auto"/>
                <w:szCs w:val="21"/>
                <w:highlight w:val="none"/>
              </w:rPr>
              <w:t>贮运</w:t>
            </w:r>
          </w:p>
        </w:tc>
        <w:tc>
          <w:tcPr>
            <w:tcW w:w="7912" w:type="dxa"/>
            <w:gridSpan w:val="3"/>
            <w:vAlign w:val="center"/>
          </w:tcPr>
          <w:p w14:paraId="223BE7E9">
            <w:pPr>
              <w:jc w:val="left"/>
              <w:rPr>
                <w:strike w:val="0"/>
                <w:dstrike w:val="0"/>
                <w:color w:val="auto"/>
                <w:szCs w:val="21"/>
                <w:highlight w:val="none"/>
              </w:rPr>
            </w:pPr>
            <w:r>
              <w:rPr>
                <w:strike w:val="0"/>
                <w:dstrike w:val="0"/>
                <w:color w:val="auto"/>
                <w:szCs w:val="21"/>
                <w:highlight w:val="none"/>
              </w:rPr>
              <w:t>易燃压缩气体。储存于阴凉、干燥、通风良好的不燃库房。仓温不宜超过30℃。远离火种、热源。防止阳光直射。应与氧气、压缩空气、卤素（氟、氯、溴）、氧化剂等分开存放。储存间内的照明、通风等设施应采用防爆型。若是储罐存放，</w:t>
            </w:r>
            <w:r>
              <w:rPr>
                <w:rFonts w:hint="eastAsia"/>
                <w:strike w:val="0"/>
                <w:dstrike w:val="0"/>
                <w:color w:val="auto"/>
                <w:szCs w:val="21"/>
                <w:highlight w:val="none"/>
                <w:lang w:eastAsia="zh-CN"/>
              </w:rPr>
              <w:t>储油罐区</w:t>
            </w:r>
            <w:r>
              <w:rPr>
                <w:strike w:val="0"/>
                <w:dstrike w:val="0"/>
                <w:color w:val="auto"/>
                <w:szCs w:val="21"/>
                <w:highlight w:val="none"/>
              </w:rPr>
              <w:t>域要有禁火标志和防火防爆技术措施。禁止使用易产生火花的机械设备和工具。槽车运送时要灌装适量，不可超压超量运输。搬运时轻装轻卸，防止钢瓶及附件破损。</w:t>
            </w:r>
          </w:p>
        </w:tc>
      </w:tr>
    </w:tbl>
    <w:p w14:paraId="3A00A5A2">
      <w:pPr>
        <w:pStyle w:val="3"/>
        <w:jc w:val="center"/>
        <w:rPr>
          <w:rFonts w:eastAsia="宋体"/>
          <w:b w:val="0"/>
          <w:bCs w:val="0"/>
          <w:strike w:val="0"/>
          <w:dstrike w:val="0"/>
          <w:color w:val="auto"/>
          <w:sz w:val="24"/>
          <w:szCs w:val="24"/>
          <w:highlight w:val="none"/>
        </w:rPr>
      </w:pPr>
      <w:r>
        <w:rPr>
          <w:rFonts w:eastAsia="宋体"/>
          <w:b w:val="0"/>
          <w:bCs w:val="0"/>
          <w:strike w:val="0"/>
          <w:dstrike w:val="0"/>
          <w:color w:val="auto"/>
          <w:sz w:val="24"/>
          <w:szCs w:val="24"/>
          <w:highlight w:val="none"/>
        </w:rPr>
        <w:br w:type="page"/>
      </w:r>
      <w:r>
        <w:rPr>
          <w:rFonts w:hint="eastAsia" w:eastAsia="宋体"/>
          <w:strike w:val="0"/>
          <w:dstrike w:val="0"/>
          <w:color w:val="auto"/>
          <w:highlight w:val="none"/>
        </w:rPr>
        <w:t>3</w:t>
      </w:r>
      <w:r>
        <w:rPr>
          <w:rFonts w:eastAsia="宋体"/>
          <w:strike w:val="0"/>
          <w:dstrike w:val="0"/>
          <w:color w:val="auto"/>
          <w:highlight w:val="none"/>
        </w:rPr>
        <w:t>环境风险潜势初判</w:t>
      </w:r>
    </w:p>
    <w:p w14:paraId="663D66C6">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rPr>
        <w:t>3</w:t>
      </w:r>
      <w:r>
        <w:rPr>
          <w:rFonts w:ascii="Times New Roman" w:hAnsi="Times New Roman" w:eastAsia="宋体"/>
          <w:strike w:val="0"/>
          <w:dstrike w:val="0"/>
          <w:color w:val="auto"/>
          <w:highlight w:val="none"/>
        </w:rPr>
        <w:t>.1环境风险潜势划分</w:t>
      </w:r>
    </w:p>
    <w:p w14:paraId="1D0B4619">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建设项目环境风险潜势划分为Ⅰ、Ⅱ、Ⅲ、Ⅳ/Ⅳ</w:t>
      </w:r>
      <w:r>
        <w:rPr>
          <w:strike w:val="0"/>
          <w:dstrike w:val="0"/>
          <w:color w:val="auto"/>
          <w:sz w:val="24"/>
          <w:szCs w:val="32"/>
          <w:highlight w:val="none"/>
          <w:vertAlign w:val="superscript"/>
        </w:rPr>
        <w:t>+</w:t>
      </w:r>
      <w:r>
        <w:rPr>
          <w:strike w:val="0"/>
          <w:dstrike w:val="0"/>
          <w:color w:val="auto"/>
          <w:sz w:val="24"/>
          <w:szCs w:val="32"/>
          <w:highlight w:val="none"/>
        </w:rPr>
        <w:t>级。</w:t>
      </w:r>
    </w:p>
    <w:p w14:paraId="15BB1BD6">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根据建设项目所涉及的物质和工艺系统的危险性及其所在地的环境敏感程度，结合事故情形下环境影响途径，对建设项目潜在环境危害程度进行概化分析，环境风险潜势划分详见下表。</w:t>
      </w:r>
    </w:p>
    <w:p w14:paraId="05935C39">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表3.1</w:t>
      </w:r>
      <w:r>
        <w:rPr>
          <w:b/>
          <w:bCs/>
          <w:strike w:val="0"/>
          <w:dstrike w:val="0"/>
          <w:color w:val="auto"/>
          <w:sz w:val="24"/>
          <w:szCs w:val="32"/>
          <w:highlight w:val="none"/>
        </w:rPr>
        <w:t>-1 建设项目环境风险潜势划分一览表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1653"/>
        <w:gridCol w:w="1653"/>
        <w:gridCol w:w="1653"/>
        <w:gridCol w:w="1654"/>
      </w:tblGrid>
      <w:tr w14:paraId="3098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restart"/>
            <w:vAlign w:val="center"/>
          </w:tcPr>
          <w:p w14:paraId="4C9199C4">
            <w:pPr>
              <w:jc w:val="center"/>
              <w:rPr>
                <w:strike w:val="0"/>
                <w:dstrike w:val="0"/>
                <w:color w:val="auto"/>
                <w:szCs w:val="21"/>
                <w:highlight w:val="none"/>
              </w:rPr>
            </w:pPr>
            <w:r>
              <w:rPr>
                <w:strike w:val="0"/>
                <w:dstrike w:val="0"/>
                <w:color w:val="auto"/>
                <w:szCs w:val="21"/>
                <w:highlight w:val="none"/>
              </w:rPr>
              <w:t>环境敏感程度（E）</w:t>
            </w:r>
          </w:p>
        </w:tc>
        <w:tc>
          <w:tcPr>
            <w:tcW w:w="6613" w:type="dxa"/>
            <w:gridSpan w:val="4"/>
            <w:vAlign w:val="center"/>
          </w:tcPr>
          <w:p w14:paraId="7FFF593B">
            <w:pPr>
              <w:jc w:val="center"/>
              <w:rPr>
                <w:strike w:val="0"/>
                <w:dstrike w:val="0"/>
                <w:color w:val="auto"/>
                <w:szCs w:val="21"/>
                <w:highlight w:val="none"/>
              </w:rPr>
            </w:pPr>
            <w:r>
              <w:rPr>
                <w:strike w:val="0"/>
                <w:dstrike w:val="0"/>
                <w:color w:val="auto"/>
                <w:szCs w:val="21"/>
                <w:highlight w:val="none"/>
              </w:rPr>
              <w:t>危险物质及工艺系统危险性（P）</w:t>
            </w:r>
          </w:p>
        </w:tc>
      </w:tr>
      <w:tr w14:paraId="508C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continue"/>
            <w:vAlign w:val="center"/>
          </w:tcPr>
          <w:p w14:paraId="7236BC90">
            <w:pPr>
              <w:jc w:val="center"/>
              <w:rPr>
                <w:strike w:val="0"/>
                <w:dstrike w:val="0"/>
                <w:color w:val="auto"/>
                <w:szCs w:val="21"/>
                <w:highlight w:val="none"/>
              </w:rPr>
            </w:pPr>
          </w:p>
        </w:tc>
        <w:tc>
          <w:tcPr>
            <w:tcW w:w="1653" w:type="dxa"/>
            <w:vAlign w:val="center"/>
          </w:tcPr>
          <w:p w14:paraId="35290FE7">
            <w:pPr>
              <w:jc w:val="center"/>
              <w:rPr>
                <w:strike w:val="0"/>
                <w:dstrike w:val="0"/>
                <w:color w:val="auto"/>
                <w:szCs w:val="21"/>
                <w:highlight w:val="none"/>
              </w:rPr>
            </w:pPr>
            <w:r>
              <w:rPr>
                <w:strike w:val="0"/>
                <w:dstrike w:val="0"/>
                <w:color w:val="auto"/>
                <w:szCs w:val="21"/>
                <w:highlight w:val="none"/>
              </w:rPr>
              <w:t>极高危害（P1）</w:t>
            </w:r>
          </w:p>
        </w:tc>
        <w:tc>
          <w:tcPr>
            <w:tcW w:w="1653" w:type="dxa"/>
            <w:vAlign w:val="center"/>
          </w:tcPr>
          <w:p w14:paraId="10D640DC">
            <w:pPr>
              <w:jc w:val="center"/>
              <w:rPr>
                <w:strike w:val="0"/>
                <w:dstrike w:val="0"/>
                <w:color w:val="auto"/>
                <w:szCs w:val="21"/>
                <w:highlight w:val="none"/>
              </w:rPr>
            </w:pPr>
            <w:r>
              <w:rPr>
                <w:strike w:val="0"/>
                <w:dstrike w:val="0"/>
                <w:color w:val="auto"/>
                <w:szCs w:val="21"/>
                <w:highlight w:val="none"/>
              </w:rPr>
              <w:t>高度危害（P2）</w:t>
            </w:r>
          </w:p>
        </w:tc>
        <w:tc>
          <w:tcPr>
            <w:tcW w:w="1653" w:type="dxa"/>
            <w:vAlign w:val="center"/>
          </w:tcPr>
          <w:p w14:paraId="75BA588C">
            <w:pPr>
              <w:jc w:val="center"/>
              <w:rPr>
                <w:strike w:val="0"/>
                <w:dstrike w:val="0"/>
                <w:color w:val="auto"/>
                <w:szCs w:val="21"/>
                <w:highlight w:val="none"/>
              </w:rPr>
            </w:pPr>
            <w:r>
              <w:rPr>
                <w:strike w:val="0"/>
                <w:dstrike w:val="0"/>
                <w:color w:val="auto"/>
                <w:szCs w:val="21"/>
                <w:highlight w:val="none"/>
              </w:rPr>
              <w:t>中度危害（P3）</w:t>
            </w:r>
          </w:p>
        </w:tc>
        <w:tc>
          <w:tcPr>
            <w:tcW w:w="1654" w:type="dxa"/>
            <w:vAlign w:val="center"/>
          </w:tcPr>
          <w:p w14:paraId="7E73E2EB">
            <w:pPr>
              <w:jc w:val="center"/>
              <w:rPr>
                <w:strike w:val="0"/>
                <w:dstrike w:val="0"/>
                <w:color w:val="auto"/>
                <w:szCs w:val="21"/>
                <w:highlight w:val="none"/>
              </w:rPr>
            </w:pPr>
            <w:r>
              <w:rPr>
                <w:strike w:val="0"/>
                <w:dstrike w:val="0"/>
                <w:color w:val="auto"/>
                <w:szCs w:val="21"/>
                <w:highlight w:val="none"/>
              </w:rPr>
              <w:t>轻度危害（P4）</w:t>
            </w:r>
          </w:p>
        </w:tc>
      </w:tr>
      <w:tr w14:paraId="06B7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Align w:val="center"/>
          </w:tcPr>
          <w:p w14:paraId="4A13016C">
            <w:pPr>
              <w:jc w:val="center"/>
              <w:rPr>
                <w:strike w:val="0"/>
                <w:dstrike w:val="0"/>
                <w:color w:val="auto"/>
                <w:szCs w:val="21"/>
                <w:highlight w:val="none"/>
              </w:rPr>
            </w:pPr>
            <w:r>
              <w:rPr>
                <w:strike w:val="0"/>
                <w:dstrike w:val="0"/>
                <w:color w:val="auto"/>
                <w:szCs w:val="21"/>
                <w:highlight w:val="none"/>
              </w:rPr>
              <w:t>环境高度敏感区（E1）</w:t>
            </w:r>
          </w:p>
        </w:tc>
        <w:tc>
          <w:tcPr>
            <w:tcW w:w="1653" w:type="dxa"/>
            <w:vAlign w:val="center"/>
          </w:tcPr>
          <w:p w14:paraId="58A153A2">
            <w:pPr>
              <w:jc w:val="center"/>
              <w:rPr>
                <w:strike w:val="0"/>
                <w:dstrike w:val="0"/>
                <w:color w:val="auto"/>
                <w:szCs w:val="21"/>
                <w:highlight w:val="none"/>
              </w:rPr>
            </w:pPr>
            <w:r>
              <w:rPr>
                <w:strike w:val="0"/>
                <w:dstrike w:val="0"/>
                <w:color w:val="auto"/>
                <w:szCs w:val="21"/>
                <w:highlight w:val="none"/>
              </w:rPr>
              <w:t>IV+</w:t>
            </w:r>
          </w:p>
        </w:tc>
        <w:tc>
          <w:tcPr>
            <w:tcW w:w="1653" w:type="dxa"/>
            <w:vAlign w:val="center"/>
          </w:tcPr>
          <w:p w14:paraId="62924181">
            <w:pPr>
              <w:jc w:val="center"/>
              <w:rPr>
                <w:strike w:val="0"/>
                <w:dstrike w:val="0"/>
                <w:color w:val="auto"/>
                <w:szCs w:val="21"/>
                <w:highlight w:val="none"/>
              </w:rPr>
            </w:pPr>
            <w:r>
              <w:rPr>
                <w:strike w:val="0"/>
                <w:dstrike w:val="0"/>
                <w:color w:val="auto"/>
                <w:szCs w:val="21"/>
                <w:highlight w:val="none"/>
              </w:rPr>
              <w:t>IV</w:t>
            </w:r>
          </w:p>
        </w:tc>
        <w:tc>
          <w:tcPr>
            <w:tcW w:w="1653" w:type="dxa"/>
            <w:vAlign w:val="center"/>
          </w:tcPr>
          <w:p w14:paraId="048196B1">
            <w:pPr>
              <w:jc w:val="center"/>
              <w:rPr>
                <w:strike w:val="0"/>
                <w:dstrike w:val="0"/>
                <w:color w:val="auto"/>
                <w:szCs w:val="21"/>
                <w:highlight w:val="none"/>
              </w:rPr>
            </w:pPr>
            <w:r>
              <w:rPr>
                <w:strike w:val="0"/>
                <w:dstrike w:val="0"/>
                <w:color w:val="auto"/>
                <w:szCs w:val="21"/>
                <w:highlight w:val="none"/>
              </w:rPr>
              <w:t>III</w:t>
            </w:r>
          </w:p>
        </w:tc>
        <w:tc>
          <w:tcPr>
            <w:tcW w:w="1654" w:type="dxa"/>
            <w:vAlign w:val="center"/>
          </w:tcPr>
          <w:p w14:paraId="7444DE22">
            <w:pPr>
              <w:jc w:val="center"/>
              <w:rPr>
                <w:strike w:val="0"/>
                <w:dstrike w:val="0"/>
                <w:color w:val="auto"/>
                <w:szCs w:val="21"/>
                <w:highlight w:val="none"/>
              </w:rPr>
            </w:pPr>
            <w:r>
              <w:rPr>
                <w:strike w:val="0"/>
                <w:dstrike w:val="0"/>
                <w:color w:val="auto"/>
                <w:szCs w:val="21"/>
                <w:highlight w:val="none"/>
              </w:rPr>
              <w:t>III</w:t>
            </w:r>
          </w:p>
        </w:tc>
      </w:tr>
      <w:tr w14:paraId="0306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Align w:val="center"/>
          </w:tcPr>
          <w:p w14:paraId="0F616686">
            <w:pPr>
              <w:jc w:val="center"/>
              <w:rPr>
                <w:strike w:val="0"/>
                <w:dstrike w:val="0"/>
                <w:color w:val="auto"/>
                <w:szCs w:val="21"/>
                <w:highlight w:val="none"/>
              </w:rPr>
            </w:pPr>
            <w:r>
              <w:rPr>
                <w:strike w:val="0"/>
                <w:dstrike w:val="0"/>
                <w:color w:val="auto"/>
                <w:szCs w:val="21"/>
                <w:highlight w:val="none"/>
              </w:rPr>
              <w:t>环境中度敏感区（E2）</w:t>
            </w:r>
          </w:p>
        </w:tc>
        <w:tc>
          <w:tcPr>
            <w:tcW w:w="1653" w:type="dxa"/>
            <w:vAlign w:val="center"/>
          </w:tcPr>
          <w:p w14:paraId="2DEA90E0">
            <w:pPr>
              <w:jc w:val="center"/>
              <w:rPr>
                <w:strike w:val="0"/>
                <w:dstrike w:val="0"/>
                <w:color w:val="auto"/>
                <w:szCs w:val="21"/>
                <w:highlight w:val="none"/>
              </w:rPr>
            </w:pPr>
            <w:r>
              <w:rPr>
                <w:strike w:val="0"/>
                <w:dstrike w:val="0"/>
                <w:color w:val="auto"/>
                <w:szCs w:val="21"/>
                <w:highlight w:val="none"/>
              </w:rPr>
              <w:t>IV</w:t>
            </w:r>
          </w:p>
        </w:tc>
        <w:tc>
          <w:tcPr>
            <w:tcW w:w="1653" w:type="dxa"/>
            <w:vAlign w:val="center"/>
          </w:tcPr>
          <w:p w14:paraId="16F52DC8">
            <w:pPr>
              <w:jc w:val="center"/>
              <w:rPr>
                <w:strike w:val="0"/>
                <w:dstrike w:val="0"/>
                <w:color w:val="auto"/>
                <w:szCs w:val="21"/>
                <w:highlight w:val="none"/>
              </w:rPr>
            </w:pPr>
            <w:r>
              <w:rPr>
                <w:strike w:val="0"/>
                <w:dstrike w:val="0"/>
                <w:color w:val="auto"/>
                <w:szCs w:val="21"/>
                <w:highlight w:val="none"/>
              </w:rPr>
              <w:t>III</w:t>
            </w:r>
          </w:p>
        </w:tc>
        <w:tc>
          <w:tcPr>
            <w:tcW w:w="1653" w:type="dxa"/>
            <w:vAlign w:val="center"/>
          </w:tcPr>
          <w:p w14:paraId="0314DD2A">
            <w:pPr>
              <w:jc w:val="center"/>
              <w:rPr>
                <w:strike w:val="0"/>
                <w:dstrike w:val="0"/>
                <w:color w:val="auto"/>
                <w:szCs w:val="21"/>
                <w:highlight w:val="none"/>
              </w:rPr>
            </w:pPr>
            <w:r>
              <w:rPr>
                <w:strike w:val="0"/>
                <w:dstrike w:val="0"/>
                <w:color w:val="auto"/>
                <w:szCs w:val="21"/>
                <w:highlight w:val="none"/>
              </w:rPr>
              <w:t>III</w:t>
            </w:r>
          </w:p>
        </w:tc>
        <w:tc>
          <w:tcPr>
            <w:tcW w:w="1654" w:type="dxa"/>
            <w:vAlign w:val="center"/>
          </w:tcPr>
          <w:p w14:paraId="4B5C3D10">
            <w:pPr>
              <w:jc w:val="center"/>
              <w:rPr>
                <w:strike w:val="0"/>
                <w:dstrike w:val="0"/>
                <w:color w:val="auto"/>
                <w:szCs w:val="21"/>
                <w:highlight w:val="none"/>
              </w:rPr>
            </w:pPr>
            <w:r>
              <w:rPr>
                <w:strike w:val="0"/>
                <w:dstrike w:val="0"/>
                <w:color w:val="auto"/>
                <w:szCs w:val="21"/>
                <w:highlight w:val="none"/>
              </w:rPr>
              <w:t>II</w:t>
            </w:r>
          </w:p>
        </w:tc>
      </w:tr>
      <w:tr w14:paraId="2CA8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Align w:val="center"/>
          </w:tcPr>
          <w:p w14:paraId="6938E952">
            <w:pPr>
              <w:jc w:val="center"/>
              <w:rPr>
                <w:strike w:val="0"/>
                <w:dstrike w:val="0"/>
                <w:color w:val="auto"/>
                <w:szCs w:val="21"/>
                <w:highlight w:val="none"/>
              </w:rPr>
            </w:pPr>
            <w:r>
              <w:rPr>
                <w:strike w:val="0"/>
                <w:dstrike w:val="0"/>
                <w:color w:val="auto"/>
                <w:szCs w:val="21"/>
                <w:highlight w:val="none"/>
              </w:rPr>
              <w:t>环境低度敏感区（E3）</w:t>
            </w:r>
          </w:p>
        </w:tc>
        <w:tc>
          <w:tcPr>
            <w:tcW w:w="1653" w:type="dxa"/>
            <w:vAlign w:val="center"/>
          </w:tcPr>
          <w:p w14:paraId="772E32DB">
            <w:pPr>
              <w:jc w:val="center"/>
              <w:rPr>
                <w:strike w:val="0"/>
                <w:dstrike w:val="0"/>
                <w:color w:val="auto"/>
                <w:szCs w:val="21"/>
                <w:highlight w:val="none"/>
              </w:rPr>
            </w:pPr>
            <w:r>
              <w:rPr>
                <w:strike w:val="0"/>
                <w:dstrike w:val="0"/>
                <w:color w:val="auto"/>
                <w:szCs w:val="21"/>
                <w:highlight w:val="none"/>
              </w:rPr>
              <w:t>III</w:t>
            </w:r>
          </w:p>
        </w:tc>
        <w:tc>
          <w:tcPr>
            <w:tcW w:w="1653" w:type="dxa"/>
            <w:vAlign w:val="center"/>
          </w:tcPr>
          <w:p w14:paraId="3A29DBE5">
            <w:pPr>
              <w:jc w:val="center"/>
              <w:rPr>
                <w:strike w:val="0"/>
                <w:dstrike w:val="0"/>
                <w:color w:val="auto"/>
                <w:szCs w:val="21"/>
                <w:highlight w:val="none"/>
              </w:rPr>
            </w:pPr>
            <w:r>
              <w:rPr>
                <w:strike w:val="0"/>
                <w:dstrike w:val="0"/>
                <w:color w:val="auto"/>
                <w:szCs w:val="21"/>
                <w:highlight w:val="none"/>
              </w:rPr>
              <w:t>III</w:t>
            </w:r>
          </w:p>
        </w:tc>
        <w:tc>
          <w:tcPr>
            <w:tcW w:w="1653" w:type="dxa"/>
            <w:vAlign w:val="center"/>
          </w:tcPr>
          <w:p w14:paraId="1348E04F">
            <w:pPr>
              <w:jc w:val="center"/>
              <w:rPr>
                <w:strike w:val="0"/>
                <w:dstrike w:val="0"/>
                <w:color w:val="auto"/>
                <w:szCs w:val="21"/>
                <w:highlight w:val="none"/>
              </w:rPr>
            </w:pPr>
            <w:r>
              <w:rPr>
                <w:strike w:val="0"/>
                <w:dstrike w:val="0"/>
                <w:color w:val="auto"/>
                <w:szCs w:val="21"/>
                <w:highlight w:val="none"/>
              </w:rPr>
              <w:t>II</w:t>
            </w:r>
          </w:p>
        </w:tc>
        <w:tc>
          <w:tcPr>
            <w:tcW w:w="1654" w:type="dxa"/>
            <w:vAlign w:val="center"/>
          </w:tcPr>
          <w:p w14:paraId="61B16AA2">
            <w:pPr>
              <w:jc w:val="center"/>
              <w:rPr>
                <w:strike w:val="0"/>
                <w:dstrike w:val="0"/>
                <w:color w:val="auto"/>
                <w:szCs w:val="21"/>
                <w:highlight w:val="none"/>
              </w:rPr>
            </w:pPr>
            <w:r>
              <w:rPr>
                <w:strike w:val="0"/>
                <w:dstrike w:val="0"/>
                <w:color w:val="auto"/>
                <w:szCs w:val="21"/>
                <w:highlight w:val="none"/>
              </w:rPr>
              <w:t>I</w:t>
            </w:r>
          </w:p>
        </w:tc>
      </w:tr>
    </w:tbl>
    <w:p w14:paraId="42AEB640">
      <w:pPr>
        <w:adjustRightInd w:val="0"/>
        <w:snapToGrid w:val="0"/>
        <w:spacing w:line="360" w:lineRule="auto"/>
        <w:ind w:firstLine="440" w:firstLineChars="200"/>
        <w:rPr>
          <w:bCs/>
          <w:strike w:val="0"/>
          <w:dstrike w:val="0"/>
          <w:color w:val="auto"/>
          <w:spacing w:val="-10"/>
          <w:sz w:val="24"/>
          <w:highlight w:val="none"/>
        </w:rPr>
      </w:pPr>
      <w:r>
        <w:rPr>
          <w:rFonts w:hint="eastAsia"/>
          <w:bCs/>
          <w:strike w:val="0"/>
          <w:dstrike w:val="0"/>
          <w:color w:val="auto"/>
          <w:spacing w:val="-10"/>
          <w:sz w:val="24"/>
          <w:highlight w:val="none"/>
        </w:rPr>
        <w:t>1、</w:t>
      </w:r>
      <w:r>
        <w:rPr>
          <w:strike w:val="0"/>
          <w:dstrike w:val="0"/>
          <w:color w:val="auto"/>
          <w:sz w:val="24"/>
          <w:highlight w:val="none"/>
        </w:rPr>
        <w:t>危险物质数量与临界量比值（Q）</w:t>
      </w:r>
    </w:p>
    <w:p w14:paraId="59F8BD14">
      <w:pPr>
        <w:spacing w:line="360" w:lineRule="auto"/>
        <w:ind w:firstLine="480" w:firstLineChars="200"/>
        <w:rPr>
          <w:bCs/>
          <w:strike w:val="0"/>
          <w:dstrike w:val="0"/>
          <w:color w:val="auto"/>
          <w:sz w:val="24"/>
          <w:highlight w:val="none"/>
        </w:rPr>
      </w:pPr>
      <w:r>
        <w:rPr>
          <w:strike w:val="0"/>
          <w:dstrike w:val="0"/>
          <w:color w:val="auto"/>
          <w:sz w:val="24"/>
          <w:highlight w:val="none"/>
        </w:rPr>
        <w:t>根据</w:t>
      </w:r>
      <w:r>
        <w:rPr>
          <w:bCs/>
          <w:strike w:val="0"/>
          <w:dstrike w:val="0"/>
          <w:color w:val="auto"/>
          <w:sz w:val="24"/>
          <w:highlight w:val="none"/>
        </w:rPr>
        <w:t>《建设项目环境风险评价技术导则》（HJ169-2018）附录B和《企业突发环境事件风险分级方法》（HJ 941-2018）对</w:t>
      </w:r>
      <w:r>
        <w:rPr>
          <w:rFonts w:hint="eastAsia"/>
          <w:bCs/>
          <w:strike w:val="0"/>
          <w:dstrike w:val="0"/>
          <w:color w:val="auto"/>
          <w:sz w:val="24"/>
          <w:highlight w:val="none"/>
        </w:rPr>
        <w:t>本项目</w:t>
      </w:r>
      <w:r>
        <w:rPr>
          <w:bCs/>
          <w:strike w:val="0"/>
          <w:dstrike w:val="0"/>
          <w:color w:val="auto"/>
          <w:sz w:val="24"/>
          <w:highlight w:val="none"/>
        </w:rPr>
        <w:t>涉及化学品和危险废物的贮存情况进行辨识。</w:t>
      </w:r>
    </w:p>
    <w:p w14:paraId="43EFBDE3">
      <w:pPr>
        <w:pStyle w:val="39"/>
        <w:ind w:firstLine="0" w:firstLineChars="0"/>
        <w:jc w:val="center"/>
        <w:rPr>
          <w:b/>
          <w:strike w:val="0"/>
          <w:dstrike w:val="0"/>
          <w:color w:val="auto"/>
          <w:highlight w:val="none"/>
        </w:rPr>
      </w:pPr>
      <w:r>
        <w:rPr>
          <w:rFonts w:hint="eastAsia"/>
          <w:b/>
          <w:strike w:val="0"/>
          <w:dstrike w:val="0"/>
          <w:color w:val="auto"/>
          <w:highlight w:val="none"/>
        </w:rPr>
        <w:t>表3</w:t>
      </w:r>
      <w:r>
        <w:rPr>
          <w:b/>
          <w:strike w:val="0"/>
          <w:dstrike w:val="0"/>
          <w:color w:val="auto"/>
          <w:highlight w:val="none"/>
        </w:rPr>
        <w:t>.</w:t>
      </w:r>
      <w:r>
        <w:rPr>
          <w:rFonts w:hint="eastAsia"/>
          <w:b/>
          <w:strike w:val="0"/>
          <w:dstrike w:val="0"/>
          <w:color w:val="auto"/>
          <w:highlight w:val="none"/>
        </w:rPr>
        <w:t>1-2</w:t>
      </w:r>
      <w:r>
        <w:rPr>
          <w:b/>
          <w:strike w:val="0"/>
          <w:dstrike w:val="0"/>
          <w:color w:val="auto"/>
          <w:highlight w:val="none"/>
        </w:rPr>
        <w:t xml:space="preserve">  企业所涉及化学品和危险废物储存情况</w:t>
      </w:r>
    </w:p>
    <w:tbl>
      <w:tblPr>
        <w:tblStyle w:val="22"/>
        <w:tblW w:w="8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1653"/>
        <w:gridCol w:w="1674"/>
        <w:gridCol w:w="1936"/>
        <w:gridCol w:w="2563"/>
      </w:tblGrid>
      <w:tr w14:paraId="33F53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932" w:type="dxa"/>
            <w:shd w:val="clear" w:color="auto" w:fill="FFFFFF"/>
            <w:tcMar>
              <w:top w:w="15" w:type="dxa"/>
              <w:left w:w="15" w:type="dxa"/>
              <w:right w:w="15" w:type="dxa"/>
            </w:tcMar>
            <w:vAlign w:val="center"/>
          </w:tcPr>
          <w:p w14:paraId="4747642D">
            <w:pPr>
              <w:jc w:val="center"/>
              <w:rPr>
                <w:strike w:val="0"/>
                <w:dstrike w:val="0"/>
                <w:color w:val="auto"/>
                <w:szCs w:val="21"/>
                <w:highlight w:val="none"/>
              </w:rPr>
            </w:pPr>
            <w:r>
              <w:rPr>
                <w:strike w:val="0"/>
                <w:dstrike w:val="0"/>
                <w:color w:val="auto"/>
                <w:szCs w:val="21"/>
                <w:highlight w:val="none"/>
              </w:rPr>
              <w:t>序号</w:t>
            </w:r>
          </w:p>
        </w:tc>
        <w:tc>
          <w:tcPr>
            <w:tcW w:w="1653" w:type="dxa"/>
            <w:shd w:val="clear" w:color="auto" w:fill="FFFFFF"/>
            <w:tcMar>
              <w:top w:w="15" w:type="dxa"/>
              <w:left w:w="15" w:type="dxa"/>
              <w:right w:w="15" w:type="dxa"/>
            </w:tcMar>
            <w:vAlign w:val="center"/>
          </w:tcPr>
          <w:p w14:paraId="4241FBEE">
            <w:pPr>
              <w:jc w:val="center"/>
              <w:rPr>
                <w:strike w:val="0"/>
                <w:dstrike w:val="0"/>
                <w:color w:val="auto"/>
                <w:szCs w:val="21"/>
                <w:highlight w:val="none"/>
              </w:rPr>
            </w:pPr>
            <w:r>
              <w:rPr>
                <w:strike w:val="0"/>
                <w:dstrike w:val="0"/>
                <w:color w:val="auto"/>
                <w:szCs w:val="21"/>
                <w:highlight w:val="none"/>
              </w:rPr>
              <w:t>存放地点</w:t>
            </w:r>
          </w:p>
        </w:tc>
        <w:tc>
          <w:tcPr>
            <w:tcW w:w="1674" w:type="dxa"/>
            <w:shd w:val="clear" w:color="auto" w:fill="FFFFFF"/>
            <w:tcMar>
              <w:top w:w="15" w:type="dxa"/>
              <w:left w:w="15" w:type="dxa"/>
              <w:right w:w="15" w:type="dxa"/>
            </w:tcMar>
            <w:vAlign w:val="center"/>
          </w:tcPr>
          <w:p w14:paraId="44915608">
            <w:pPr>
              <w:jc w:val="center"/>
              <w:rPr>
                <w:strike w:val="0"/>
                <w:dstrike w:val="0"/>
                <w:color w:val="auto"/>
                <w:szCs w:val="21"/>
                <w:highlight w:val="none"/>
              </w:rPr>
            </w:pPr>
            <w:r>
              <w:rPr>
                <w:strike w:val="0"/>
                <w:dstrike w:val="0"/>
                <w:color w:val="auto"/>
                <w:szCs w:val="21"/>
                <w:highlight w:val="none"/>
              </w:rPr>
              <w:t>物质名称</w:t>
            </w:r>
          </w:p>
        </w:tc>
        <w:tc>
          <w:tcPr>
            <w:tcW w:w="1936" w:type="dxa"/>
            <w:shd w:val="clear" w:color="auto" w:fill="FFFFFF"/>
            <w:tcMar>
              <w:top w:w="15" w:type="dxa"/>
              <w:left w:w="15" w:type="dxa"/>
              <w:right w:w="15" w:type="dxa"/>
            </w:tcMar>
            <w:vAlign w:val="center"/>
          </w:tcPr>
          <w:p w14:paraId="3688D999">
            <w:pPr>
              <w:jc w:val="center"/>
              <w:rPr>
                <w:strike w:val="0"/>
                <w:dstrike w:val="0"/>
                <w:color w:val="auto"/>
                <w:szCs w:val="21"/>
                <w:highlight w:val="none"/>
              </w:rPr>
            </w:pPr>
            <w:r>
              <w:rPr>
                <w:strike w:val="0"/>
                <w:dstrike w:val="0"/>
                <w:color w:val="auto"/>
                <w:szCs w:val="21"/>
                <w:highlight w:val="none"/>
              </w:rPr>
              <w:t>最大储存量</w:t>
            </w:r>
          </w:p>
        </w:tc>
        <w:tc>
          <w:tcPr>
            <w:tcW w:w="2563" w:type="dxa"/>
            <w:shd w:val="clear" w:color="auto" w:fill="FFFFFF"/>
            <w:tcMar>
              <w:top w:w="15" w:type="dxa"/>
              <w:left w:w="15" w:type="dxa"/>
              <w:right w:w="15" w:type="dxa"/>
            </w:tcMar>
            <w:vAlign w:val="center"/>
          </w:tcPr>
          <w:p w14:paraId="67F647CD">
            <w:pPr>
              <w:jc w:val="center"/>
              <w:rPr>
                <w:strike w:val="0"/>
                <w:dstrike w:val="0"/>
                <w:color w:val="auto"/>
                <w:szCs w:val="21"/>
                <w:highlight w:val="none"/>
              </w:rPr>
            </w:pPr>
            <w:r>
              <w:rPr>
                <w:strike w:val="0"/>
                <w:dstrike w:val="0"/>
                <w:color w:val="auto"/>
                <w:szCs w:val="21"/>
                <w:highlight w:val="none"/>
              </w:rPr>
              <w:t>储存方式</w:t>
            </w:r>
          </w:p>
        </w:tc>
      </w:tr>
      <w:tr w14:paraId="436A6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932" w:type="dxa"/>
            <w:shd w:val="clear" w:color="auto" w:fill="FFFFFF"/>
            <w:tcMar>
              <w:top w:w="15" w:type="dxa"/>
              <w:left w:w="15" w:type="dxa"/>
              <w:right w:w="15" w:type="dxa"/>
            </w:tcMar>
            <w:vAlign w:val="center"/>
          </w:tcPr>
          <w:p w14:paraId="37C05DE6">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w:t>
            </w:r>
          </w:p>
        </w:tc>
        <w:tc>
          <w:tcPr>
            <w:tcW w:w="1653" w:type="dxa"/>
            <w:vMerge w:val="restart"/>
            <w:shd w:val="clear" w:color="auto" w:fill="FFFFFF"/>
            <w:tcMar>
              <w:top w:w="15" w:type="dxa"/>
              <w:left w:w="15" w:type="dxa"/>
              <w:right w:w="15" w:type="dxa"/>
            </w:tcMar>
            <w:vAlign w:val="center"/>
          </w:tcPr>
          <w:p w14:paraId="58657FCE">
            <w:pPr>
              <w:widowControl/>
              <w:jc w:val="center"/>
              <w:textAlignment w:val="center"/>
              <w:rPr>
                <w:strike w:val="0"/>
                <w:dstrike w:val="0"/>
                <w:color w:val="auto"/>
                <w:szCs w:val="21"/>
                <w:highlight w:val="none"/>
              </w:rPr>
            </w:pPr>
            <w:r>
              <w:rPr>
                <w:rFonts w:hint="eastAsia"/>
                <w:strike w:val="0"/>
                <w:dstrike w:val="0"/>
                <w:color w:val="auto"/>
                <w:szCs w:val="21"/>
                <w:highlight w:val="none"/>
              </w:rPr>
              <w:t>储油罐区</w:t>
            </w:r>
          </w:p>
        </w:tc>
        <w:tc>
          <w:tcPr>
            <w:tcW w:w="1674" w:type="dxa"/>
            <w:shd w:val="clear" w:color="auto" w:fill="auto"/>
            <w:tcMar>
              <w:top w:w="15" w:type="dxa"/>
              <w:left w:w="15" w:type="dxa"/>
              <w:right w:w="15" w:type="dxa"/>
            </w:tcMar>
            <w:vAlign w:val="center"/>
          </w:tcPr>
          <w:p w14:paraId="09B5BB1A">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92#汽油</w:t>
            </w:r>
          </w:p>
        </w:tc>
        <w:tc>
          <w:tcPr>
            <w:tcW w:w="1936" w:type="dxa"/>
            <w:shd w:val="clear" w:color="auto" w:fill="auto"/>
            <w:tcMar>
              <w:top w:w="15" w:type="dxa"/>
              <w:left w:w="15" w:type="dxa"/>
              <w:right w:w="15" w:type="dxa"/>
            </w:tcMar>
            <w:vAlign w:val="center"/>
          </w:tcPr>
          <w:p w14:paraId="6BF4B31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27m</w:t>
            </w:r>
            <w:r>
              <w:rPr>
                <w:strike w:val="0"/>
                <w:dstrike w:val="0"/>
                <w:color w:val="auto"/>
                <w:sz w:val="21"/>
                <w:szCs w:val="21"/>
                <w:highlight w:val="none"/>
                <w:vertAlign w:val="superscript"/>
              </w:rPr>
              <w:t>3</w:t>
            </w:r>
          </w:p>
          <w:p w14:paraId="0FC4BB5B">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(19.44 t)</w:t>
            </w:r>
          </w:p>
        </w:tc>
        <w:tc>
          <w:tcPr>
            <w:tcW w:w="2563" w:type="dxa"/>
            <w:shd w:val="clear" w:color="auto" w:fill="auto"/>
            <w:tcMar>
              <w:top w:w="15" w:type="dxa"/>
              <w:left w:w="15" w:type="dxa"/>
              <w:right w:w="15" w:type="dxa"/>
            </w:tcMar>
            <w:vAlign w:val="center"/>
          </w:tcPr>
          <w:p w14:paraId="512EFC68">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埋地卧式SF双层油罐</w:t>
            </w:r>
          </w:p>
        </w:tc>
      </w:tr>
      <w:tr w14:paraId="18C34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932" w:type="dxa"/>
            <w:shd w:val="clear" w:color="auto" w:fill="FFFFFF"/>
            <w:tcMar>
              <w:top w:w="15" w:type="dxa"/>
              <w:left w:w="15" w:type="dxa"/>
              <w:right w:w="15" w:type="dxa"/>
            </w:tcMar>
            <w:vAlign w:val="center"/>
          </w:tcPr>
          <w:p w14:paraId="7107D1DA">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2</w:t>
            </w:r>
          </w:p>
        </w:tc>
        <w:tc>
          <w:tcPr>
            <w:tcW w:w="1653" w:type="dxa"/>
            <w:vMerge w:val="continue"/>
            <w:shd w:val="clear" w:color="auto" w:fill="FFFFFF"/>
            <w:tcMar>
              <w:top w:w="15" w:type="dxa"/>
              <w:left w:w="15" w:type="dxa"/>
              <w:right w:w="15" w:type="dxa"/>
            </w:tcMar>
            <w:vAlign w:val="center"/>
          </w:tcPr>
          <w:p w14:paraId="29625C75">
            <w:pPr>
              <w:widowControl/>
              <w:jc w:val="center"/>
              <w:textAlignment w:val="center"/>
              <w:rPr>
                <w:strike w:val="0"/>
                <w:dstrike w:val="0"/>
                <w:color w:val="auto"/>
                <w:szCs w:val="21"/>
                <w:highlight w:val="none"/>
              </w:rPr>
            </w:pPr>
          </w:p>
        </w:tc>
        <w:tc>
          <w:tcPr>
            <w:tcW w:w="1674" w:type="dxa"/>
            <w:shd w:val="clear" w:color="auto" w:fill="auto"/>
            <w:tcMar>
              <w:top w:w="15" w:type="dxa"/>
              <w:left w:w="15" w:type="dxa"/>
              <w:right w:w="15" w:type="dxa"/>
            </w:tcMar>
            <w:vAlign w:val="center"/>
          </w:tcPr>
          <w:p w14:paraId="7D75C7C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95#汽油</w:t>
            </w:r>
          </w:p>
        </w:tc>
        <w:tc>
          <w:tcPr>
            <w:tcW w:w="1936" w:type="dxa"/>
            <w:shd w:val="clear" w:color="auto" w:fill="auto"/>
            <w:tcMar>
              <w:top w:w="15" w:type="dxa"/>
              <w:left w:w="15" w:type="dxa"/>
              <w:right w:w="15" w:type="dxa"/>
            </w:tcMar>
            <w:vAlign w:val="center"/>
          </w:tcPr>
          <w:p w14:paraId="460C95E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27m</w:t>
            </w:r>
            <w:r>
              <w:rPr>
                <w:strike w:val="0"/>
                <w:dstrike w:val="0"/>
                <w:color w:val="auto"/>
                <w:sz w:val="21"/>
                <w:szCs w:val="21"/>
                <w:highlight w:val="none"/>
                <w:vertAlign w:val="superscript"/>
              </w:rPr>
              <w:t>3</w:t>
            </w:r>
          </w:p>
          <w:p w14:paraId="14404B9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(19.58t)</w:t>
            </w:r>
          </w:p>
        </w:tc>
        <w:tc>
          <w:tcPr>
            <w:tcW w:w="2563" w:type="dxa"/>
            <w:shd w:val="clear" w:color="auto" w:fill="auto"/>
            <w:tcMar>
              <w:top w:w="15" w:type="dxa"/>
              <w:left w:w="15" w:type="dxa"/>
              <w:right w:w="15" w:type="dxa"/>
            </w:tcMar>
            <w:vAlign w:val="center"/>
          </w:tcPr>
          <w:p w14:paraId="50107EF4">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埋地卧式SF双层油罐</w:t>
            </w:r>
          </w:p>
        </w:tc>
      </w:tr>
      <w:tr w14:paraId="644BD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932" w:type="dxa"/>
            <w:shd w:val="clear" w:color="auto" w:fill="FFFFFF"/>
            <w:tcMar>
              <w:top w:w="15" w:type="dxa"/>
              <w:left w:w="15" w:type="dxa"/>
              <w:right w:w="15" w:type="dxa"/>
            </w:tcMar>
            <w:vAlign w:val="center"/>
          </w:tcPr>
          <w:p w14:paraId="460A61BB">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3</w:t>
            </w:r>
          </w:p>
        </w:tc>
        <w:tc>
          <w:tcPr>
            <w:tcW w:w="1653" w:type="dxa"/>
            <w:vMerge w:val="continue"/>
            <w:shd w:val="clear" w:color="auto" w:fill="FFFFFF"/>
            <w:tcMar>
              <w:top w:w="15" w:type="dxa"/>
              <w:left w:w="15" w:type="dxa"/>
              <w:right w:w="15" w:type="dxa"/>
            </w:tcMar>
            <w:vAlign w:val="center"/>
          </w:tcPr>
          <w:p w14:paraId="456A6941">
            <w:pPr>
              <w:widowControl/>
              <w:jc w:val="center"/>
              <w:textAlignment w:val="center"/>
              <w:rPr>
                <w:strike w:val="0"/>
                <w:dstrike w:val="0"/>
                <w:color w:val="auto"/>
                <w:szCs w:val="21"/>
                <w:highlight w:val="none"/>
              </w:rPr>
            </w:pPr>
          </w:p>
        </w:tc>
        <w:tc>
          <w:tcPr>
            <w:tcW w:w="1674" w:type="dxa"/>
            <w:shd w:val="clear" w:color="auto" w:fill="auto"/>
            <w:tcMar>
              <w:top w:w="15" w:type="dxa"/>
              <w:left w:w="15" w:type="dxa"/>
              <w:right w:w="15" w:type="dxa"/>
            </w:tcMar>
            <w:vAlign w:val="center"/>
          </w:tcPr>
          <w:p w14:paraId="7C1264E2">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0#柴油</w:t>
            </w:r>
          </w:p>
        </w:tc>
        <w:tc>
          <w:tcPr>
            <w:tcW w:w="1936" w:type="dxa"/>
            <w:shd w:val="clear" w:color="auto" w:fill="auto"/>
            <w:tcMar>
              <w:top w:w="15" w:type="dxa"/>
              <w:left w:w="15" w:type="dxa"/>
              <w:right w:w="15" w:type="dxa"/>
            </w:tcMar>
            <w:vAlign w:val="center"/>
          </w:tcPr>
          <w:p w14:paraId="5CB6510C">
            <w:pPr>
              <w:pStyle w:val="43"/>
              <w:kinsoku w:val="0"/>
              <w:overflowPunct w:val="0"/>
              <w:autoSpaceDE/>
              <w:autoSpaceDN/>
              <w:adjustRightInd/>
              <w:jc w:val="center"/>
              <w:rPr>
                <w:strike w:val="0"/>
                <w:dstrike w:val="0"/>
                <w:color w:val="auto"/>
                <w:sz w:val="21"/>
                <w:szCs w:val="21"/>
                <w:highlight w:val="none"/>
                <w:vertAlign w:val="superscript"/>
              </w:rPr>
            </w:pPr>
            <w:r>
              <w:rPr>
                <w:strike w:val="0"/>
                <w:dstrike w:val="0"/>
                <w:color w:val="auto"/>
                <w:sz w:val="21"/>
                <w:szCs w:val="21"/>
                <w:highlight w:val="none"/>
              </w:rPr>
              <w:t>54m</w:t>
            </w:r>
            <w:r>
              <w:rPr>
                <w:strike w:val="0"/>
                <w:dstrike w:val="0"/>
                <w:color w:val="auto"/>
                <w:sz w:val="21"/>
                <w:szCs w:val="21"/>
                <w:highlight w:val="none"/>
                <w:vertAlign w:val="superscript"/>
              </w:rPr>
              <w:t>3</w:t>
            </w:r>
          </w:p>
          <w:p w14:paraId="0332CFB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（45.09t)</w:t>
            </w:r>
          </w:p>
        </w:tc>
        <w:tc>
          <w:tcPr>
            <w:tcW w:w="2563" w:type="dxa"/>
            <w:shd w:val="clear" w:color="auto" w:fill="auto"/>
            <w:tcMar>
              <w:top w:w="15" w:type="dxa"/>
              <w:left w:w="15" w:type="dxa"/>
              <w:right w:w="15" w:type="dxa"/>
            </w:tcMar>
            <w:vAlign w:val="center"/>
          </w:tcPr>
          <w:p w14:paraId="6CDDF6F1">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埋地卧式SF双层油罐</w:t>
            </w:r>
          </w:p>
        </w:tc>
      </w:tr>
      <w:tr w14:paraId="4F47B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932" w:type="dxa"/>
            <w:shd w:val="clear" w:color="auto" w:fill="FFFFFF"/>
            <w:tcMar>
              <w:top w:w="15" w:type="dxa"/>
              <w:left w:w="15" w:type="dxa"/>
              <w:right w:w="15" w:type="dxa"/>
            </w:tcMar>
            <w:vAlign w:val="center"/>
          </w:tcPr>
          <w:p w14:paraId="6F7B6A8B">
            <w:pPr>
              <w:widowControl/>
              <w:jc w:val="center"/>
              <w:textAlignment w:val="center"/>
              <w:rPr>
                <w:strike w:val="0"/>
                <w:dstrike w:val="0"/>
                <w:color w:val="auto"/>
                <w:kern w:val="0"/>
                <w:szCs w:val="21"/>
                <w:highlight w:val="none"/>
                <w:lang w:bidi="ar"/>
              </w:rPr>
            </w:pPr>
            <w:r>
              <w:rPr>
                <w:rFonts w:hint="eastAsia"/>
                <w:strike w:val="0"/>
                <w:dstrike w:val="0"/>
                <w:color w:val="auto"/>
                <w:kern w:val="0"/>
                <w:szCs w:val="21"/>
                <w:highlight w:val="none"/>
                <w:lang w:bidi="ar"/>
              </w:rPr>
              <w:t>4</w:t>
            </w:r>
          </w:p>
        </w:tc>
        <w:tc>
          <w:tcPr>
            <w:tcW w:w="1653" w:type="dxa"/>
            <w:shd w:val="clear" w:color="auto" w:fill="FFFFFF"/>
            <w:tcMar>
              <w:top w:w="15" w:type="dxa"/>
              <w:left w:w="15" w:type="dxa"/>
              <w:right w:w="15" w:type="dxa"/>
            </w:tcMar>
            <w:vAlign w:val="center"/>
          </w:tcPr>
          <w:p w14:paraId="66C11E15">
            <w:pPr>
              <w:widowControl/>
              <w:jc w:val="center"/>
              <w:textAlignment w:val="center"/>
              <w:rPr>
                <w:strike w:val="0"/>
                <w:dstrike w:val="0"/>
                <w:color w:val="auto"/>
                <w:szCs w:val="21"/>
                <w:highlight w:val="none"/>
              </w:rPr>
            </w:pPr>
            <w:r>
              <w:rPr>
                <w:rFonts w:hint="eastAsia"/>
                <w:strike w:val="0"/>
                <w:dstrike w:val="0"/>
                <w:color w:val="auto"/>
                <w:szCs w:val="21"/>
                <w:highlight w:val="none"/>
              </w:rPr>
              <w:t>储气罐区</w:t>
            </w:r>
          </w:p>
        </w:tc>
        <w:tc>
          <w:tcPr>
            <w:tcW w:w="1674" w:type="dxa"/>
            <w:shd w:val="clear" w:color="auto" w:fill="auto"/>
            <w:tcMar>
              <w:top w:w="15" w:type="dxa"/>
              <w:left w:w="15" w:type="dxa"/>
              <w:right w:w="15" w:type="dxa"/>
            </w:tcMar>
            <w:vAlign w:val="center"/>
          </w:tcPr>
          <w:p w14:paraId="7B41E11C">
            <w:pPr>
              <w:jc w:val="center"/>
              <w:rPr>
                <w:strike w:val="0"/>
                <w:dstrike w:val="0"/>
                <w:color w:val="auto"/>
                <w:szCs w:val="21"/>
                <w:highlight w:val="none"/>
              </w:rPr>
            </w:pPr>
            <w:r>
              <w:rPr>
                <w:strike w:val="0"/>
                <w:dstrike w:val="0"/>
                <w:color w:val="auto"/>
                <w:szCs w:val="21"/>
                <w:highlight w:val="none"/>
              </w:rPr>
              <w:t>LNG</w:t>
            </w:r>
          </w:p>
        </w:tc>
        <w:tc>
          <w:tcPr>
            <w:tcW w:w="1936" w:type="dxa"/>
            <w:shd w:val="clear" w:color="auto" w:fill="auto"/>
            <w:tcMar>
              <w:top w:w="15" w:type="dxa"/>
              <w:left w:w="15" w:type="dxa"/>
              <w:right w:w="15" w:type="dxa"/>
            </w:tcMar>
            <w:vAlign w:val="center"/>
          </w:tcPr>
          <w:p w14:paraId="24F14FA1">
            <w:pPr>
              <w:pStyle w:val="43"/>
              <w:kinsoku w:val="0"/>
              <w:overflowPunct w:val="0"/>
              <w:autoSpaceDE/>
              <w:autoSpaceDN/>
              <w:adjustRightInd/>
              <w:jc w:val="center"/>
              <w:rPr>
                <w:strike w:val="0"/>
                <w:dstrike w:val="0"/>
                <w:color w:val="auto"/>
                <w:sz w:val="21"/>
                <w:szCs w:val="21"/>
                <w:highlight w:val="none"/>
                <w:vertAlign w:val="superscript"/>
              </w:rPr>
            </w:pPr>
            <w:r>
              <w:rPr>
                <w:strike w:val="0"/>
                <w:dstrike w:val="0"/>
                <w:color w:val="auto"/>
                <w:sz w:val="21"/>
                <w:szCs w:val="21"/>
                <w:highlight w:val="none"/>
              </w:rPr>
              <w:t>54m</w:t>
            </w:r>
            <w:r>
              <w:rPr>
                <w:strike w:val="0"/>
                <w:dstrike w:val="0"/>
                <w:color w:val="auto"/>
                <w:sz w:val="21"/>
                <w:szCs w:val="21"/>
                <w:highlight w:val="none"/>
                <w:vertAlign w:val="superscript"/>
              </w:rPr>
              <w:t>3</w:t>
            </w:r>
          </w:p>
          <w:p w14:paraId="5F6F0988">
            <w:pPr>
              <w:pStyle w:val="43"/>
              <w:kinsoku w:val="0"/>
              <w:overflowPunct w:val="0"/>
              <w:autoSpaceDE/>
              <w:autoSpaceDN/>
              <w:adjustRightInd/>
              <w:jc w:val="center"/>
              <w:rPr>
                <w:strike w:val="0"/>
                <w:dstrike w:val="0"/>
                <w:color w:val="auto"/>
                <w:kern w:val="2"/>
                <w:sz w:val="21"/>
                <w:szCs w:val="21"/>
                <w:highlight w:val="none"/>
              </w:rPr>
            </w:pPr>
            <w:r>
              <w:rPr>
                <w:strike w:val="0"/>
                <w:dstrike w:val="0"/>
                <w:color w:val="auto"/>
                <w:sz w:val="21"/>
                <w:szCs w:val="21"/>
                <w:highlight w:val="none"/>
              </w:rPr>
              <w:t>（</w:t>
            </w:r>
            <w:r>
              <w:rPr>
                <w:rFonts w:hint="eastAsia"/>
                <w:strike w:val="0"/>
                <w:dstrike w:val="0"/>
                <w:color w:val="auto"/>
                <w:sz w:val="21"/>
                <w:szCs w:val="21"/>
                <w:highlight w:val="none"/>
              </w:rPr>
              <w:t>24.30</w:t>
            </w:r>
            <w:r>
              <w:rPr>
                <w:strike w:val="0"/>
                <w:dstrike w:val="0"/>
                <w:color w:val="auto"/>
                <w:sz w:val="21"/>
                <w:szCs w:val="21"/>
                <w:highlight w:val="none"/>
              </w:rPr>
              <w:t>t)</w:t>
            </w:r>
          </w:p>
        </w:tc>
        <w:tc>
          <w:tcPr>
            <w:tcW w:w="2563" w:type="dxa"/>
            <w:shd w:val="clear" w:color="auto" w:fill="auto"/>
            <w:tcMar>
              <w:top w:w="15" w:type="dxa"/>
              <w:left w:w="15" w:type="dxa"/>
              <w:right w:w="15" w:type="dxa"/>
            </w:tcMar>
            <w:vAlign w:val="center"/>
          </w:tcPr>
          <w:p w14:paraId="5C149A17">
            <w:pPr>
              <w:pStyle w:val="43"/>
              <w:kinsoku w:val="0"/>
              <w:overflowPunct w:val="0"/>
              <w:autoSpaceDE/>
              <w:autoSpaceDN/>
              <w:adjustRightInd/>
              <w:jc w:val="center"/>
              <w:rPr>
                <w:strike w:val="0"/>
                <w:dstrike w:val="0"/>
                <w:color w:val="auto"/>
                <w:w w:val="99"/>
                <w:sz w:val="21"/>
                <w:szCs w:val="21"/>
                <w:highlight w:val="none"/>
              </w:rPr>
            </w:pPr>
            <w:r>
              <w:rPr>
                <w:strike w:val="0"/>
                <w:dstrike w:val="0"/>
                <w:color w:val="auto"/>
                <w:sz w:val="21"/>
                <w:szCs w:val="21"/>
                <w:highlight w:val="none"/>
              </w:rPr>
              <w:t>卧式撬装储罐</w:t>
            </w:r>
          </w:p>
        </w:tc>
      </w:tr>
      <w:tr w14:paraId="01F04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932" w:type="dxa"/>
            <w:shd w:val="clear" w:color="auto" w:fill="FFFFFF"/>
            <w:tcMar>
              <w:top w:w="15" w:type="dxa"/>
              <w:left w:w="15" w:type="dxa"/>
              <w:right w:w="15" w:type="dxa"/>
            </w:tcMar>
            <w:vAlign w:val="center"/>
          </w:tcPr>
          <w:p w14:paraId="15CFA1B7">
            <w:pPr>
              <w:widowControl/>
              <w:jc w:val="center"/>
              <w:textAlignment w:val="center"/>
              <w:rPr>
                <w:strike w:val="0"/>
                <w:dstrike w:val="0"/>
                <w:color w:val="auto"/>
                <w:kern w:val="0"/>
                <w:szCs w:val="21"/>
                <w:highlight w:val="none"/>
                <w:lang w:bidi="ar"/>
              </w:rPr>
            </w:pPr>
            <w:r>
              <w:rPr>
                <w:rFonts w:hint="eastAsia"/>
                <w:strike w:val="0"/>
                <w:dstrike w:val="0"/>
                <w:color w:val="auto"/>
                <w:kern w:val="0"/>
                <w:szCs w:val="21"/>
                <w:highlight w:val="none"/>
                <w:lang w:bidi="ar"/>
              </w:rPr>
              <w:t>5</w:t>
            </w:r>
          </w:p>
        </w:tc>
        <w:tc>
          <w:tcPr>
            <w:tcW w:w="1653" w:type="dxa"/>
            <w:shd w:val="clear" w:color="auto" w:fill="FFFFFF"/>
            <w:tcMar>
              <w:top w:w="15" w:type="dxa"/>
              <w:left w:w="15" w:type="dxa"/>
              <w:right w:w="15" w:type="dxa"/>
            </w:tcMar>
            <w:vAlign w:val="center"/>
          </w:tcPr>
          <w:p w14:paraId="0A323B6C">
            <w:pPr>
              <w:widowControl/>
              <w:jc w:val="center"/>
              <w:textAlignment w:val="center"/>
              <w:rPr>
                <w:strike w:val="0"/>
                <w:dstrike w:val="0"/>
                <w:color w:val="auto"/>
                <w:szCs w:val="21"/>
                <w:highlight w:val="none"/>
              </w:rPr>
            </w:pPr>
            <w:r>
              <w:rPr>
                <w:rFonts w:hint="eastAsia"/>
                <w:strike w:val="0"/>
                <w:dstrike w:val="0"/>
                <w:color w:val="auto"/>
                <w:szCs w:val="21"/>
                <w:highlight w:val="none"/>
              </w:rPr>
              <w:t>危废贮存点</w:t>
            </w:r>
          </w:p>
        </w:tc>
        <w:tc>
          <w:tcPr>
            <w:tcW w:w="1674" w:type="dxa"/>
            <w:shd w:val="clear" w:color="auto" w:fill="FFFFFF"/>
            <w:tcMar>
              <w:top w:w="15" w:type="dxa"/>
              <w:left w:w="15" w:type="dxa"/>
              <w:right w:w="15" w:type="dxa"/>
            </w:tcMar>
            <w:vAlign w:val="center"/>
          </w:tcPr>
          <w:p w14:paraId="0ACBE744">
            <w:pPr>
              <w:widowControl/>
              <w:jc w:val="center"/>
              <w:textAlignment w:val="center"/>
              <w:rPr>
                <w:strike w:val="0"/>
                <w:dstrike w:val="0"/>
                <w:color w:val="auto"/>
                <w:szCs w:val="21"/>
                <w:highlight w:val="none"/>
              </w:rPr>
            </w:pPr>
            <w:r>
              <w:rPr>
                <w:rFonts w:hint="eastAsia"/>
                <w:strike w:val="0"/>
                <w:dstrike w:val="0"/>
                <w:color w:val="auto"/>
                <w:szCs w:val="21"/>
                <w:highlight w:val="none"/>
              </w:rPr>
              <w:t>废空压机油</w:t>
            </w:r>
          </w:p>
        </w:tc>
        <w:tc>
          <w:tcPr>
            <w:tcW w:w="1936" w:type="dxa"/>
            <w:shd w:val="clear" w:color="auto" w:fill="FFFFFF"/>
            <w:tcMar>
              <w:top w:w="15" w:type="dxa"/>
              <w:left w:w="15" w:type="dxa"/>
              <w:right w:w="15" w:type="dxa"/>
            </w:tcMar>
            <w:vAlign w:val="center"/>
          </w:tcPr>
          <w:p w14:paraId="7A1144D0">
            <w:pPr>
              <w:widowControl/>
              <w:jc w:val="center"/>
              <w:textAlignment w:val="center"/>
              <w:rPr>
                <w:strike w:val="0"/>
                <w:dstrike w:val="0"/>
                <w:color w:val="auto"/>
                <w:kern w:val="0"/>
                <w:szCs w:val="21"/>
                <w:highlight w:val="none"/>
                <w:lang w:bidi="ar"/>
              </w:rPr>
            </w:pPr>
            <w:r>
              <w:rPr>
                <w:rFonts w:hint="eastAsia"/>
                <w:bCs/>
                <w:strike w:val="0"/>
                <w:dstrike w:val="0"/>
                <w:color w:val="auto"/>
                <w:spacing w:val="-10"/>
                <w:szCs w:val="21"/>
                <w:highlight w:val="none"/>
              </w:rPr>
              <w:t>0.08</w:t>
            </w:r>
            <w:r>
              <w:rPr>
                <w:strike w:val="0"/>
                <w:dstrike w:val="0"/>
                <w:color w:val="auto"/>
                <w:kern w:val="0"/>
                <w:szCs w:val="21"/>
                <w:highlight w:val="none"/>
                <w:lang w:bidi="ar"/>
              </w:rPr>
              <w:t>t</w:t>
            </w:r>
          </w:p>
        </w:tc>
        <w:tc>
          <w:tcPr>
            <w:tcW w:w="2563" w:type="dxa"/>
            <w:shd w:val="clear" w:color="auto" w:fill="FFFFFF"/>
            <w:tcMar>
              <w:top w:w="15" w:type="dxa"/>
              <w:left w:w="15" w:type="dxa"/>
              <w:right w:w="15" w:type="dxa"/>
            </w:tcMar>
            <w:vAlign w:val="center"/>
          </w:tcPr>
          <w:p w14:paraId="5B3033C4">
            <w:pPr>
              <w:pStyle w:val="74"/>
              <w:rPr>
                <w:rFonts w:ascii="Times New Roman" w:hAnsi="Times New Roman" w:cs="Times New Roman"/>
                <w:strike w:val="0"/>
                <w:dstrike w:val="0"/>
                <w:color w:val="auto"/>
                <w:highlight w:val="none"/>
              </w:rPr>
            </w:pPr>
            <w:r>
              <w:rPr>
                <w:rFonts w:ascii="Times New Roman" w:hAnsi="Times New Roman" w:cs="Times New Roman"/>
                <w:strike w:val="0"/>
                <w:dstrike w:val="0"/>
                <w:color w:val="auto"/>
                <w:highlight w:val="none"/>
              </w:rPr>
              <w:t>桶装</w:t>
            </w:r>
          </w:p>
        </w:tc>
      </w:tr>
      <w:tr w14:paraId="3412F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8758" w:type="dxa"/>
            <w:gridSpan w:val="5"/>
            <w:shd w:val="clear" w:color="auto" w:fill="auto"/>
            <w:tcMar>
              <w:top w:w="15" w:type="dxa"/>
              <w:left w:w="15" w:type="dxa"/>
              <w:right w:w="15" w:type="dxa"/>
            </w:tcMar>
            <w:vAlign w:val="center"/>
          </w:tcPr>
          <w:p w14:paraId="30928440">
            <w:pPr>
              <w:jc w:val="left"/>
              <w:rPr>
                <w:strike w:val="0"/>
                <w:dstrike w:val="0"/>
                <w:color w:val="auto"/>
                <w:szCs w:val="21"/>
                <w:highlight w:val="none"/>
              </w:rPr>
            </w:pPr>
            <w:r>
              <w:rPr>
                <w:strike w:val="0"/>
                <w:dstrike w:val="0"/>
                <w:color w:val="auto"/>
                <w:szCs w:val="21"/>
                <w:highlight w:val="none"/>
              </w:rPr>
              <w:t>注：</w:t>
            </w:r>
            <w:r>
              <w:rPr>
                <w:rFonts w:eastAsia="TimesNewRomanPSMT"/>
                <w:strike w:val="0"/>
                <w:dstrike w:val="0"/>
                <w:color w:val="auto"/>
                <w:szCs w:val="21"/>
                <w:highlight w:val="none"/>
              </w:rPr>
              <w:t>0#</w:t>
            </w:r>
            <w:r>
              <w:rPr>
                <w:strike w:val="0"/>
                <w:dstrike w:val="0"/>
                <w:color w:val="auto"/>
                <w:szCs w:val="21"/>
                <w:highlight w:val="none"/>
              </w:rPr>
              <w:t>柴油密度取</w:t>
            </w:r>
            <w:r>
              <w:rPr>
                <w:rFonts w:eastAsia="TimesNewRomanPSMT"/>
                <w:strike w:val="0"/>
                <w:dstrike w:val="0"/>
                <w:color w:val="auto"/>
                <w:szCs w:val="21"/>
                <w:highlight w:val="none"/>
              </w:rPr>
              <w:t>0.835</w:t>
            </w:r>
            <w:r>
              <w:rPr>
                <w:strike w:val="0"/>
                <w:dstrike w:val="0"/>
                <w:color w:val="auto"/>
                <w:szCs w:val="21"/>
                <w:highlight w:val="none"/>
              </w:rPr>
              <w:t>t/m</w:t>
            </w:r>
            <w:r>
              <w:rPr>
                <w:strike w:val="0"/>
                <w:dstrike w:val="0"/>
                <w:color w:val="auto"/>
                <w:szCs w:val="21"/>
                <w:highlight w:val="none"/>
                <w:vertAlign w:val="superscript"/>
              </w:rPr>
              <w:t>3</w:t>
            </w:r>
            <w:r>
              <w:rPr>
                <w:strike w:val="0"/>
                <w:dstrike w:val="0"/>
                <w:color w:val="auto"/>
                <w:szCs w:val="21"/>
                <w:highlight w:val="none"/>
              </w:rPr>
              <w:t>，</w:t>
            </w:r>
            <w:r>
              <w:rPr>
                <w:rFonts w:eastAsia="TimesNewRomanPSMT"/>
                <w:strike w:val="0"/>
                <w:dstrike w:val="0"/>
                <w:color w:val="auto"/>
                <w:szCs w:val="21"/>
                <w:highlight w:val="none"/>
              </w:rPr>
              <w:t>92#</w:t>
            </w:r>
            <w:r>
              <w:rPr>
                <w:strike w:val="0"/>
                <w:dstrike w:val="0"/>
                <w:color w:val="auto"/>
                <w:szCs w:val="21"/>
                <w:highlight w:val="none"/>
              </w:rPr>
              <w:t>汽油密度取</w:t>
            </w:r>
            <w:r>
              <w:rPr>
                <w:rFonts w:eastAsia="TimesNewRomanPSMT"/>
                <w:strike w:val="0"/>
                <w:dstrike w:val="0"/>
                <w:color w:val="auto"/>
                <w:szCs w:val="21"/>
                <w:highlight w:val="none"/>
              </w:rPr>
              <w:t>0.72</w:t>
            </w:r>
            <w:r>
              <w:rPr>
                <w:strike w:val="0"/>
                <w:dstrike w:val="0"/>
                <w:color w:val="auto"/>
                <w:szCs w:val="21"/>
                <w:highlight w:val="none"/>
              </w:rPr>
              <w:t>t/m</w:t>
            </w:r>
            <w:r>
              <w:rPr>
                <w:strike w:val="0"/>
                <w:dstrike w:val="0"/>
                <w:color w:val="auto"/>
                <w:szCs w:val="21"/>
                <w:highlight w:val="none"/>
                <w:vertAlign w:val="superscript"/>
              </w:rPr>
              <w:t>3</w:t>
            </w:r>
            <w:r>
              <w:rPr>
                <w:strike w:val="0"/>
                <w:dstrike w:val="0"/>
                <w:color w:val="auto"/>
                <w:szCs w:val="21"/>
                <w:highlight w:val="none"/>
              </w:rPr>
              <w:t>，</w:t>
            </w:r>
            <w:r>
              <w:rPr>
                <w:rFonts w:eastAsia="TimesNewRomanPSMT"/>
                <w:strike w:val="0"/>
                <w:dstrike w:val="0"/>
                <w:color w:val="auto"/>
                <w:szCs w:val="21"/>
                <w:highlight w:val="none"/>
              </w:rPr>
              <w:t>95#</w:t>
            </w:r>
            <w:r>
              <w:rPr>
                <w:strike w:val="0"/>
                <w:dstrike w:val="0"/>
                <w:color w:val="auto"/>
                <w:szCs w:val="21"/>
                <w:highlight w:val="none"/>
              </w:rPr>
              <w:t>汽油密度取</w:t>
            </w:r>
            <w:r>
              <w:rPr>
                <w:rFonts w:eastAsia="TimesNewRomanPSMT"/>
                <w:strike w:val="0"/>
                <w:dstrike w:val="0"/>
                <w:color w:val="auto"/>
                <w:szCs w:val="21"/>
                <w:highlight w:val="none"/>
              </w:rPr>
              <w:t>0.725</w:t>
            </w:r>
            <w:r>
              <w:rPr>
                <w:strike w:val="0"/>
                <w:dstrike w:val="0"/>
                <w:color w:val="auto"/>
                <w:szCs w:val="21"/>
                <w:highlight w:val="none"/>
              </w:rPr>
              <w:t>t/m</w:t>
            </w:r>
            <w:r>
              <w:rPr>
                <w:strike w:val="0"/>
                <w:dstrike w:val="0"/>
                <w:color w:val="auto"/>
                <w:szCs w:val="21"/>
                <w:highlight w:val="none"/>
                <w:vertAlign w:val="superscript"/>
              </w:rPr>
              <w:t>3</w:t>
            </w:r>
            <w:r>
              <w:rPr>
                <w:strike w:val="0"/>
                <w:dstrike w:val="0"/>
                <w:color w:val="auto"/>
                <w:szCs w:val="21"/>
                <w:highlight w:val="none"/>
              </w:rPr>
              <w:t>，LNG密度取0.</w:t>
            </w:r>
            <w:r>
              <w:rPr>
                <w:rFonts w:hint="eastAsia"/>
                <w:strike w:val="0"/>
                <w:dstrike w:val="0"/>
                <w:color w:val="auto"/>
                <w:szCs w:val="21"/>
                <w:highlight w:val="none"/>
              </w:rPr>
              <w:t>45</w:t>
            </w:r>
            <w:r>
              <w:rPr>
                <w:strike w:val="0"/>
                <w:dstrike w:val="0"/>
                <w:color w:val="auto"/>
                <w:szCs w:val="21"/>
                <w:highlight w:val="none"/>
              </w:rPr>
              <w:t>t/m</w:t>
            </w:r>
            <w:r>
              <w:rPr>
                <w:strike w:val="0"/>
                <w:dstrike w:val="0"/>
                <w:color w:val="auto"/>
                <w:szCs w:val="21"/>
                <w:highlight w:val="none"/>
                <w:vertAlign w:val="superscript"/>
              </w:rPr>
              <w:t>3</w:t>
            </w:r>
            <w:r>
              <w:rPr>
                <w:strike w:val="0"/>
                <w:dstrike w:val="0"/>
                <w:color w:val="auto"/>
                <w:szCs w:val="21"/>
                <w:highlight w:val="none"/>
              </w:rPr>
              <w:t>；充装系数</w:t>
            </w:r>
            <w:r>
              <w:rPr>
                <w:rFonts w:eastAsia="TimesNewRomanPSMT"/>
                <w:strike w:val="0"/>
                <w:dstrike w:val="0"/>
                <w:color w:val="auto"/>
                <w:szCs w:val="21"/>
                <w:highlight w:val="none"/>
              </w:rPr>
              <w:t>0.9</w:t>
            </w:r>
            <w:r>
              <w:rPr>
                <w:strike w:val="0"/>
                <w:dstrike w:val="0"/>
                <w:color w:val="auto"/>
                <w:szCs w:val="21"/>
                <w:highlight w:val="none"/>
              </w:rPr>
              <w:t>。</w:t>
            </w:r>
          </w:p>
        </w:tc>
      </w:tr>
    </w:tbl>
    <w:p w14:paraId="3DAD08EC">
      <w:pPr>
        <w:spacing w:line="360" w:lineRule="auto"/>
        <w:ind w:firstLine="440" w:firstLineChars="200"/>
        <w:rPr>
          <w:bCs/>
          <w:strike w:val="0"/>
          <w:dstrike w:val="0"/>
          <w:color w:val="auto"/>
          <w:spacing w:val="-10"/>
          <w:sz w:val="24"/>
          <w:highlight w:val="none"/>
        </w:rPr>
      </w:pPr>
      <w:r>
        <w:rPr>
          <w:bCs/>
          <w:strike w:val="0"/>
          <w:dstrike w:val="0"/>
          <w:color w:val="auto"/>
          <w:spacing w:val="-10"/>
          <w:sz w:val="24"/>
          <w:highlight w:val="none"/>
        </w:rPr>
        <w:t>根据调查，企业涉及的</w:t>
      </w:r>
      <w:r>
        <w:rPr>
          <w:strike w:val="0"/>
          <w:dstrike w:val="0"/>
          <w:color w:val="auto"/>
          <w:sz w:val="24"/>
          <w:highlight w:val="none"/>
        </w:rPr>
        <w:t>环境风险物质主要风险物质为92#汽油</w:t>
      </w:r>
      <w:r>
        <w:rPr>
          <w:rFonts w:hint="eastAsia"/>
          <w:strike w:val="0"/>
          <w:dstrike w:val="0"/>
          <w:color w:val="auto"/>
          <w:sz w:val="24"/>
          <w:highlight w:val="none"/>
        </w:rPr>
        <w:t>、</w:t>
      </w:r>
      <w:r>
        <w:rPr>
          <w:strike w:val="0"/>
          <w:dstrike w:val="0"/>
          <w:color w:val="auto"/>
          <w:sz w:val="24"/>
          <w:highlight w:val="none"/>
        </w:rPr>
        <w:t>95#汽油</w:t>
      </w:r>
      <w:r>
        <w:rPr>
          <w:rFonts w:hint="eastAsia"/>
          <w:strike w:val="0"/>
          <w:dstrike w:val="0"/>
          <w:color w:val="auto"/>
          <w:sz w:val="24"/>
          <w:highlight w:val="none"/>
        </w:rPr>
        <w:t>、柴油、LNG、废空压机油等</w:t>
      </w:r>
      <w:r>
        <w:rPr>
          <w:bCs/>
          <w:strike w:val="0"/>
          <w:dstrike w:val="0"/>
          <w:color w:val="auto"/>
          <w:spacing w:val="-10"/>
          <w:sz w:val="24"/>
          <w:highlight w:val="none"/>
        </w:rPr>
        <w:t>。</w:t>
      </w:r>
    </w:p>
    <w:p w14:paraId="1022B4A1">
      <w:pPr>
        <w:spacing w:line="360" w:lineRule="auto"/>
        <w:ind w:firstLine="440" w:firstLineChars="200"/>
        <w:rPr>
          <w:bCs/>
          <w:strike w:val="0"/>
          <w:dstrike w:val="0"/>
          <w:color w:val="auto"/>
          <w:spacing w:val="-10"/>
          <w:sz w:val="24"/>
          <w:highlight w:val="none"/>
        </w:rPr>
      </w:pPr>
      <w:r>
        <w:rPr>
          <w:bCs/>
          <w:strike w:val="0"/>
          <w:dstrike w:val="0"/>
          <w:color w:val="auto"/>
          <w:spacing w:val="-10"/>
          <w:sz w:val="24"/>
          <w:highlight w:val="none"/>
        </w:rPr>
        <w:t>参考《建设项目环境风险评价技术导则》（HJ169-2018）</w:t>
      </w:r>
      <w:r>
        <w:rPr>
          <w:bCs/>
          <w:strike w:val="0"/>
          <w:dstrike w:val="0"/>
          <w:color w:val="auto"/>
          <w:sz w:val="24"/>
          <w:highlight w:val="none"/>
        </w:rPr>
        <w:t>和《企业突发环境事件风险分级方法》（HJ 941-2018）</w:t>
      </w:r>
      <w:r>
        <w:rPr>
          <w:bCs/>
          <w:strike w:val="0"/>
          <w:dstrike w:val="0"/>
          <w:color w:val="auto"/>
          <w:spacing w:val="-10"/>
          <w:sz w:val="24"/>
          <w:highlight w:val="none"/>
        </w:rPr>
        <w:t>，计算所涉及的每种危险物质的Q值。单元内存在的危险物质为多品种时，则按下式计算：</w:t>
      </w:r>
    </w:p>
    <w:p w14:paraId="421E92CC">
      <w:pPr>
        <w:pStyle w:val="39"/>
        <w:ind w:firstLine="480"/>
        <w:jc w:val="center"/>
        <w:rPr>
          <w:bCs/>
          <w:strike w:val="0"/>
          <w:dstrike w:val="0"/>
          <w:color w:val="auto"/>
          <w:highlight w:val="none"/>
        </w:rPr>
      </w:pPr>
      <w:r>
        <w:rPr>
          <w:bCs/>
          <w:strike w:val="0"/>
          <w:dstrike w:val="0"/>
          <w:color w:val="auto"/>
          <w:highlight w:val="none"/>
        </w:rPr>
        <w:t>Q=q1/Q1+ q2/Q2……+ qn/Qn</w:t>
      </w:r>
    </w:p>
    <w:p w14:paraId="7E324B76">
      <w:pPr>
        <w:autoSpaceDE w:val="0"/>
        <w:autoSpaceDN w:val="0"/>
        <w:spacing w:line="360" w:lineRule="auto"/>
        <w:ind w:firstLine="480" w:firstLineChars="200"/>
        <w:contextualSpacing/>
        <w:jc w:val="left"/>
        <w:rPr>
          <w:strike w:val="0"/>
          <w:dstrike w:val="0"/>
          <w:color w:val="auto"/>
          <w:kern w:val="0"/>
          <w:sz w:val="24"/>
          <w:highlight w:val="none"/>
        </w:rPr>
      </w:pPr>
      <w:r>
        <w:rPr>
          <w:strike w:val="0"/>
          <w:dstrike w:val="0"/>
          <w:color w:val="auto"/>
          <w:kern w:val="0"/>
          <w:sz w:val="24"/>
          <w:highlight w:val="none"/>
        </w:rPr>
        <w:t>式中：q1，q2……qn 为每种危险物质实际存在量，t；</w:t>
      </w:r>
    </w:p>
    <w:p w14:paraId="394F7499">
      <w:pPr>
        <w:autoSpaceDE w:val="0"/>
        <w:autoSpaceDN w:val="0"/>
        <w:spacing w:line="360" w:lineRule="auto"/>
        <w:ind w:firstLine="480" w:firstLineChars="200"/>
        <w:contextualSpacing/>
        <w:jc w:val="left"/>
        <w:rPr>
          <w:strike w:val="0"/>
          <w:dstrike w:val="0"/>
          <w:color w:val="auto"/>
          <w:kern w:val="0"/>
          <w:sz w:val="24"/>
          <w:highlight w:val="none"/>
        </w:rPr>
      </w:pPr>
      <w:r>
        <w:rPr>
          <w:strike w:val="0"/>
          <w:dstrike w:val="0"/>
          <w:color w:val="auto"/>
          <w:kern w:val="0"/>
          <w:sz w:val="24"/>
          <w:highlight w:val="none"/>
        </w:rPr>
        <w:t>Q1、Q2……Qn 为每种危险物质的临界量，t。</w:t>
      </w:r>
    </w:p>
    <w:p w14:paraId="0C77AFDE">
      <w:pPr>
        <w:autoSpaceDE w:val="0"/>
        <w:autoSpaceDN w:val="0"/>
        <w:spacing w:line="360" w:lineRule="auto"/>
        <w:ind w:firstLine="480" w:firstLineChars="200"/>
        <w:contextualSpacing/>
        <w:jc w:val="left"/>
        <w:rPr>
          <w:strike w:val="0"/>
          <w:dstrike w:val="0"/>
          <w:color w:val="auto"/>
          <w:kern w:val="0"/>
          <w:sz w:val="24"/>
          <w:highlight w:val="none"/>
        </w:rPr>
      </w:pPr>
      <w:r>
        <w:rPr>
          <w:strike w:val="0"/>
          <w:dstrike w:val="0"/>
          <w:color w:val="auto"/>
          <w:kern w:val="0"/>
          <w:sz w:val="24"/>
          <w:highlight w:val="none"/>
        </w:rPr>
        <w:t>当Q＜1时，该项目的环境风险潜势为I。</w:t>
      </w:r>
    </w:p>
    <w:p w14:paraId="00205A93">
      <w:pPr>
        <w:autoSpaceDE w:val="0"/>
        <w:autoSpaceDN w:val="0"/>
        <w:spacing w:line="360" w:lineRule="auto"/>
        <w:ind w:firstLine="480" w:firstLineChars="200"/>
        <w:contextualSpacing/>
        <w:jc w:val="left"/>
        <w:rPr>
          <w:strike w:val="0"/>
          <w:dstrike w:val="0"/>
          <w:color w:val="auto"/>
          <w:kern w:val="0"/>
          <w:sz w:val="24"/>
          <w:highlight w:val="none"/>
        </w:rPr>
      </w:pPr>
      <w:r>
        <w:rPr>
          <w:strike w:val="0"/>
          <w:dstrike w:val="0"/>
          <w:color w:val="auto"/>
          <w:kern w:val="0"/>
          <w:sz w:val="24"/>
          <w:highlight w:val="none"/>
        </w:rPr>
        <w:t>当Q≥1时，将Q值划分为：(1)1≤Q＜10；(2)10≤Q＜100；(3)Q≥100；</w:t>
      </w:r>
    </w:p>
    <w:p w14:paraId="67A73D4B">
      <w:pPr>
        <w:autoSpaceDE w:val="0"/>
        <w:autoSpaceDN w:val="0"/>
        <w:spacing w:line="360" w:lineRule="auto"/>
        <w:ind w:firstLine="480" w:firstLineChars="200"/>
        <w:contextualSpacing/>
        <w:jc w:val="left"/>
        <w:rPr>
          <w:strike w:val="0"/>
          <w:dstrike w:val="0"/>
          <w:color w:val="auto"/>
          <w:kern w:val="0"/>
          <w:sz w:val="24"/>
          <w:highlight w:val="none"/>
        </w:rPr>
      </w:pPr>
      <w:r>
        <w:rPr>
          <w:strike w:val="0"/>
          <w:dstrike w:val="0"/>
          <w:color w:val="auto"/>
          <w:kern w:val="0"/>
          <w:sz w:val="24"/>
          <w:highlight w:val="none"/>
        </w:rPr>
        <w:t>项目Q值确定详见</w:t>
      </w:r>
      <w:r>
        <w:rPr>
          <w:rFonts w:hint="eastAsia"/>
          <w:strike w:val="0"/>
          <w:dstrike w:val="0"/>
          <w:color w:val="auto"/>
          <w:kern w:val="0"/>
          <w:sz w:val="24"/>
          <w:highlight w:val="none"/>
        </w:rPr>
        <w:t>表3.1-3</w:t>
      </w:r>
      <w:r>
        <w:rPr>
          <w:strike w:val="0"/>
          <w:dstrike w:val="0"/>
          <w:color w:val="auto"/>
          <w:kern w:val="0"/>
          <w:sz w:val="24"/>
          <w:highlight w:val="none"/>
        </w:rPr>
        <w:t>。</w:t>
      </w:r>
    </w:p>
    <w:p w14:paraId="6B2D4ACE">
      <w:pPr>
        <w:pStyle w:val="39"/>
        <w:ind w:firstLine="0" w:firstLineChars="0"/>
        <w:jc w:val="center"/>
        <w:rPr>
          <w:b/>
          <w:strike w:val="0"/>
          <w:dstrike w:val="0"/>
          <w:color w:val="auto"/>
          <w:highlight w:val="none"/>
        </w:rPr>
      </w:pPr>
      <w:r>
        <w:rPr>
          <w:rFonts w:hint="eastAsia"/>
          <w:b/>
          <w:strike w:val="0"/>
          <w:dstrike w:val="0"/>
          <w:color w:val="auto"/>
          <w:highlight w:val="none"/>
        </w:rPr>
        <w:t>表3.1-3</w:t>
      </w:r>
      <w:r>
        <w:rPr>
          <w:b/>
          <w:strike w:val="0"/>
          <w:dstrike w:val="0"/>
          <w:color w:val="auto"/>
          <w:highlight w:val="none"/>
        </w:rPr>
        <w:t xml:space="preserve">  项目Q值确定表</w:t>
      </w:r>
    </w:p>
    <w:tbl>
      <w:tblPr>
        <w:tblStyle w:val="22"/>
        <w:tblW w:w="46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424"/>
        <w:gridCol w:w="1750"/>
        <w:gridCol w:w="1526"/>
        <w:gridCol w:w="1643"/>
      </w:tblGrid>
      <w:tr w14:paraId="69E4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2" w:type="pct"/>
            <w:vAlign w:val="center"/>
          </w:tcPr>
          <w:p w14:paraId="18461BE0">
            <w:pPr>
              <w:pStyle w:val="48"/>
              <w:spacing w:line="240" w:lineRule="auto"/>
              <w:rPr>
                <w:rFonts w:ascii="Times New Roman" w:hAnsi="Times New Roman"/>
                <w:b/>
                <w:strike w:val="0"/>
                <w:dstrike w:val="0"/>
                <w:snapToGrid w:val="0"/>
                <w:color w:val="auto"/>
                <w:sz w:val="21"/>
                <w:szCs w:val="21"/>
                <w:highlight w:val="none"/>
              </w:rPr>
            </w:pPr>
            <w:r>
              <w:rPr>
                <w:rFonts w:ascii="Times New Roman" w:hAnsi="Times New Roman"/>
                <w:b/>
                <w:strike w:val="0"/>
                <w:dstrike w:val="0"/>
                <w:snapToGrid w:val="0"/>
                <w:color w:val="auto"/>
                <w:sz w:val="21"/>
                <w:szCs w:val="21"/>
                <w:highlight w:val="none"/>
              </w:rPr>
              <w:t>序号</w:t>
            </w:r>
          </w:p>
        </w:tc>
        <w:tc>
          <w:tcPr>
            <w:tcW w:w="1448" w:type="pct"/>
            <w:vAlign w:val="center"/>
          </w:tcPr>
          <w:p w14:paraId="66DE2DA5">
            <w:pPr>
              <w:pStyle w:val="48"/>
              <w:spacing w:line="240" w:lineRule="auto"/>
              <w:rPr>
                <w:rFonts w:ascii="Times New Roman" w:hAnsi="Times New Roman"/>
                <w:b/>
                <w:strike w:val="0"/>
                <w:dstrike w:val="0"/>
                <w:snapToGrid w:val="0"/>
                <w:color w:val="auto"/>
                <w:sz w:val="21"/>
                <w:szCs w:val="21"/>
                <w:highlight w:val="none"/>
              </w:rPr>
            </w:pPr>
            <w:r>
              <w:rPr>
                <w:rFonts w:ascii="Times New Roman" w:hAnsi="Times New Roman"/>
                <w:b/>
                <w:strike w:val="0"/>
                <w:dstrike w:val="0"/>
                <w:snapToGrid w:val="0"/>
                <w:color w:val="auto"/>
                <w:sz w:val="21"/>
                <w:szCs w:val="21"/>
                <w:highlight w:val="none"/>
              </w:rPr>
              <w:t>危险物质名称</w:t>
            </w:r>
          </w:p>
        </w:tc>
        <w:tc>
          <w:tcPr>
            <w:tcW w:w="1045" w:type="pct"/>
            <w:vAlign w:val="center"/>
          </w:tcPr>
          <w:p w14:paraId="58B32C56">
            <w:pPr>
              <w:pStyle w:val="48"/>
              <w:spacing w:line="240" w:lineRule="auto"/>
              <w:rPr>
                <w:rFonts w:ascii="Times New Roman" w:hAnsi="Times New Roman"/>
                <w:b/>
                <w:strike w:val="0"/>
                <w:dstrike w:val="0"/>
                <w:snapToGrid w:val="0"/>
                <w:color w:val="auto"/>
                <w:sz w:val="21"/>
                <w:szCs w:val="21"/>
                <w:highlight w:val="none"/>
              </w:rPr>
            </w:pPr>
            <w:r>
              <w:rPr>
                <w:rFonts w:hint="eastAsia" w:ascii="Times New Roman" w:hAnsi="Times New Roman"/>
                <w:b/>
                <w:strike w:val="0"/>
                <w:dstrike w:val="0"/>
                <w:snapToGrid w:val="0"/>
                <w:color w:val="auto"/>
                <w:sz w:val="21"/>
                <w:szCs w:val="21"/>
                <w:highlight w:val="none"/>
              </w:rPr>
              <w:t>折纯后</w:t>
            </w:r>
            <w:r>
              <w:rPr>
                <w:rFonts w:ascii="Times New Roman" w:hAnsi="Times New Roman"/>
                <w:b/>
                <w:strike w:val="0"/>
                <w:dstrike w:val="0"/>
                <w:snapToGrid w:val="0"/>
                <w:color w:val="auto"/>
                <w:sz w:val="21"/>
                <w:szCs w:val="21"/>
                <w:highlight w:val="none"/>
              </w:rPr>
              <w:t>最大存储</w:t>
            </w:r>
            <w:r>
              <w:rPr>
                <w:rFonts w:hint="eastAsia" w:ascii="Times New Roman" w:hAnsi="Times New Roman"/>
                <w:b/>
                <w:strike w:val="0"/>
                <w:dstrike w:val="0"/>
                <w:snapToGrid w:val="0"/>
                <w:color w:val="auto"/>
                <w:sz w:val="21"/>
                <w:szCs w:val="21"/>
                <w:highlight w:val="none"/>
              </w:rPr>
              <w:t>、在线</w:t>
            </w:r>
            <w:r>
              <w:rPr>
                <w:rFonts w:ascii="Times New Roman" w:hAnsi="Times New Roman"/>
                <w:b/>
                <w:strike w:val="0"/>
                <w:dstrike w:val="0"/>
                <w:snapToGrid w:val="0"/>
                <w:color w:val="auto"/>
                <w:sz w:val="21"/>
                <w:szCs w:val="21"/>
                <w:highlight w:val="none"/>
              </w:rPr>
              <w:t>量/t</w:t>
            </w:r>
          </w:p>
        </w:tc>
        <w:tc>
          <w:tcPr>
            <w:tcW w:w="911" w:type="pct"/>
            <w:vAlign w:val="center"/>
          </w:tcPr>
          <w:p w14:paraId="665110E9">
            <w:pPr>
              <w:pStyle w:val="48"/>
              <w:spacing w:line="240" w:lineRule="auto"/>
              <w:rPr>
                <w:rFonts w:ascii="Times New Roman" w:hAnsi="Times New Roman"/>
                <w:b/>
                <w:strike w:val="0"/>
                <w:dstrike w:val="0"/>
                <w:snapToGrid w:val="0"/>
                <w:color w:val="auto"/>
                <w:sz w:val="21"/>
                <w:szCs w:val="21"/>
                <w:highlight w:val="none"/>
              </w:rPr>
            </w:pPr>
            <w:r>
              <w:rPr>
                <w:rFonts w:ascii="Times New Roman" w:hAnsi="Times New Roman"/>
                <w:b/>
                <w:strike w:val="0"/>
                <w:dstrike w:val="0"/>
                <w:snapToGrid w:val="0"/>
                <w:color w:val="auto"/>
                <w:sz w:val="21"/>
                <w:szCs w:val="21"/>
                <w:highlight w:val="none"/>
              </w:rPr>
              <w:t>临界量/t</w:t>
            </w:r>
          </w:p>
        </w:tc>
        <w:tc>
          <w:tcPr>
            <w:tcW w:w="982" w:type="pct"/>
            <w:vAlign w:val="center"/>
          </w:tcPr>
          <w:p w14:paraId="64FAF6D5">
            <w:pPr>
              <w:pStyle w:val="48"/>
              <w:spacing w:line="240" w:lineRule="auto"/>
              <w:rPr>
                <w:rFonts w:ascii="Times New Roman" w:hAnsi="Times New Roman"/>
                <w:b/>
                <w:strike w:val="0"/>
                <w:dstrike w:val="0"/>
                <w:snapToGrid w:val="0"/>
                <w:color w:val="auto"/>
                <w:sz w:val="21"/>
                <w:szCs w:val="21"/>
                <w:highlight w:val="none"/>
              </w:rPr>
            </w:pPr>
            <w:r>
              <w:rPr>
                <w:rFonts w:ascii="Times New Roman" w:hAnsi="Times New Roman"/>
                <w:b/>
                <w:strike w:val="0"/>
                <w:dstrike w:val="0"/>
                <w:snapToGrid w:val="0"/>
                <w:color w:val="auto"/>
                <w:sz w:val="21"/>
                <w:szCs w:val="21"/>
                <w:highlight w:val="none"/>
              </w:rPr>
              <w:t>Q值</w:t>
            </w:r>
          </w:p>
        </w:tc>
      </w:tr>
      <w:tr w14:paraId="0600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12" w:type="pct"/>
            <w:vAlign w:val="center"/>
          </w:tcPr>
          <w:p w14:paraId="0739FDC9">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1</w:t>
            </w:r>
          </w:p>
        </w:tc>
        <w:tc>
          <w:tcPr>
            <w:tcW w:w="1448" w:type="pct"/>
            <w:shd w:val="clear" w:color="auto" w:fill="auto"/>
            <w:vAlign w:val="center"/>
          </w:tcPr>
          <w:p w14:paraId="1A3E57E6">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92#汽油</w:t>
            </w:r>
          </w:p>
        </w:tc>
        <w:tc>
          <w:tcPr>
            <w:tcW w:w="1045" w:type="pct"/>
            <w:shd w:val="clear" w:color="auto" w:fill="auto"/>
            <w:vAlign w:val="center"/>
          </w:tcPr>
          <w:p w14:paraId="292FAF6F">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19.44</w:t>
            </w:r>
          </w:p>
        </w:tc>
        <w:tc>
          <w:tcPr>
            <w:tcW w:w="911" w:type="pct"/>
            <w:vAlign w:val="center"/>
          </w:tcPr>
          <w:p w14:paraId="0B4E2C05">
            <w:pPr>
              <w:jc w:val="center"/>
              <w:rPr>
                <w:strike w:val="0"/>
                <w:dstrike w:val="0"/>
                <w:color w:val="auto"/>
                <w:szCs w:val="21"/>
                <w:highlight w:val="none"/>
              </w:rPr>
            </w:pPr>
            <w:r>
              <w:rPr>
                <w:rFonts w:hint="eastAsia"/>
                <w:strike w:val="0"/>
                <w:dstrike w:val="0"/>
                <w:color w:val="auto"/>
                <w:szCs w:val="21"/>
                <w:highlight w:val="none"/>
              </w:rPr>
              <w:t>2500</w:t>
            </w:r>
          </w:p>
        </w:tc>
        <w:tc>
          <w:tcPr>
            <w:tcW w:w="982" w:type="pct"/>
            <w:vAlign w:val="center"/>
          </w:tcPr>
          <w:p w14:paraId="13AD3BE6">
            <w:pPr>
              <w:jc w:val="center"/>
              <w:rPr>
                <w:strike w:val="0"/>
                <w:dstrike w:val="0"/>
                <w:color w:val="auto"/>
                <w:szCs w:val="21"/>
                <w:highlight w:val="none"/>
              </w:rPr>
            </w:pPr>
            <w:r>
              <w:rPr>
                <w:rFonts w:hint="eastAsia"/>
                <w:strike w:val="0"/>
                <w:dstrike w:val="0"/>
                <w:color w:val="auto"/>
                <w:szCs w:val="21"/>
                <w:highlight w:val="none"/>
              </w:rPr>
              <w:t xml:space="preserve">0.0078 </w:t>
            </w:r>
          </w:p>
        </w:tc>
      </w:tr>
      <w:tr w14:paraId="5ECD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12" w:type="pct"/>
            <w:vAlign w:val="center"/>
          </w:tcPr>
          <w:p w14:paraId="60DE6254">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2</w:t>
            </w:r>
          </w:p>
        </w:tc>
        <w:tc>
          <w:tcPr>
            <w:tcW w:w="1448" w:type="pct"/>
            <w:shd w:val="clear" w:color="auto" w:fill="auto"/>
            <w:vAlign w:val="center"/>
          </w:tcPr>
          <w:p w14:paraId="3980F31C">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95#汽油</w:t>
            </w:r>
          </w:p>
        </w:tc>
        <w:tc>
          <w:tcPr>
            <w:tcW w:w="1045" w:type="pct"/>
            <w:shd w:val="clear" w:color="auto" w:fill="auto"/>
            <w:vAlign w:val="center"/>
          </w:tcPr>
          <w:p w14:paraId="52665273">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19.58</w:t>
            </w:r>
          </w:p>
        </w:tc>
        <w:tc>
          <w:tcPr>
            <w:tcW w:w="911" w:type="pct"/>
            <w:vAlign w:val="center"/>
          </w:tcPr>
          <w:p w14:paraId="3B82490B">
            <w:pPr>
              <w:jc w:val="center"/>
              <w:rPr>
                <w:strike w:val="0"/>
                <w:dstrike w:val="0"/>
                <w:color w:val="auto"/>
                <w:szCs w:val="21"/>
                <w:highlight w:val="none"/>
              </w:rPr>
            </w:pPr>
            <w:r>
              <w:rPr>
                <w:rFonts w:hint="eastAsia"/>
                <w:strike w:val="0"/>
                <w:dstrike w:val="0"/>
                <w:color w:val="auto"/>
                <w:szCs w:val="21"/>
                <w:highlight w:val="none"/>
              </w:rPr>
              <w:t>2500</w:t>
            </w:r>
          </w:p>
        </w:tc>
        <w:tc>
          <w:tcPr>
            <w:tcW w:w="982" w:type="pct"/>
            <w:vAlign w:val="center"/>
          </w:tcPr>
          <w:p w14:paraId="59F48F6E">
            <w:pPr>
              <w:jc w:val="center"/>
              <w:rPr>
                <w:strike w:val="0"/>
                <w:dstrike w:val="0"/>
                <w:color w:val="auto"/>
                <w:szCs w:val="21"/>
                <w:highlight w:val="none"/>
              </w:rPr>
            </w:pPr>
            <w:r>
              <w:rPr>
                <w:rFonts w:hint="eastAsia"/>
                <w:strike w:val="0"/>
                <w:dstrike w:val="0"/>
                <w:color w:val="auto"/>
                <w:szCs w:val="21"/>
                <w:highlight w:val="none"/>
              </w:rPr>
              <w:t xml:space="preserve">0.0078 </w:t>
            </w:r>
          </w:p>
        </w:tc>
      </w:tr>
      <w:tr w14:paraId="730D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12" w:type="pct"/>
            <w:vAlign w:val="center"/>
          </w:tcPr>
          <w:p w14:paraId="1183A521">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3</w:t>
            </w:r>
          </w:p>
        </w:tc>
        <w:tc>
          <w:tcPr>
            <w:tcW w:w="1448" w:type="pct"/>
            <w:shd w:val="clear" w:color="auto" w:fill="auto"/>
            <w:vAlign w:val="center"/>
          </w:tcPr>
          <w:p w14:paraId="4BF6F4ED">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0#柴油</w:t>
            </w:r>
          </w:p>
        </w:tc>
        <w:tc>
          <w:tcPr>
            <w:tcW w:w="1045" w:type="pct"/>
            <w:shd w:val="clear" w:color="auto" w:fill="auto"/>
            <w:vAlign w:val="center"/>
          </w:tcPr>
          <w:p w14:paraId="48F84FEE">
            <w:pPr>
              <w:pStyle w:val="43"/>
              <w:kinsoku w:val="0"/>
              <w:overflowPunct w:val="0"/>
              <w:autoSpaceDE/>
              <w:autoSpaceDN/>
              <w:adjustRightInd/>
              <w:jc w:val="center"/>
              <w:rPr>
                <w:strike w:val="0"/>
                <w:dstrike w:val="0"/>
                <w:color w:val="auto"/>
                <w:sz w:val="21"/>
                <w:szCs w:val="21"/>
                <w:highlight w:val="none"/>
              </w:rPr>
            </w:pPr>
            <w:r>
              <w:rPr>
                <w:strike w:val="0"/>
                <w:dstrike w:val="0"/>
                <w:color w:val="auto"/>
                <w:sz w:val="21"/>
                <w:szCs w:val="21"/>
                <w:highlight w:val="none"/>
              </w:rPr>
              <w:t>45.09</w:t>
            </w:r>
          </w:p>
        </w:tc>
        <w:tc>
          <w:tcPr>
            <w:tcW w:w="911" w:type="pct"/>
            <w:vAlign w:val="center"/>
          </w:tcPr>
          <w:p w14:paraId="5443A50C">
            <w:pPr>
              <w:jc w:val="center"/>
              <w:rPr>
                <w:strike w:val="0"/>
                <w:dstrike w:val="0"/>
                <w:color w:val="auto"/>
                <w:szCs w:val="21"/>
                <w:highlight w:val="none"/>
              </w:rPr>
            </w:pPr>
            <w:r>
              <w:rPr>
                <w:rFonts w:hint="eastAsia"/>
                <w:strike w:val="0"/>
                <w:dstrike w:val="0"/>
                <w:color w:val="auto"/>
                <w:szCs w:val="21"/>
                <w:highlight w:val="none"/>
              </w:rPr>
              <w:t>2500</w:t>
            </w:r>
          </w:p>
        </w:tc>
        <w:tc>
          <w:tcPr>
            <w:tcW w:w="982" w:type="pct"/>
            <w:vAlign w:val="center"/>
          </w:tcPr>
          <w:p w14:paraId="02B973C6">
            <w:pPr>
              <w:jc w:val="center"/>
              <w:rPr>
                <w:strike w:val="0"/>
                <w:dstrike w:val="0"/>
                <w:color w:val="auto"/>
                <w:szCs w:val="21"/>
                <w:highlight w:val="none"/>
              </w:rPr>
            </w:pPr>
            <w:r>
              <w:rPr>
                <w:rFonts w:hint="eastAsia"/>
                <w:strike w:val="0"/>
                <w:dstrike w:val="0"/>
                <w:color w:val="auto"/>
                <w:szCs w:val="21"/>
                <w:highlight w:val="none"/>
              </w:rPr>
              <w:t xml:space="preserve">0.0180 </w:t>
            </w:r>
          </w:p>
        </w:tc>
      </w:tr>
      <w:tr w14:paraId="7218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pct"/>
            <w:vAlign w:val="center"/>
          </w:tcPr>
          <w:p w14:paraId="52482595">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4</w:t>
            </w:r>
          </w:p>
        </w:tc>
        <w:tc>
          <w:tcPr>
            <w:tcW w:w="1448" w:type="pct"/>
            <w:shd w:val="clear" w:color="auto" w:fill="auto"/>
            <w:vAlign w:val="center"/>
          </w:tcPr>
          <w:p w14:paraId="6AD3956A">
            <w:pPr>
              <w:jc w:val="center"/>
              <w:rPr>
                <w:strike w:val="0"/>
                <w:dstrike w:val="0"/>
                <w:color w:val="auto"/>
                <w:szCs w:val="21"/>
                <w:highlight w:val="none"/>
              </w:rPr>
            </w:pPr>
            <w:r>
              <w:rPr>
                <w:strike w:val="0"/>
                <w:dstrike w:val="0"/>
                <w:color w:val="auto"/>
                <w:szCs w:val="21"/>
                <w:highlight w:val="none"/>
              </w:rPr>
              <w:t>甲烷</w:t>
            </w:r>
          </w:p>
        </w:tc>
        <w:tc>
          <w:tcPr>
            <w:tcW w:w="1045" w:type="pct"/>
            <w:shd w:val="clear" w:color="auto" w:fill="auto"/>
            <w:vAlign w:val="center"/>
          </w:tcPr>
          <w:p w14:paraId="1F9358B7">
            <w:pPr>
              <w:pStyle w:val="43"/>
              <w:kinsoku w:val="0"/>
              <w:overflowPunct w:val="0"/>
              <w:autoSpaceDE/>
              <w:autoSpaceDN/>
              <w:adjustRightInd/>
              <w:jc w:val="center"/>
              <w:rPr>
                <w:strike w:val="0"/>
                <w:dstrike w:val="0"/>
                <w:color w:val="auto"/>
                <w:kern w:val="2"/>
                <w:sz w:val="21"/>
                <w:szCs w:val="21"/>
                <w:highlight w:val="none"/>
              </w:rPr>
            </w:pPr>
            <w:r>
              <w:rPr>
                <w:rFonts w:hint="eastAsia"/>
                <w:strike w:val="0"/>
                <w:dstrike w:val="0"/>
                <w:color w:val="auto"/>
                <w:sz w:val="21"/>
                <w:szCs w:val="21"/>
                <w:highlight w:val="none"/>
              </w:rPr>
              <w:t>23.32</w:t>
            </w:r>
          </w:p>
        </w:tc>
        <w:tc>
          <w:tcPr>
            <w:tcW w:w="911" w:type="pct"/>
            <w:vAlign w:val="center"/>
          </w:tcPr>
          <w:p w14:paraId="2A9CC249">
            <w:pPr>
              <w:pStyle w:val="48"/>
              <w:spacing w:line="240" w:lineRule="auto"/>
              <w:rPr>
                <w:rFonts w:ascii="Times New Roman" w:hAnsi="Times New Roman"/>
                <w:strike w:val="0"/>
                <w:dstrike w:val="0"/>
                <w:snapToGrid w:val="0"/>
                <w:color w:val="auto"/>
                <w:sz w:val="21"/>
                <w:szCs w:val="21"/>
                <w:highlight w:val="none"/>
              </w:rPr>
            </w:pPr>
            <w:r>
              <w:rPr>
                <w:rFonts w:hint="eastAsia" w:ascii="Times New Roman" w:hAnsi="Times New Roman"/>
                <w:strike w:val="0"/>
                <w:dstrike w:val="0"/>
                <w:snapToGrid w:val="0"/>
                <w:color w:val="auto"/>
                <w:sz w:val="21"/>
                <w:szCs w:val="21"/>
                <w:highlight w:val="none"/>
              </w:rPr>
              <w:t>10</w:t>
            </w:r>
          </w:p>
        </w:tc>
        <w:tc>
          <w:tcPr>
            <w:tcW w:w="982" w:type="pct"/>
            <w:vAlign w:val="center"/>
          </w:tcPr>
          <w:p w14:paraId="2BF41F85">
            <w:pPr>
              <w:jc w:val="center"/>
              <w:rPr>
                <w:strike w:val="0"/>
                <w:dstrike w:val="0"/>
                <w:color w:val="auto"/>
                <w:szCs w:val="21"/>
                <w:highlight w:val="none"/>
              </w:rPr>
            </w:pPr>
            <w:r>
              <w:rPr>
                <w:rFonts w:hint="eastAsia"/>
                <w:strike w:val="0"/>
                <w:dstrike w:val="0"/>
                <w:color w:val="auto"/>
                <w:szCs w:val="21"/>
                <w:highlight w:val="none"/>
              </w:rPr>
              <w:t xml:space="preserve">2.3320 </w:t>
            </w:r>
          </w:p>
        </w:tc>
      </w:tr>
      <w:tr w14:paraId="0327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12" w:type="pct"/>
            <w:vAlign w:val="center"/>
          </w:tcPr>
          <w:p w14:paraId="47EF0CCD">
            <w:pPr>
              <w:widowControl/>
              <w:jc w:val="center"/>
              <w:textAlignment w:val="center"/>
              <w:rPr>
                <w:strike w:val="0"/>
                <w:dstrike w:val="0"/>
                <w:color w:val="auto"/>
                <w:kern w:val="0"/>
                <w:szCs w:val="21"/>
                <w:highlight w:val="none"/>
                <w:lang w:bidi="ar"/>
              </w:rPr>
            </w:pPr>
            <w:r>
              <w:rPr>
                <w:strike w:val="0"/>
                <w:dstrike w:val="0"/>
                <w:color w:val="auto"/>
                <w:kern w:val="0"/>
                <w:szCs w:val="21"/>
                <w:highlight w:val="none"/>
                <w:lang w:bidi="ar"/>
              </w:rPr>
              <w:t>5</w:t>
            </w:r>
          </w:p>
        </w:tc>
        <w:tc>
          <w:tcPr>
            <w:tcW w:w="1448" w:type="pct"/>
            <w:shd w:val="clear" w:color="auto" w:fill="FFFFFF"/>
            <w:vAlign w:val="center"/>
          </w:tcPr>
          <w:p w14:paraId="347D359C">
            <w:pPr>
              <w:widowControl/>
              <w:jc w:val="center"/>
              <w:textAlignment w:val="center"/>
              <w:rPr>
                <w:strike w:val="0"/>
                <w:dstrike w:val="0"/>
                <w:color w:val="auto"/>
                <w:szCs w:val="21"/>
                <w:highlight w:val="none"/>
              </w:rPr>
            </w:pPr>
            <w:r>
              <w:rPr>
                <w:rFonts w:hint="eastAsia"/>
                <w:strike w:val="0"/>
                <w:dstrike w:val="0"/>
                <w:color w:val="auto"/>
                <w:szCs w:val="21"/>
                <w:highlight w:val="none"/>
              </w:rPr>
              <w:t>废空压机油</w:t>
            </w:r>
          </w:p>
        </w:tc>
        <w:tc>
          <w:tcPr>
            <w:tcW w:w="1045" w:type="pct"/>
            <w:shd w:val="clear" w:color="auto" w:fill="FFFFFF"/>
            <w:vAlign w:val="center"/>
          </w:tcPr>
          <w:p w14:paraId="3F4306B7">
            <w:pPr>
              <w:widowControl/>
              <w:jc w:val="center"/>
              <w:textAlignment w:val="center"/>
              <w:rPr>
                <w:strike w:val="0"/>
                <w:dstrike w:val="0"/>
                <w:color w:val="auto"/>
                <w:kern w:val="0"/>
                <w:szCs w:val="21"/>
                <w:highlight w:val="none"/>
                <w:lang w:bidi="ar"/>
              </w:rPr>
            </w:pPr>
            <w:r>
              <w:rPr>
                <w:rFonts w:hint="eastAsia"/>
                <w:bCs/>
                <w:strike w:val="0"/>
                <w:dstrike w:val="0"/>
                <w:color w:val="auto"/>
                <w:spacing w:val="-10"/>
                <w:szCs w:val="21"/>
                <w:highlight w:val="none"/>
              </w:rPr>
              <w:t>0.08</w:t>
            </w:r>
          </w:p>
        </w:tc>
        <w:tc>
          <w:tcPr>
            <w:tcW w:w="911" w:type="pct"/>
            <w:vAlign w:val="center"/>
          </w:tcPr>
          <w:p w14:paraId="6889ABAE">
            <w:pPr>
              <w:jc w:val="center"/>
              <w:rPr>
                <w:strike w:val="0"/>
                <w:dstrike w:val="0"/>
                <w:color w:val="auto"/>
                <w:szCs w:val="21"/>
                <w:highlight w:val="none"/>
              </w:rPr>
            </w:pPr>
            <w:r>
              <w:rPr>
                <w:rFonts w:hint="eastAsia"/>
                <w:strike w:val="0"/>
                <w:dstrike w:val="0"/>
                <w:color w:val="auto"/>
                <w:szCs w:val="21"/>
                <w:highlight w:val="none"/>
              </w:rPr>
              <w:t>2500</w:t>
            </w:r>
          </w:p>
        </w:tc>
        <w:tc>
          <w:tcPr>
            <w:tcW w:w="982" w:type="pct"/>
            <w:vAlign w:val="center"/>
          </w:tcPr>
          <w:p w14:paraId="134B1AE4">
            <w:pPr>
              <w:jc w:val="center"/>
              <w:rPr>
                <w:strike w:val="0"/>
                <w:dstrike w:val="0"/>
                <w:color w:val="auto"/>
                <w:szCs w:val="21"/>
                <w:highlight w:val="none"/>
              </w:rPr>
            </w:pPr>
            <w:r>
              <w:rPr>
                <w:rFonts w:hint="eastAsia"/>
                <w:strike w:val="0"/>
                <w:dstrike w:val="0"/>
                <w:color w:val="auto"/>
                <w:szCs w:val="21"/>
                <w:highlight w:val="none"/>
              </w:rPr>
              <w:t xml:space="preserve">0.00003 </w:t>
            </w:r>
          </w:p>
        </w:tc>
      </w:tr>
      <w:tr w14:paraId="1EF9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017" w:type="pct"/>
            <w:gridSpan w:val="4"/>
            <w:vAlign w:val="center"/>
          </w:tcPr>
          <w:p w14:paraId="056E75CE">
            <w:pPr>
              <w:pStyle w:val="48"/>
              <w:spacing w:line="240" w:lineRule="auto"/>
              <w:rPr>
                <w:rFonts w:ascii="Times New Roman" w:hAnsi="Times New Roman"/>
                <w:strike w:val="0"/>
                <w:dstrike w:val="0"/>
                <w:snapToGrid w:val="0"/>
                <w:color w:val="auto"/>
                <w:sz w:val="21"/>
                <w:szCs w:val="21"/>
                <w:highlight w:val="none"/>
              </w:rPr>
            </w:pPr>
            <w:r>
              <w:rPr>
                <w:rFonts w:ascii="Times New Roman" w:hAnsi="Times New Roman"/>
                <w:strike w:val="0"/>
                <w:dstrike w:val="0"/>
                <w:snapToGrid w:val="0"/>
                <w:color w:val="auto"/>
                <w:sz w:val="21"/>
                <w:szCs w:val="21"/>
                <w:highlight w:val="none"/>
              </w:rPr>
              <w:t>合计</w:t>
            </w:r>
          </w:p>
        </w:tc>
        <w:tc>
          <w:tcPr>
            <w:tcW w:w="982" w:type="pct"/>
            <w:vAlign w:val="center"/>
          </w:tcPr>
          <w:p w14:paraId="42142AB9">
            <w:pPr>
              <w:jc w:val="center"/>
              <w:rPr>
                <w:strike w:val="0"/>
                <w:dstrike w:val="0"/>
                <w:color w:val="auto"/>
                <w:szCs w:val="21"/>
                <w:highlight w:val="none"/>
              </w:rPr>
            </w:pPr>
            <w:r>
              <w:rPr>
                <w:rFonts w:hint="eastAsia"/>
                <w:strike w:val="0"/>
                <w:dstrike w:val="0"/>
                <w:color w:val="auto"/>
                <w:szCs w:val="21"/>
                <w:highlight w:val="none"/>
              </w:rPr>
              <w:t xml:space="preserve">2.36568 </w:t>
            </w:r>
          </w:p>
        </w:tc>
      </w:tr>
    </w:tbl>
    <w:p w14:paraId="6AF86EC5">
      <w:pPr>
        <w:ind w:firstLine="420" w:firstLineChars="200"/>
        <w:contextualSpacing/>
        <w:rPr>
          <w:rFonts w:hint="eastAsia"/>
          <w:bCs/>
          <w:strike w:val="0"/>
          <w:dstrike w:val="0"/>
          <w:color w:val="auto"/>
          <w:spacing w:val="-10"/>
          <w:szCs w:val="21"/>
          <w:highlight w:val="none"/>
          <w:lang w:eastAsia="zh-CN"/>
        </w:rPr>
      </w:pPr>
      <w:r>
        <w:rPr>
          <w:rFonts w:hint="eastAsia"/>
          <w:strike w:val="0"/>
          <w:dstrike w:val="0"/>
          <w:color w:val="auto"/>
          <w:kern w:val="0"/>
          <w:szCs w:val="21"/>
          <w:highlight w:val="none"/>
        </w:rPr>
        <w:t>注：</w:t>
      </w:r>
      <w:r>
        <w:rPr>
          <w:rFonts w:hint="eastAsia"/>
          <w:strike w:val="0"/>
          <w:dstrike w:val="0"/>
          <w:color w:val="auto"/>
          <w:kern w:val="0"/>
          <w:szCs w:val="21"/>
          <w:highlight w:val="none"/>
          <w:lang w:val="en-US" w:eastAsia="zh-CN"/>
        </w:rPr>
        <w:t>1、</w:t>
      </w:r>
      <w:r>
        <w:rPr>
          <w:rFonts w:hint="eastAsia"/>
          <w:strike w:val="0"/>
          <w:dstrike w:val="0"/>
          <w:color w:val="auto"/>
          <w:kern w:val="0"/>
          <w:szCs w:val="21"/>
          <w:highlight w:val="none"/>
        </w:rPr>
        <w:t>临界量均取自</w:t>
      </w:r>
      <w:r>
        <w:rPr>
          <w:bCs/>
          <w:strike w:val="0"/>
          <w:dstrike w:val="0"/>
          <w:color w:val="auto"/>
          <w:spacing w:val="-10"/>
          <w:szCs w:val="21"/>
          <w:highlight w:val="none"/>
        </w:rPr>
        <w:t>《建设项目环境风险评价技术导则》（HJ169-2018）</w:t>
      </w:r>
      <w:r>
        <w:rPr>
          <w:rFonts w:hint="eastAsia"/>
          <w:bCs/>
          <w:strike w:val="0"/>
          <w:dstrike w:val="0"/>
          <w:color w:val="auto"/>
          <w:spacing w:val="-10"/>
          <w:szCs w:val="21"/>
          <w:highlight w:val="none"/>
          <w:lang w:eastAsia="zh-CN"/>
        </w:rPr>
        <w:t>。</w:t>
      </w:r>
    </w:p>
    <w:p w14:paraId="5F48C818">
      <w:pPr>
        <w:keepNext w:val="0"/>
        <w:keepLines w:val="0"/>
        <w:pageBreakBefore w:val="0"/>
        <w:widowControl w:val="0"/>
        <w:kinsoku/>
        <w:wordWrap/>
        <w:overflowPunct/>
        <w:topLinePunct w:val="0"/>
        <w:autoSpaceDE/>
        <w:autoSpaceDN/>
        <w:bidi w:val="0"/>
        <w:adjustRightInd/>
        <w:snapToGrid/>
        <w:ind w:firstLine="760" w:firstLineChars="400"/>
        <w:contextualSpacing/>
        <w:textAlignment w:val="auto"/>
        <w:rPr>
          <w:rFonts w:hint="default" w:ascii="Times New Roman" w:hAnsi="Times New Roman" w:cs="Times New Roman"/>
          <w:strike w:val="0"/>
          <w:dstrike w:val="0"/>
          <w:color w:val="auto"/>
          <w:sz w:val="21"/>
          <w:szCs w:val="21"/>
          <w:highlight w:val="none"/>
        </w:rPr>
      </w:pPr>
      <w:r>
        <w:rPr>
          <w:rFonts w:hint="default" w:ascii="Times New Roman" w:hAnsi="Times New Roman" w:cs="Times New Roman"/>
          <w:bCs/>
          <w:strike w:val="0"/>
          <w:dstrike w:val="0"/>
          <w:color w:val="auto"/>
          <w:spacing w:val="-10"/>
          <w:sz w:val="21"/>
          <w:szCs w:val="21"/>
          <w:highlight w:val="none"/>
          <w:lang w:val="en-US" w:eastAsia="zh-CN"/>
        </w:rPr>
        <w:t>2、甲烷临界量计算如下：</w:t>
      </w:r>
      <w:r>
        <w:rPr>
          <w:rFonts w:hint="default" w:ascii="Times New Roman" w:hAnsi="Times New Roman" w:cs="Times New Roman"/>
          <w:strike w:val="0"/>
          <w:dstrike w:val="0"/>
          <w:color w:val="auto"/>
          <w:sz w:val="21"/>
          <w:szCs w:val="21"/>
          <w:highlight w:val="none"/>
        </w:rPr>
        <w:t>根据组分表中甲烷占天然气的</w:t>
      </w:r>
      <w:r>
        <w:rPr>
          <w:rFonts w:hint="eastAsia" w:cs="Times New Roman"/>
          <w:strike w:val="0"/>
          <w:dstrike w:val="0"/>
          <w:color w:val="auto"/>
          <w:sz w:val="21"/>
          <w:szCs w:val="21"/>
          <w:highlight w:val="none"/>
          <w:lang w:val="en-US" w:eastAsia="zh-CN"/>
        </w:rPr>
        <w:t>比例为</w:t>
      </w:r>
      <w:r>
        <w:rPr>
          <w:rFonts w:hint="default" w:ascii="Times New Roman" w:hAnsi="Times New Roman" w:cs="Times New Roman"/>
          <w:strike w:val="0"/>
          <w:dstrike w:val="0"/>
          <w:color w:val="auto"/>
          <w:sz w:val="21"/>
          <w:szCs w:val="21"/>
          <w:highlight w:val="none"/>
        </w:rPr>
        <w:t>95.97%</w:t>
      </w:r>
      <w:r>
        <w:rPr>
          <w:rFonts w:hint="default" w:ascii="Times New Roman" w:hAnsi="Times New Roman" w:cs="Times New Roman"/>
          <w:bCs/>
          <w:strike w:val="0"/>
          <w:dstrike w:val="0"/>
          <w:color w:val="auto"/>
          <w:spacing w:val="-10"/>
          <w:sz w:val="21"/>
          <w:szCs w:val="21"/>
          <w:highlight w:val="none"/>
          <w:lang w:val="en-US" w:eastAsia="zh-CN"/>
        </w:rPr>
        <w:t>，</w:t>
      </w:r>
      <w:r>
        <w:rPr>
          <w:rFonts w:hint="eastAsia" w:cs="Times New Roman"/>
          <w:bCs/>
          <w:strike w:val="0"/>
          <w:dstrike w:val="0"/>
          <w:color w:val="auto"/>
          <w:spacing w:val="-10"/>
          <w:sz w:val="21"/>
          <w:szCs w:val="21"/>
          <w:highlight w:val="none"/>
          <w:lang w:val="en-US" w:eastAsia="zh-CN"/>
        </w:rPr>
        <w:t>天然气最大存储量为24.30t，则</w:t>
      </w:r>
      <w:r>
        <w:rPr>
          <w:rFonts w:hint="default" w:ascii="Times New Roman" w:hAnsi="Times New Roman" w:cs="Times New Roman"/>
          <w:bCs/>
          <w:strike w:val="0"/>
          <w:dstrike w:val="0"/>
          <w:color w:val="auto"/>
          <w:spacing w:val="-10"/>
          <w:sz w:val="21"/>
          <w:szCs w:val="21"/>
          <w:highlight w:val="none"/>
          <w:lang w:val="en-US" w:eastAsia="zh-CN"/>
        </w:rPr>
        <w:t>甲烷折纯后最大存储量/在线量为24.30t×</w:t>
      </w:r>
      <w:r>
        <w:rPr>
          <w:rFonts w:hint="default" w:ascii="Times New Roman" w:hAnsi="Times New Roman" w:cs="Times New Roman"/>
          <w:strike w:val="0"/>
          <w:dstrike w:val="0"/>
          <w:color w:val="auto"/>
          <w:sz w:val="21"/>
          <w:szCs w:val="21"/>
          <w:highlight w:val="none"/>
        </w:rPr>
        <w:t>95.97%</w:t>
      </w:r>
      <w:r>
        <w:rPr>
          <w:rFonts w:hint="default" w:ascii="Times New Roman" w:hAnsi="Times New Roman" w:cs="Times New Roman"/>
          <w:strike w:val="0"/>
          <w:dstrike w:val="0"/>
          <w:color w:val="auto"/>
          <w:kern w:val="0"/>
          <w:sz w:val="21"/>
          <w:szCs w:val="21"/>
          <w:highlight w:val="none"/>
        </w:rPr>
        <w:t>≈</w:t>
      </w:r>
      <w:r>
        <w:rPr>
          <w:rFonts w:hint="default" w:ascii="Times New Roman" w:hAnsi="Times New Roman" w:cs="Times New Roman"/>
          <w:bCs/>
          <w:strike w:val="0"/>
          <w:dstrike w:val="0"/>
          <w:color w:val="auto"/>
          <w:spacing w:val="-10"/>
          <w:sz w:val="21"/>
          <w:szCs w:val="21"/>
          <w:highlight w:val="none"/>
          <w:lang w:val="en-US" w:eastAsia="zh-CN"/>
        </w:rPr>
        <w:t>23.32t</w:t>
      </w:r>
      <w:r>
        <w:rPr>
          <w:rFonts w:hint="default" w:ascii="Times New Roman" w:hAnsi="Times New Roman" w:cs="Times New Roman"/>
          <w:bCs/>
          <w:strike w:val="0"/>
          <w:dstrike w:val="0"/>
          <w:color w:val="auto"/>
          <w:spacing w:val="-10"/>
          <w:sz w:val="21"/>
          <w:szCs w:val="21"/>
          <w:highlight w:val="none"/>
        </w:rPr>
        <w:t>。</w:t>
      </w:r>
    </w:p>
    <w:p w14:paraId="4E2C8B72">
      <w:pPr>
        <w:spacing w:line="360" w:lineRule="auto"/>
        <w:ind w:firstLine="480" w:firstLineChars="200"/>
        <w:rPr>
          <w:strike w:val="0"/>
          <w:dstrike w:val="0"/>
          <w:color w:val="auto"/>
          <w:sz w:val="24"/>
          <w:highlight w:val="none"/>
        </w:rPr>
      </w:pPr>
      <w:r>
        <w:rPr>
          <w:strike w:val="0"/>
          <w:dstrike w:val="0"/>
          <w:color w:val="auto"/>
          <w:sz w:val="24"/>
          <w:highlight w:val="none"/>
        </w:rPr>
        <w:t>本项目</w:t>
      </w:r>
      <w:r>
        <w:rPr>
          <w:strike w:val="0"/>
          <w:dstrike w:val="0"/>
          <w:color w:val="auto"/>
          <w:kern w:val="0"/>
          <w:sz w:val="24"/>
          <w:highlight w:val="none"/>
        </w:rPr>
        <w:t>Q≈</w:t>
      </w:r>
      <w:r>
        <w:rPr>
          <w:rFonts w:hint="eastAsia"/>
          <w:strike w:val="0"/>
          <w:dstrike w:val="0"/>
          <w:color w:val="auto"/>
          <w:kern w:val="0"/>
          <w:sz w:val="24"/>
          <w:highlight w:val="none"/>
          <w:lang w:bidi="ar"/>
        </w:rPr>
        <w:t>2.36568</w:t>
      </w:r>
      <w:r>
        <w:rPr>
          <w:rFonts w:hint="eastAsia"/>
          <w:strike w:val="0"/>
          <w:dstrike w:val="0"/>
          <w:color w:val="auto"/>
          <w:kern w:val="0"/>
          <w:sz w:val="24"/>
          <w:highlight w:val="none"/>
        </w:rPr>
        <w:t>，</w:t>
      </w:r>
      <w:r>
        <w:rPr>
          <w:strike w:val="0"/>
          <w:dstrike w:val="0"/>
          <w:color w:val="auto"/>
          <w:sz w:val="24"/>
          <w:highlight w:val="none"/>
        </w:rPr>
        <w:t>则1≤Q＜10。</w:t>
      </w:r>
    </w:p>
    <w:p w14:paraId="46FED5A1">
      <w:pPr>
        <w:spacing w:line="360" w:lineRule="auto"/>
        <w:ind w:firstLine="480" w:firstLineChars="200"/>
        <w:rPr>
          <w:strike w:val="0"/>
          <w:dstrike w:val="0"/>
          <w:color w:val="auto"/>
          <w:sz w:val="24"/>
          <w:highlight w:val="none"/>
        </w:rPr>
      </w:pPr>
      <w:r>
        <w:rPr>
          <w:strike w:val="0"/>
          <w:dstrike w:val="0"/>
          <w:color w:val="auto"/>
          <w:sz w:val="24"/>
          <w:highlight w:val="none"/>
        </w:rPr>
        <w:t>2、行业及生产工艺特点（M）值确定</w:t>
      </w:r>
    </w:p>
    <w:p w14:paraId="4EF373EC">
      <w:pPr>
        <w:spacing w:line="360" w:lineRule="auto"/>
        <w:ind w:firstLine="480" w:firstLineChars="200"/>
        <w:rPr>
          <w:strike w:val="0"/>
          <w:dstrike w:val="0"/>
          <w:color w:val="auto"/>
          <w:sz w:val="24"/>
          <w:highlight w:val="none"/>
        </w:rPr>
      </w:pPr>
      <w:r>
        <w:rPr>
          <w:strike w:val="0"/>
          <w:dstrike w:val="0"/>
          <w:color w:val="auto"/>
          <w:sz w:val="24"/>
          <w:highlight w:val="none"/>
        </w:rPr>
        <w:t>根据项目所属行业及生产工艺特点，按照风险导则附录C中的表C.1进行M值确定。生产系统危险性识别，包括主要生产装置、储运设施、公用工程和辅助生产设施，以及环境保护设施等。具有多套工艺单元的项目，对每套生产工艺分别评分并求和，将M划分为(1)M＞20；(2)10＜M≤20；(3)5＜M≤10；(4)M＝5。行业及生产工艺评估依据见</w:t>
      </w:r>
      <w:r>
        <w:rPr>
          <w:rFonts w:hint="eastAsia"/>
          <w:strike w:val="0"/>
          <w:dstrike w:val="0"/>
          <w:color w:val="auto"/>
          <w:sz w:val="24"/>
          <w:highlight w:val="none"/>
        </w:rPr>
        <w:t>表3.1-4</w:t>
      </w:r>
      <w:r>
        <w:rPr>
          <w:strike w:val="0"/>
          <w:dstrike w:val="0"/>
          <w:color w:val="auto"/>
          <w:sz w:val="24"/>
          <w:highlight w:val="none"/>
        </w:rPr>
        <w:t>，行业及生产工艺M值划分过程见下表。</w:t>
      </w:r>
    </w:p>
    <w:p w14:paraId="2E6FE8C7">
      <w:pPr>
        <w:spacing w:line="360" w:lineRule="auto"/>
        <w:jc w:val="center"/>
        <w:rPr>
          <w:b/>
          <w:bCs/>
          <w:strike w:val="0"/>
          <w:dstrike w:val="0"/>
          <w:color w:val="auto"/>
          <w:sz w:val="24"/>
          <w:highlight w:val="none"/>
        </w:rPr>
      </w:pPr>
      <w:r>
        <w:rPr>
          <w:rFonts w:hint="eastAsia"/>
          <w:b/>
          <w:bCs/>
          <w:strike w:val="0"/>
          <w:dstrike w:val="0"/>
          <w:color w:val="auto"/>
          <w:sz w:val="24"/>
          <w:highlight w:val="none"/>
        </w:rPr>
        <w:t>表3.1-4</w:t>
      </w:r>
      <w:r>
        <w:rPr>
          <w:b/>
          <w:bCs/>
          <w:strike w:val="0"/>
          <w:dstrike w:val="0"/>
          <w:color w:val="auto"/>
          <w:sz w:val="24"/>
          <w:highlight w:val="none"/>
        </w:rPr>
        <w:t>行业及生产工艺（M）</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4980"/>
        <w:gridCol w:w="967"/>
        <w:gridCol w:w="1220"/>
        <w:gridCol w:w="666"/>
      </w:tblGrid>
      <w:tr w14:paraId="0122A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14:paraId="1D70F8EC">
            <w:pPr>
              <w:jc w:val="center"/>
              <w:rPr>
                <w:strike w:val="0"/>
                <w:dstrike w:val="0"/>
                <w:color w:val="auto"/>
                <w:szCs w:val="21"/>
                <w:highlight w:val="none"/>
              </w:rPr>
            </w:pPr>
            <w:r>
              <w:rPr>
                <w:strike w:val="0"/>
                <w:dstrike w:val="0"/>
                <w:color w:val="auto"/>
                <w:szCs w:val="21"/>
                <w:highlight w:val="none"/>
              </w:rPr>
              <w:t>行业</w:t>
            </w:r>
          </w:p>
        </w:tc>
        <w:tc>
          <w:tcPr>
            <w:tcW w:w="4980" w:type="dxa"/>
            <w:vAlign w:val="center"/>
          </w:tcPr>
          <w:p w14:paraId="412A9B9A">
            <w:pPr>
              <w:jc w:val="center"/>
              <w:rPr>
                <w:strike w:val="0"/>
                <w:dstrike w:val="0"/>
                <w:color w:val="auto"/>
                <w:szCs w:val="21"/>
                <w:highlight w:val="none"/>
              </w:rPr>
            </w:pPr>
            <w:r>
              <w:rPr>
                <w:strike w:val="0"/>
                <w:dstrike w:val="0"/>
                <w:color w:val="auto"/>
                <w:szCs w:val="21"/>
                <w:highlight w:val="none"/>
              </w:rPr>
              <w:t>评估依据</w:t>
            </w:r>
          </w:p>
        </w:tc>
        <w:tc>
          <w:tcPr>
            <w:tcW w:w="967" w:type="dxa"/>
            <w:vAlign w:val="center"/>
          </w:tcPr>
          <w:p w14:paraId="28E6E656">
            <w:pPr>
              <w:jc w:val="center"/>
              <w:rPr>
                <w:strike w:val="0"/>
                <w:dstrike w:val="0"/>
                <w:color w:val="auto"/>
                <w:szCs w:val="21"/>
                <w:highlight w:val="none"/>
              </w:rPr>
            </w:pPr>
            <w:r>
              <w:rPr>
                <w:strike w:val="0"/>
                <w:dstrike w:val="0"/>
                <w:color w:val="auto"/>
                <w:szCs w:val="21"/>
                <w:highlight w:val="none"/>
              </w:rPr>
              <w:t>分值</w:t>
            </w:r>
          </w:p>
        </w:tc>
        <w:tc>
          <w:tcPr>
            <w:tcW w:w="1220" w:type="dxa"/>
            <w:vAlign w:val="center"/>
          </w:tcPr>
          <w:p w14:paraId="65FB10A7">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本项目情况</w:t>
            </w:r>
          </w:p>
        </w:tc>
        <w:tc>
          <w:tcPr>
            <w:tcW w:w="666" w:type="dxa"/>
            <w:vAlign w:val="center"/>
          </w:tcPr>
          <w:p w14:paraId="6266B88D">
            <w:pPr>
              <w:jc w:val="center"/>
              <w:rPr>
                <w:rFonts w:hint="default"/>
                <w:strike w:val="0"/>
                <w:dstrike w:val="0"/>
                <w:color w:val="auto"/>
                <w:szCs w:val="21"/>
                <w:highlight w:val="none"/>
                <w:lang w:val="en-US" w:eastAsia="zh-CN"/>
              </w:rPr>
            </w:pPr>
            <w:r>
              <w:rPr>
                <w:rFonts w:hint="eastAsia"/>
                <w:strike w:val="0"/>
                <w:dstrike w:val="0"/>
                <w:color w:val="auto"/>
                <w:szCs w:val="21"/>
                <w:highlight w:val="none"/>
                <w:lang w:val="en-US" w:eastAsia="zh-CN"/>
              </w:rPr>
              <w:t>本项目得分</w:t>
            </w:r>
          </w:p>
        </w:tc>
      </w:tr>
      <w:tr w14:paraId="78CD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Merge w:val="restart"/>
            <w:vAlign w:val="center"/>
          </w:tcPr>
          <w:p w14:paraId="4898DAE9">
            <w:pPr>
              <w:jc w:val="center"/>
              <w:rPr>
                <w:strike w:val="0"/>
                <w:dstrike w:val="0"/>
                <w:color w:val="auto"/>
                <w:szCs w:val="21"/>
                <w:highlight w:val="none"/>
              </w:rPr>
            </w:pPr>
            <w:r>
              <w:rPr>
                <w:strike w:val="0"/>
                <w:dstrike w:val="0"/>
                <w:color w:val="auto"/>
                <w:szCs w:val="21"/>
                <w:highlight w:val="none"/>
              </w:rPr>
              <w:t>石化、化工、医药、轻工、化纤、有色冶炼等</w:t>
            </w:r>
          </w:p>
        </w:tc>
        <w:tc>
          <w:tcPr>
            <w:tcW w:w="4980" w:type="dxa"/>
            <w:vAlign w:val="center"/>
          </w:tcPr>
          <w:p w14:paraId="112A85CA">
            <w:pPr>
              <w:jc w:val="center"/>
              <w:rPr>
                <w:strike w:val="0"/>
                <w:dstrike w:val="0"/>
                <w:color w:val="auto"/>
                <w:szCs w:val="21"/>
                <w:highlight w:val="none"/>
              </w:rPr>
            </w:pPr>
            <w:r>
              <w:rPr>
                <w:strike w:val="0"/>
                <w:dstrike w:val="0"/>
                <w:color w:val="auto"/>
                <w:szCs w:val="21"/>
                <w:highlight w:val="none"/>
              </w:rPr>
              <w:t>涉及光气及光气化工艺、电解工艺（氯碱）、氯化工艺、硝化工艺、合成氨工艺、裂解（裂化）工艺、氟化工艺、加氢工艺、重氮化工艺、氧化工艺、过氧化工艺、氨基化工艺、磺化工艺、聚合工艺、烷基化工艺、新型煤化工工艺、电石工艺、偶氮化工艺</w:t>
            </w:r>
          </w:p>
        </w:tc>
        <w:tc>
          <w:tcPr>
            <w:tcW w:w="967" w:type="dxa"/>
            <w:vAlign w:val="center"/>
          </w:tcPr>
          <w:p w14:paraId="2B0D5E3F">
            <w:pPr>
              <w:jc w:val="center"/>
              <w:rPr>
                <w:strike w:val="0"/>
                <w:dstrike w:val="0"/>
                <w:color w:val="auto"/>
                <w:szCs w:val="21"/>
                <w:highlight w:val="none"/>
              </w:rPr>
            </w:pPr>
            <w:r>
              <w:rPr>
                <w:strike w:val="0"/>
                <w:dstrike w:val="0"/>
                <w:color w:val="auto"/>
                <w:szCs w:val="21"/>
                <w:highlight w:val="none"/>
              </w:rPr>
              <w:t>10/套</w:t>
            </w:r>
          </w:p>
        </w:tc>
        <w:tc>
          <w:tcPr>
            <w:tcW w:w="1220" w:type="dxa"/>
            <w:shd w:val="clear" w:color="auto" w:fill="auto"/>
            <w:vAlign w:val="center"/>
          </w:tcPr>
          <w:p w14:paraId="10992A53">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不涉及</w:t>
            </w:r>
          </w:p>
        </w:tc>
        <w:tc>
          <w:tcPr>
            <w:tcW w:w="666" w:type="dxa"/>
            <w:shd w:val="clear" w:color="auto" w:fill="auto"/>
            <w:vAlign w:val="center"/>
          </w:tcPr>
          <w:p w14:paraId="54301632">
            <w:pPr>
              <w:jc w:val="center"/>
              <w:rPr>
                <w:rFonts w:hint="default"/>
                <w:strike w:val="0"/>
                <w:dstrike w:val="0"/>
                <w:color w:val="auto"/>
                <w:szCs w:val="21"/>
                <w:highlight w:val="none"/>
                <w:lang w:val="en-US" w:eastAsia="zh-CN"/>
              </w:rPr>
            </w:pPr>
            <w:r>
              <w:rPr>
                <w:rFonts w:hint="eastAsia"/>
                <w:strike w:val="0"/>
                <w:dstrike w:val="0"/>
                <w:color w:val="auto"/>
                <w:szCs w:val="21"/>
                <w:highlight w:val="none"/>
                <w:lang w:val="en-US" w:eastAsia="zh-CN"/>
              </w:rPr>
              <w:t>0</w:t>
            </w:r>
          </w:p>
        </w:tc>
      </w:tr>
      <w:tr w14:paraId="6CF7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Merge w:val="continue"/>
            <w:vAlign w:val="center"/>
          </w:tcPr>
          <w:p w14:paraId="0350BB6F">
            <w:pPr>
              <w:jc w:val="center"/>
              <w:rPr>
                <w:strike w:val="0"/>
                <w:dstrike w:val="0"/>
                <w:color w:val="auto"/>
                <w:szCs w:val="21"/>
                <w:highlight w:val="none"/>
              </w:rPr>
            </w:pPr>
          </w:p>
        </w:tc>
        <w:tc>
          <w:tcPr>
            <w:tcW w:w="4980" w:type="dxa"/>
            <w:vAlign w:val="center"/>
          </w:tcPr>
          <w:p w14:paraId="166E0FEF">
            <w:pPr>
              <w:jc w:val="center"/>
              <w:rPr>
                <w:strike w:val="0"/>
                <w:dstrike w:val="0"/>
                <w:color w:val="auto"/>
                <w:szCs w:val="21"/>
                <w:highlight w:val="none"/>
              </w:rPr>
            </w:pPr>
            <w:r>
              <w:rPr>
                <w:strike w:val="0"/>
                <w:dstrike w:val="0"/>
                <w:color w:val="auto"/>
                <w:szCs w:val="21"/>
                <w:highlight w:val="none"/>
              </w:rPr>
              <w:t>无机酸制酸工艺、焦化工艺</w:t>
            </w:r>
          </w:p>
        </w:tc>
        <w:tc>
          <w:tcPr>
            <w:tcW w:w="967" w:type="dxa"/>
            <w:vAlign w:val="center"/>
          </w:tcPr>
          <w:p w14:paraId="1BB56EE9">
            <w:pPr>
              <w:jc w:val="center"/>
              <w:rPr>
                <w:strike w:val="0"/>
                <w:dstrike w:val="0"/>
                <w:color w:val="auto"/>
                <w:szCs w:val="21"/>
                <w:highlight w:val="none"/>
              </w:rPr>
            </w:pPr>
            <w:r>
              <w:rPr>
                <w:strike w:val="0"/>
                <w:dstrike w:val="0"/>
                <w:color w:val="auto"/>
                <w:szCs w:val="21"/>
                <w:highlight w:val="none"/>
              </w:rPr>
              <w:t>5/套</w:t>
            </w:r>
          </w:p>
        </w:tc>
        <w:tc>
          <w:tcPr>
            <w:tcW w:w="1220" w:type="dxa"/>
            <w:shd w:val="clear" w:color="auto" w:fill="auto"/>
            <w:vAlign w:val="center"/>
          </w:tcPr>
          <w:p w14:paraId="7EB9CA96">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不涉及</w:t>
            </w:r>
          </w:p>
        </w:tc>
        <w:tc>
          <w:tcPr>
            <w:tcW w:w="666" w:type="dxa"/>
            <w:shd w:val="clear" w:color="auto" w:fill="auto"/>
            <w:vAlign w:val="center"/>
          </w:tcPr>
          <w:p w14:paraId="3CA04390">
            <w:pPr>
              <w:jc w:val="center"/>
              <w:rPr>
                <w:rFonts w:hint="default"/>
                <w:strike w:val="0"/>
                <w:dstrike w:val="0"/>
                <w:color w:val="auto"/>
                <w:szCs w:val="21"/>
                <w:highlight w:val="none"/>
                <w:lang w:val="en-US" w:eastAsia="zh-CN"/>
              </w:rPr>
            </w:pPr>
            <w:r>
              <w:rPr>
                <w:rFonts w:hint="eastAsia"/>
                <w:strike w:val="0"/>
                <w:dstrike w:val="0"/>
                <w:color w:val="auto"/>
                <w:szCs w:val="21"/>
                <w:highlight w:val="none"/>
                <w:lang w:val="en-US" w:eastAsia="zh-CN"/>
              </w:rPr>
              <w:t>0</w:t>
            </w:r>
          </w:p>
        </w:tc>
      </w:tr>
      <w:tr w14:paraId="1786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Merge w:val="continue"/>
            <w:vAlign w:val="center"/>
          </w:tcPr>
          <w:p w14:paraId="5C92DF2C">
            <w:pPr>
              <w:jc w:val="center"/>
              <w:rPr>
                <w:strike w:val="0"/>
                <w:dstrike w:val="0"/>
                <w:color w:val="auto"/>
                <w:szCs w:val="21"/>
                <w:highlight w:val="none"/>
              </w:rPr>
            </w:pPr>
          </w:p>
        </w:tc>
        <w:tc>
          <w:tcPr>
            <w:tcW w:w="4980" w:type="dxa"/>
            <w:vAlign w:val="center"/>
          </w:tcPr>
          <w:p w14:paraId="1F5C01E4">
            <w:pPr>
              <w:jc w:val="center"/>
              <w:rPr>
                <w:strike w:val="0"/>
                <w:dstrike w:val="0"/>
                <w:color w:val="auto"/>
                <w:szCs w:val="21"/>
                <w:highlight w:val="none"/>
              </w:rPr>
            </w:pPr>
            <w:r>
              <w:rPr>
                <w:strike w:val="0"/>
                <w:dstrike w:val="0"/>
                <w:color w:val="auto"/>
                <w:szCs w:val="21"/>
                <w:highlight w:val="none"/>
              </w:rPr>
              <w:t>其他高温或高压、且涉及危险物质的工艺过程</w:t>
            </w:r>
            <w:r>
              <w:rPr>
                <w:strike w:val="0"/>
                <w:dstrike w:val="0"/>
                <w:color w:val="auto"/>
                <w:szCs w:val="21"/>
                <w:highlight w:val="none"/>
                <w:vertAlign w:val="superscript"/>
              </w:rPr>
              <w:t>a</w:t>
            </w:r>
            <w:r>
              <w:rPr>
                <w:strike w:val="0"/>
                <w:dstrike w:val="0"/>
                <w:color w:val="auto"/>
                <w:szCs w:val="21"/>
                <w:highlight w:val="none"/>
              </w:rPr>
              <w:t>，危险物质储存罐区</w:t>
            </w:r>
          </w:p>
        </w:tc>
        <w:tc>
          <w:tcPr>
            <w:tcW w:w="967" w:type="dxa"/>
            <w:vAlign w:val="center"/>
          </w:tcPr>
          <w:p w14:paraId="532FFAE1">
            <w:pPr>
              <w:jc w:val="center"/>
              <w:rPr>
                <w:strike w:val="0"/>
                <w:dstrike w:val="0"/>
                <w:color w:val="auto"/>
                <w:szCs w:val="21"/>
                <w:highlight w:val="none"/>
              </w:rPr>
            </w:pPr>
            <w:r>
              <w:rPr>
                <w:strike w:val="0"/>
                <w:dstrike w:val="0"/>
                <w:color w:val="auto"/>
                <w:szCs w:val="21"/>
                <w:highlight w:val="none"/>
              </w:rPr>
              <w:t>5/套</w:t>
            </w:r>
          </w:p>
          <w:p w14:paraId="13BDBDE7">
            <w:pPr>
              <w:jc w:val="center"/>
              <w:rPr>
                <w:strike w:val="0"/>
                <w:dstrike w:val="0"/>
                <w:color w:val="auto"/>
                <w:szCs w:val="21"/>
                <w:highlight w:val="none"/>
              </w:rPr>
            </w:pPr>
            <w:r>
              <w:rPr>
                <w:strike w:val="0"/>
                <w:dstrike w:val="0"/>
                <w:color w:val="auto"/>
                <w:szCs w:val="21"/>
                <w:highlight w:val="none"/>
              </w:rPr>
              <w:t>（罐区）</w:t>
            </w:r>
          </w:p>
        </w:tc>
        <w:tc>
          <w:tcPr>
            <w:tcW w:w="1220" w:type="dxa"/>
            <w:shd w:val="clear" w:color="auto" w:fill="auto"/>
            <w:vAlign w:val="center"/>
          </w:tcPr>
          <w:p w14:paraId="58B130E0">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不涉及</w:t>
            </w:r>
          </w:p>
        </w:tc>
        <w:tc>
          <w:tcPr>
            <w:tcW w:w="666" w:type="dxa"/>
            <w:vAlign w:val="center"/>
          </w:tcPr>
          <w:p w14:paraId="6ED2081E">
            <w:pPr>
              <w:jc w:val="center"/>
              <w:rPr>
                <w:rFonts w:hint="default"/>
                <w:strike w:val="0"/>
                <w:dstrike w:val="0"/>
                <w:color w:val="auto"/>
                <w:szCs w:val="21"/>
                <w:highlight w:val="none"/>
                <w:lang w:val="en-US" w:eastAsia="zh-CN"/>
              </w:rPr>
            </w:pPr>
            <w:r>
              <w:rPr>
                <w:rFonts w:hint="eastAsia"/>
                <w:strike w:val="0"/>
                <w:dstrike w:val="0"/>
                <w:color w:val="auto"/>
                <w:szCs w:val="21"/>
                <w:highlight w:val="none"/>
                <w:lang w:val="en-US" w:eastAsia="zh-CN"/>
              </w:rPr>
              <w:t>10</w:t>
            </w:r>
          </w:p>
        </w:tc>
      </w:tr>
      <w:tr w14:paraId="65BF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14:paraId="6A51F71B">
            <w:pPr>
              <w:jc w:val="center"/>
              <w:rPr>
                <w:strike w:val="0"/>
                <w:dstrike w:val="0"/>
                <w:color w:val="auto"/>
                <w:szCs w:val="21"/>
                <w:highlight w:val="none"/>
              </w:rPr>
            </w:pPr>
            <w:r>
              <w:rPr>
                <w:strike w:val="0"/>
                <w:dstrike w:val="0"/>
                <w:color w:val="auto"/>
                <w:szCs w:val="21"/>
                <w:highlight w:val="none"/>
              </w:rPr>
              <w:t>管道、港口/码头等</w:t>
            </w:r>
          </w:p>
        </w:tc>
        <w:tc>
          <w:tcPr>
            <w:tcW w:w="4980" w:type="dxa"/>
            <w:vAlign w:val="center"/>
          </w:tcPr>
          <w:p w14:paraId="245B19C4">
            <w:pPr>
              <w:jc w:val="center"/>
              <w:rPr>
                <w:strike w:val="0"/>
                <w:dstrike w:val="0"/>
                <w:color w:val="auto"/>
                <w:szCs w:val="21"/>
                <w:highlight w:val="none"/>
              </w:rPr>
            </w:pPr>
            <w:r>
              <w:rPr>
                <w:strike w:val="0"/>
                <w:dstrike w:val="0"/>
                <w:color w:val="auto"/>
                <w:szCs w:val="21"/>
                <w:highlight w:val="none"/>
              </w:rPr>
              <w:t>涉及危险物质管道运输项目、港口/码头等</w:t>
            </w:r>
          </w:p>
        </w:tc>
        <w:tc>
          <w:tcPr>
            <w:tcW w:w="967" w:type="dxa"/>
            <w:vAlign w:val="center"/>
          </w:tcPr>
          <w:p w14:paraId="556C7D91">
            <w:pPr>
              <w:jc w:val="center"/>
              <w:rPr>
                <w:strike w:val="0"/>
                <w:dstrike w:val="0"/>
                <w:color w:val="auto"/>
                <w:szCs w:val="21"/>
                <w:highlight w:val="none"/>
              </w:rPr>
            </w:pPr>
            <w:r>
              <w:rPr>
                <w:strike w:val="0"/>
                <w:dstrike w:val="0"/>
                <w:color w:val="auto"/>
                <w:szCs w:val="21"/>
                <w:highlight w:val="none"/>
              </w:rPr>
              <w:t>10</w:t>
            </w:r>
          </w:p>
        </w:tc>
        <w:tc>
          <w:tcPr>
            <w:tcW w:w="1220" w:type="dxa"/>
            <w:vAlign w:val="center"/>
          </w:tcPr>
          <w:p w14:paraId="401FE0F4">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不涉及</w:t>
            </w:r>
          </w:p>
        </w:tc>
        <w:tc>
          <w:tcPr>
            <w:tcW w:w="666" w:type="dxa"/>
            <w:vAlign w:val="center"/>
          </w:tcPr>
          <w:p w14:paraId="2F1A9279">
            <w:pPr>
              <w:jc w:val="center"/>
              <w:rPr>
                <w:rFonts w:hint="default"/>
                <w:strike w:val="0"/>
                <w:dstrike w:val="0"/>
                <w:color w:val="auto"/>
                <w:szCs w:val="21"/>
                <w:highlight w:val="none"/>
                <w:lang w:val="en-US" w:eastAsia="zh-CN"/>
              </w:rPr>
            </w:pPr>
            <w:r>
              <w:rPr>
                <w:rFonts w:hint="eastAsia"/>
                <w:strike w:val="0"/>
                <w:dstrike w:val="0"/>
                <w:color w:val="auto"/>
                <w:szCs w:val="21"/>
                <w:highlight w:val="none"/>
                <w:lang w:val="en-US" w:eastAsia="zh-CN"/>
              </w:rPr>
              <w:t>0</w:t>
            </w:r>
          </w:p>
        </w:tc>
      </w:tr>
      <w:tr w14:paraId="27C5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14:paraId="2A92238A">
            <w:pPr>
              <w:jc w:val="center"/>
              <w:rPr>
                <w:strike w:val="0"/>
                <w:dstrike w:val="0"/>
                <w:color w:val="auto"/>
                <w:szCs w:val="21"/>
                <w:highlight w:val="none"/>
              </w:rPr>
            </w:pPr>
            <w:r>
              <w:rPr>
                <w:strike w:val="0"/>
                <w:dstrike w:val="0"/>
                <w:color w:val="auto"/>
                <w:szCs w:val="21"/>
                <w:highlight w:val="none"/>
              </w:rPr>
              <w:t>石油天然气</w:t>
            </w:r>
          </w:p>
        </w:tc>
        <w:tc>
          <w:tcPr>
            <w:tcW w:w="4980" w:type="dxa"/>
            <w:vAlign w:val="center"/>
          </w:tcPr>
          <w:p w14:paraId="79D768B0">
            <w:pPr>
              <w:jc w:val="center"/>
              <w:rPr>
                <w:strike w:val="0"/>
                <w:dstrike w:val="0"/>
                <w:color w:val="auto"/>
                <w:szCs w:val="21"/>
                <w:highlight w:val="none"/>
              </w:rPr>
            </w:pPr>
            <w:r>
              <w:rPr>
                <w:strike w:val="0"/>
                <w:dstrike w:val="0"/>
                <w:color w:val="auto"/>
                <w:szCs w:val="21"/>
                <w:highlight w:val="none"/>
              </w:rPr>
              <w:t>石油、天然气、页岩气开采（含净化），气库（不含加气站的气库），油库（不含加气站的油库）、油气管线b（不含城镇燃气管线）</w:t>
            </w:r>
          </w:p>
        </w:tc>
        <w:tc>
          <w:tcPr>
            <w:tcW w:w="967" w:type="dxa"/>
            <w:vAlign w:val="center"/>
          </w:tcPr>
          <w:p w14:paraId="4FE041DB">
            <w:pPr>
              <w:jc w:val="center"/>
              <w:rPr>
                <w:strike w:val="0"/>
                <w:dstrike w:val="0"/>
                <w:color w:val="auto"/>
                <w:szCs w:val="21"/>
                <w:highlight w:val="none"/>
              </w:rPr>
            </w:pPr>
            <w:r>
              <w:rPr>
                <w:strike w:val="0"/>
                <w:dstrike w:val="0"/>
                <w:color w:val="auto"/>
                <w:szCs w:val="21"/>
                <w:highlight w:val="none"/>
              </w:rPr>
              <w:t>10</w:t>
            </w:r>
          </w:p>
        </w:tc>
        <w:tc>
          <w:tcPr>
            <w:tcW w:w="1220" w:type="dxa"/>
            <w:shd w:val="clear" w:color="auto" w:fill="auto"/>
            <w:vAlign w:val="center"/>
          </w:tcPr>
          <w:p w14:paraId="68C8B49C">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不涉及</w:t>
            </w:r>
          </w:p>
        </w:tc>
        <w:tc>
          <w:tcPr>
            <w:tcW w:w="666" w:type="dxa"/>
            <w:shd w:val="clear" w:color="auto" w:fill="auto"/>
            <w:vAlign w:val="center"/>
          </w:tcPr>
          <w:p w14:paraId="24020C5B">
            <w:pPr>
              <w:jc w:val="center"/>
              <w:rPr>
                <w:rFonts w:hint="default"/>
                <w:strike w:val="0"/>
                <w:dstrike w:val="0"/>
                <w:color w:val="auto"/>
                <w:szCs w:val="21"/>
                <w:highlight w:val="none"/>
                <w:lang w:val="en-US" w:eastAsia="zh-CN"/>
              </w:rPr>
            </w:pPr>
            <w:r>
              <w:rPr>
                <w:rFonts w:hint="eastAsia"/>
                <w:strike w:val="0"/>
                <w:dstrike w:val="0"/>
                <w:color w:val="auto"/>
                <w:szCs w:val="21"/>
                <w:highlight w:val="none"/>
                <w:lang w:val="en-US" w:eastAsia="zh-CN"/>
              </w:rPr>
              <w:t>0</w:t>
            </w:r>
          </w:p>
        </w:tc>
      </w:tr>
      <w:tr w14:paraId="7638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14:paraId="0CD57ABB">
            <w:pPr>
              <w:jc w:val="center"/>
              <w:rPr>
                <w:strike w:val="0"/>
                <w:dstrike w:val="0"/>
                <w:color w:val="auto"/>
                <w:szCs w:val="21"/>
                <w:highlight w:val="none"/>
              </w:rPr>
            </w:pPr>
            <w:r>
              <w:rPr>
                <w:strike w:val="0"/>
                <w:dstrike w:val="0"/>
                <w:color w:val="auto"/>
                <w:szCs w:val="21"/>
                <w:highlight w:val="none"/>
              </w:rPr>
              <w:t>其他</w:t>
            </w:r>
          </w:p>
        </w:tc>
        <w:tc>
          <w:tcPr>
            <w:tcW w:w="4980" w:type="dxa"/>
            <w:vAlign w:val="center"/>
          </w:tcPr>
          <w:p w14:paraId="5956EA20">
            <w:pPr>
              <w:jc w:val="center"/>
              <w:rPr>
                <w:strike w:val="0"/>
                <w:dstrike w:val="0"/>
                <w:color w:val="auto"/>
                <w:szCs w:val="21"/>
                <w:highlight w:val="none"/>
              </w:rPr>
            </w:pPr>
            <w:r>
              <w:rPr>
                <w:strike w:val="0"/>
                <w:dstrike w:val="0"/>
                <w:color w:val="auto"/>
                <w:szCs w:val="21"/>
                <w:highlight w:val="none"/>
              </w:rPr>
              <w:t>涉及危险物质使用、贮存的项目</w:t>
            </w:r>
          </w:p>
        </w:tc>
        <w:tc>
          <w:tcPr>
            <w:tcW w:w="967" w:type="dxa"/>
            <w:vAlign w:val="center"/>
          </w:tcPr>
          <w:p w14:paraId="1FEDE1E1">
            <w:pPr>
              <w:jc w:val="center"/>
              <w:rPr>
                <w:strike w:val="0"/>
                <w:dstrike w:val="0"/>
                <w:color w:val="auto"/>
                <w:szCs w:val="21"/>
                <w:highlight w:val="none"/>
              </w:rPr>
            </w:pPr>
            <w:r>
              <w:rPr>
                <w:strike w:val="0"/>
                <w:dstrike w:val="0"/>
                <w:color w:val="auto"/>
                <w:szCs w:val="21"/>
                <w:highlight w:val="none"/>
              </w:rPr>
              <w:t>5</w:t>
            </w:r>
          </w:p>
        </w:tc>
        <w:tc>
          <w:tcPr>
            <w:tcW w:w="1220" w:type="dxa"/>
            <w:shd w:val="clear" w:color="auto" w:fill="auto"/>
            <w:vAlign w:val="center"/>
          </w:tcPr>
          <w:p w14:paraId="68E247AE">
            <w:pPr>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涉及</w:t>
            </w:r>
            <w:r>
              <w:rPr>
                <w:strike w:val="0"/>
                <w:dstrike w:val="0"/>
                <w:color w:val="auto"/>
                <w:szCs w:val="21"/>
                <w:highlight w:val="none"/>
              </w:rPr>
              <w:t>汽油、柴油</w:t>
            </w:r>
            <w:r>
              <w:rPr>
                <w:rFonts w:hint="eastAsia"/>
                <w:strike w:val="0"/>
                <w:dstrike w:val="0"/>
                <w:color w:val="auto"/>
                <w:szCs w:val="21"/>
                <w:highlight w:val="none"/>
                <w:lang w:val="en-US" w:eastAsia="zh-CN"/>
              </w:rPr>
              <w:t>储罐</w:t>
            </w:r>
            <w:r>
              <w:rPr>
                <w:strike w:val="0"/>
                <w:dstrike w:val="0"/>
                <w:color w:val="auto"/>
                <w:szCs w:val="21"/>
                <w:highlight w:val="none"/>
              </w:rPr>
              <w:t>、LNG储罐</w:t>
            </w:r>
          </w:p>
        </w:tc>
        <w:tc>
          <w:tcPr>
            <w:tcW w:w="666" w:type="dxa"/>
            <w:vAlign w:val="center"/>
          </w:tcPr>
          <w:p w14:paraId="29308AF7">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5</w:t>
            </w:r>
          </w:p>
        </w:tc>
      </w:tr>
      <w:tr w14:paraId="5D98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1" w:type="dxa"/>
            <w:gridSpan w:val="4"/>
            <w:vAlign w:val="center"/>
          </w:tcPr>
          <w:p w14:paraId="6FF2F619">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合计</w:t>
            </w:r>
          </w:p>
        </w:tc>
        <w:tc>
          <w:tcPr>
            <w:tcW w:w="666" w:type="dxa"/>
            <w:vAlign w:val="center"/>
          </w:tcPr>
          <w:p w14:paraId="5B632E50">
            <w:pPr>
              <w:jc w:val="center"/>
              <w:rPr>
                <w:rFonts w:hint="default"/>
                <w:strike w:val="0"/>
                <w:dstrike w:val="0"/>
                <w:color w:val="auto"/>
                <w:szCs w:val="21"/>
                <w:highlight w:val="none"/>
                <w:lang w:val="en-US" w:eastAsia="zh-CN"/>
              </w:rPr>
            </w:pPr>
            <w:r>
              <w:rPr>
                <w:rFonts w:hint="eastAsia"/>
                <w:strike w:val="0"/>
                <w:dstrike w:val="0"/>
                <w:color w:val="auto"/>
                <w:szCs w:val="21"/>
                <w:highlight w:val="none"/>
                <w:lang w:val="en-US" w:eastAsia="zh-CN"/>
              </w:rPr>
              <w:t>5</w:t>
            </w:r>
          </w:p>
        </w:tc>
      </w:tr>
      <w:tr w14:paraId="28C0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7" w:type="dxa"/>
            <w:gridSpan w:val="5"/>
            <w:vAlign w:val="center"/>
          </w:tcPr>
          <w:p w14:paraId="547A11F9">
            <w:pPr>
              <w:rPr>
                <w:strike w:val="0"/>
                <w:dstrike w:val="0"/>
                <w:color w:val="auto"/>
                <w:szCs w:val="21"/>
                <w:highlight w:val="none"/>
              </w:rPr>
            </w:pPr>
            <w:r>
              <w:rPr>
                <w:strike w:val="0"/>
                <w:dstrike w:val="0"/>
                <w:color w:val="auto"/>
                <w:szCs w:val="21"/>
                <w:highlight w:val="none"/>
              </w:rPr>
              <w:t>a高温指工艺温度2300℃，高压指压力容器设计压力（P）210.0MPa</w:t>
            </w:r>
          </w:p>
          <w:p w14:paraId="3A410310">
            <w:pPr>
              <w:rPr>
                <w:strike w:val="0"/>
                <w:dstrike w:val="0"/>
                <w:color w:val="auto"/>
                <w:szCs w:val="21"/>
                <w:highlight w:val="none"/>
              </w:rPr>
            </w:pPr>
            <w:r>
              <w:rPr>
                <w:strike w:val="0"/>
                <w:dstrike w:val="0"/>
                <w:color w:val="auto"/>
                <w:szCs w:val="21"/>
                <w:highlight w:val="none"/>
              </w:rPr>
              <w:t>b长输管道运输项目应按站场、管线分段进行评价。</w:t>
            </w:r>
          </w:p>
        </w:tc>
      </w:tr>
    </w:tbl>
    <w:p w14:paraId="5BBD7047">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根据上表，本项目行业及生产工艺M值为</w:t>
      </w:r>
      <w:r>
        <w:rPr>
          <w:rFonts w:hint="eastAsia"/>
          <w:strike w:val="0"/>
          <w:dstrike w:val="0"/>
          <w:color w:val="auto"/>
          <w:sz w:val="24"/>
          <w:szCs w:val="32"/>
          <w:highlight w:val="none"/>
          <w:lang w:val="en-US" w:eastAsia="zh-CN"/>
        </w:rPr>
        <w:t>5</w:t>
      </w:r>
      <w:r>
        <w:rPr>
          <w:strike w:val="0"/>
          <w:dstrike w:val="0"/>
          <w:color w:val="auto"/>
          <w:sz w:val="24"/>
          <w:szCs w:val="32"/>
          <w:highlight w:val="none"/>
        </w:rPr>
        <w:t>，划分为M</w:t>
      </w:r>
      <w:r>
        <w:rPr>
          <w:rFonts w:hint="eastAsia"/>
          <w:strike w:val="0"/>
          <w:dstrike w:val="0"/>
          <w:color w:val="auto"/>
          <w:sz w:val="24"/>
          <w:szCs w:val="32"/>
          <w:highlight w:val="none"/>
          <w:lang w:val="en-US" w:eastAsia="zh-CN"/>
        </w:rPr>
        <w:t>4</w:t>
      </w:r>
      <w:r>
        <w:rPr>
          <w:strike w:val="0"/>
          <w:dstrike w:val="0"/>
          <w:color w:val="auto"/>
          <w:sz w:val="24"/>
          <w:szCs w:val="32"/>
          <w:highlight w:val="none"/>
        </w:rPr>
        <w:t>。</w:t>
      </w:r>
    </w:p>
    <w:p w14:paraId="15E19FB6">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3、危险物质及工艺系统危险性（P）等级判断</w:t>
      </w:r>
    </w:p>
    <w:p w14:paraId="511BCA05">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根据危险物质数量与临界量比值Q，以及行业及生产工艺M值，确定危险物质及工艺系统危险性等级（P），判断依据见下表。</w:t>
      </w:r>
    </w:p>
    <w:p w14:paraId="74E677D4">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表3.1</w:t>
      </w:r>
      <w:r>
        <w:rPr>
          <w:b/>
          <w:bCs/>
          <w:strike w:val="0"/>
          <w:dstrike w:val="0"/>
          <w:color w:val="auto"/>
          <w:sz w:val="24"/>
          <w:szCs w:val="32"/>
          <w:highlight w:val="none"/>
        </w:rPr>
        <w:t>-</w:t>
      </w:r>
      <w:r>
        <w:rPr>
          <w:rFonts w:hint="eastAsia"/>
          <w:b/>
          <w:bCs/>
          <w:strike w:val="0"/>
          <w:dstrike w:val="0"/>
          <w:color w:val="auto"/>
          <w:sz w:val="24"/>
          <w:szCs w:val="32"/>
          <w:highlight w:val="none"/>
          <w:lang w:val="en-US" w:eastAsia="zh-CN"/>
        </w:rPr>
        <w:t>5</w:t>
      </w:r>
      <w:r>
        <w:rPr>
          <w:b/>
          <w:bCs/>
          <w:strike w:val="0"/>
          <w:dstrike w:val="0"/>
          <w:color w:val="auto"/>
          <w:sz w:val="24"/>
          <w:szCs w:val="32"/>
          <w:highlight w:val="none"/>
        </w:rPr>
        <w:t xml:space="preserve"> </w:t>
      </w:r>
      <w:r>
        <w:rPr>
          <w:rFonts w:hint="eastAsia"/>
          <w:b/>
          <w:bCs/>
          <w:strike w:val="0"/>
          <w:dstrike w:val="0"/>
          <w:color w:val="auto"/>
          <w:sz w:val="24"/>
          <w:szCs w:val="32"/>
          <w:highlight w:val="none"/>
          <w:lang w:val="en-US" w:eastAsia="zh-CN"/>
        </w:rPr>
        <w:t xml:space="preserve"> </w:t>
      </w:r>
      <w:r>
        <w:rPr>
          <w:b/>
          <w:bCs/>
          <w:strike w:val="0"/>
          <w:dstrike w:val="0"/>
          <w:color w:val="auto"/>
          <w:sz w:val="24"/>
          <w:szCs w:val="32"/>
          <w:highlight w:val="none"/>
        </w:rPr>
        <w:t>危险物质及工艺系统危险性等级判断（P）</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6"/>
        <w:gridCol w:w="1356"/>
        <w:gridCol w:w="1356"/>
        <w:gridCol w:w="1356"/>
        <w:gridCol w:w="1356"/>
      </w:tblGrid>
      <w:tr w14:paraId="14A0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6" w:type="dxa"/>
            <w:vMerge w:val="restart"/>
            <w:vAlign w:val="center"/>
          </w:tcPr>
          <w:p w14:paraId="0D267C6C">
            <w:pPr>
              <w:jc w:val="center"/>
              <w:rPr>
                <w:strike w:val="0"/>
                <w:dstrike w:val="0"/>
                <w:color w:val="auto"/>
                <w:szCs w:val="21"/>
                <w:highlight w:val="none"/>
              </w:rPr>
            </w:pPr>
            <w:r>
              <w:rPr>
                <w:strike w:val="0"/>
                <w:dstrike w:val="0"/>
                <w:color w:val="auto"/>
                <w:szCs w:val="21"/>
                <w:highlight w:val="none"/>
              </w:rPr>
              <w:t>危险物质数量与临界量比值（Q）</w:t>
            </w:r>
          </w:p>
        </w:tc>
        <w:tc>
          <w:tcPr>
            <w:tcW w:w="5424" w:type="dxa"/>
            <w:gridSpan w:val="4"/>
            <w:vAlign w:val="center"/>
          </w:tcPr>
          <w:p w14:paraId="4DA7BD90">
            <w:pPr>
              <w:jc w:val="center"/>
              <w:rPr>
                <w:strike w:val="0"/>
                <w:dstrike w:val="0"/>
                <w:color w:val="auto"/>
                <w:szCs w:val="21"/>
                <w:highlight w:val="none"/>
              </w:rPr>
            </w:pPr>
            <w:r>
              <w:rPr>
                <w:strike w:val="0"/>
                <w:dstrike w:val="0"/>
                <w:color w:val="auto"/>
                <w:szCs w:val="21"/>
                <w:highlight w:val="none"/>
              </w:rPr>
              <w:t>行业及生产工艺（M）</w:t>
            </w:r>
          </w:p>
        </w:tc>
      </w:tr>
      <w:tr w14:paraId="52FA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6" w:type="dxa"/>
            <w:vMerge w:val="continue"/>
            <w:vAlign w:val="center"/>
          </w:tcPr>
          <w:p w14:paraId="6F870C67">
            <w:pPr>
              <w:jc w:val="center"/>
              <w:rPr>
                <w:strike w:val="0"/>
                <w:dstrike w:val="0"/>
                <w:color w:val="auto"/>
                <w:szCs w:val="21"/>
                <w:highlight w:val="none"/>
              </w:rPr>
            </w:pPr>
          </w:p>
        </w:tc>
        <w:tc>
          <w:tcPr>
            <w:tcW w:w="1356" w:type="dxa"/>
            <w:vAlign w:val="center"/>
          </w:tcPr>
          <w:p w14:paraId="3B76E827">
            <w:pPr>
              <w:jc w:val="center"/>
              <w:rPr>
                <w:strike w:val="0"/>
                <w:dstrike w:val="0"/>
                <w:color w:val="auto"/>
                <w:szCs w:val="21"/>
                <w:highlight w:val="none"/>
              </w:rPr>
            </w:pPr>
            <w:r>
              <w:rPr>
                <w:strike w:val="0"/>
                <w:dstrike w:val="0"/>
                <w:color w:val="auto"/>
                <w:szCs w:val="21"/>
                <w:highlight w:val="none"/>
              </w:rPr>
              <w:t>M1</w:t>
            </w:r>
          </w:p>
        </w:tc>
        <w:tc>
          <w:tcPr>
            <w:tcW w:w="1356" w:type="dxa"/>
            <w:vAlign w:val="center"/>
          </w:tcPr>
          <w:p w14:paraId="4C3B7723">
            <w:pPr>
              <w:jc w:val="center"/>
              <w:rPr>
                <w:strike w:val="0"/>
                <w:dstrike w:val="0"/>
                <w:color w:val="auto"/>
                <w:szCs w:val="21"/>
                <w:highlight w:val="none"/>
              </w:rPr>
            </w:pPr>
            <w:r>
              <w:rPr>
                <w:strike w:val="0"/>
                <w:dstrike w:val="0"/>
                <w:color w:val="auto"/>
                <w:szCs w:val="21"/>
                <w:highlight w:val="none"/>
              </w:rPr>
              <w:t>M2</w:t>
            </w:r>
          </w:p>
        </w:tc>
        <w:tc>
          <w:tcPr>
            <w:tcW w:w="1356" w:type="dxa"/>
            <w:vAlign w:val="center"/>
          </w:tcPr>
          <w:p w14:paraId="432E94A4">
            <w:pPr>
              <w:jc w:val="center"/>
              <w:rPr>
                <w:strike w:val="0"/>
                <w:dstrike w:val="0"/>
                <w:color w:val="auto"/>
                <w:szCs w:val="21"/>
                <w:highlight w:val="none"/>
              </w:rPr>
            </w:pPr>
            <w:r>
              <w:rPr>
                <w:strike w:val="0"/>
                <w:dstrike w:val="0"/>
                <w:color w:val="auto"/>
                <w:szCs w:val="21"/>
                <w:highlight w:val="none"/>
              </w:rPr>
              <w:t>M3</w:t>
            </w:r>
          </w:p>
        </w:tc>
        <w:tc>
          <w:tcPr>
            <w:tcW w:w="1356" w:type="dxa"/>
            <w:vAlign w:val="center"/>
          </w:tcPr>
          <w:p w14:paraId="0B41B269">
            <w:pPr>
              <w:jc w:val="center"/>
              <w:rPr>
                <w:strike w:val="0"/>
                <w:dstrike w:val="0"/>
                <w:color w:val="auto"/>
                <w:szCs w:val="21"/>
                <w:highlight w:val="none"/>
              </w:rPr>
            </w:pPr>
            <w:r>
              <w:rPr>
                <w:strike w:val="0"/>
                <w:dstrike w:val="0"/>
                <w:color w:val="auto"/>
                <w:szCs w:val="21"/>
                <w:highlight w:val="none"/>
              </w:rPr>
              <w:t>M4</w:t>
            </w:r>
          </w:p>
        </w:tc>
      </w:tr>
      <w:tr w14:paraId="4786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6" w:type="dxa"/>
            <w:vAlign w:val="center"/>
          </w:tcPr>
          <w:p w14:paraId="2960E13D">
            <w:pPr>
              <w:jc w:val="center"/>
              <w:rPr>
                <w:strike w:val="0"/>
                <w:dstrike w:val="0"/>
                <w:color w:val="auto"/>
                <w:szCs w:val="21"/>
                <w:highlight w:val="none"/>
              </w:rPr>
            </w:pPr>
            <w:r>
              <w:rPr>
                <w:strike w:val="0"/>
                <w:dstrike w:val="0"/>
                <w:color w:val="auto"/>
                <w:szCs w:val="21"/>
                <w:highlight w:val="none"/>
              </w:rPr>
              <w:t>Q≥100</w:t>
            </w:r>
          </w:p>
        </w:tc>
        <w:tc>
          <w:tcPr>
            <w:tcW w:w="1356" w:type="dxa"/>
            <w:vAlign w:val="center"/>
          </w:tcPr>
          <w:p w14:paraId="345A70FB">
            <w:pPr>
              <w:jc w:val="center"/>
              <w:rPr>
                <w:strike w:val="0"/>
                <w:dstrike w:val="0"/>
                <w:color w:val="auto"/>
                <w:szCs w:val="21"/>
                <w:highlight w:val="none"/>
              </w:rPr>
            </w:pPr>
            <w:r>
              <w:rPr>
                <w:strike w:val="0"/>
                <w:dstrike w:val="0"/>
                <w:color w:val="auto"/>
                <w:szCs w:val="21"/>
                <w:highlight w:val="none"/>
              </w:rPr>
              <w:t>P1</w:t>
            </w:r>
          </w:p>
        </w:tc>
        <w:tc>
          <w:tcPr>
            <w:tcW w:w="1356" w:type="dxa"/>
            <w:vAlign w:val="center"/>
          </w:tcPr>
          <w:p w14:paraId="7244CCD1">
            <w:pPr>
              <w:jc w:val="center"/>
              <w:rPr>
                <w:strike w:val="0"/>
                <w:dstrike w:val="0"/>
                <w:color w:val="auto"/>
                <w:szCs w:val="21"/>
                <w:highlight w:val="none"/>
              </w:rPr>
            </w:pPr>
            <w:r>
              <w:rPr>
                <w:strike w:val="0"/>
                <w:dstrike w:val="0"/>
                <w:color w:val="auto"/>
                <w:szCs w:val="21"/>
                <w:highlight w:val="none"/>
              </w:rPr>
              <w:t>P1</w:t>
            </w:r>
          </w:p>
        </w:tc>
        <w:tc>
          <w:tcPr>
            <w:tcW w:w="1356" w:type="dxa"/>
            <w:vAlign w:val="center"/>
          </w:tcPr>
          <w:p w14:paraId="7737C92D">
            <w:pPr>
              <w:jc w:val="center"/>
              <w:rPr>
                <w:strike w:val="0"/>
                <w:dstrike w:val="0"/>
                <w:color w:val="auto"/>
                <w:szCs w:val="21"/>
                <w:highlight w:val="none"/>
              </w:rPr>
            </w:pPr>
            <w:r>
              <w:rPr>
                <w:strike w:val="0"/>
                <w:dstrike w:val="0"/>
                <w:color w:val="auto"/>
                <w:szCs w:val="21"/>
                <w:highlight w:val="none"/>
              </w:rPr>
              <w:t>P2</w:t>
            </w:r>
          </w:p>
        </w:tc>
        <w:tc>
          <w:tcPr>
            <w:tcW w:w="1356" w:type="dxa"/>
            <w:vAlign w:val="center"/>
          </w:tcPr>
          <w:p w14:paraId="64969151">
            <w:pPr>
              <w:jc w:val="center"/>
              <w:rPr>
                <w:strike w:val="0"/>
                <w:dstrike w:val="0"/>
                <w:color w:val="auto"/>
                <w:szCs w:val="21"/>
                <w:highlight w:val="none"/>
              </w:rPr>
            </w:pPr>
            <w:r>
              <w:rPr>
                <w:strike w:val="0"/>
                <w:dstrike w:val="0"/>
                <w:color w:val="auto"/>
                <w:szCs w:val="21"/>
                <w:highlight w:val="none"/>
              </w:rPr>
              <w:t>P3</w:t>
            </w:r>
          </w:p>
        </w:tc>
      </w:tr>
      <w:tr w14:paraId="779A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6" w:type="dxa"/>
            <w:vAlign w:val="center"/>
          </w:tcPr>
          <w:p w14:paraId="2C4AFCF7">
            <w:pPr>
              <w:jc w:val="center"/>
              <w:rPr>
                <w:strike w:val="0"/>
                <w:dstrike w:val="0"/>
                <w:color w:val="auto"/>
                <w:szCs w:val="21"/>
                <w:highlight w:val="none"/>
              </w:rPr>
            </w:pPr>
            <w:r>
              <w:rPr>
                <w:strike w:val="0"/>
                <w:dstrike w:val="0"/>
                <w:color w:val="auto"/>
                <w:szCs w:val="21"/>
                <w:highlight w:val="none"/>
              </w:rPr>
              <w:t>10≤Q＜100</w:t>
            </w:r>
          </w:p>
        </w:tc>
        <w:tc>
          <w:tcPr>
            <w:tcW w:w="1356" w:type="dxa"/>
            <w:vAlign w:val="center"/>
          </w:tcPr>
          <w:p w14:paraId="0016D4FC">
            <w:pPr>
              <w:jc w:val="center"/>
              <w:rPr>
                <w:strike w:val="0"/>
                <w:dstrike w:val="0"/>
                <w:color w:val="auto"/>
                <w:szCs w:val="21"/>
                <w:highlight w:val="none"/>
              </w:rPr>
            </w:pPr>
            <w:r>
              <w:rPr>
                <w:strike w:val="0"/>
                <w:dstrike w:val="0"/>
                <w:color w:val="auto"/>
                <w:szCs w:val="21"/>
                <w:highlight w:val="none"/>
              </w:rPr>
              <w:t>P1</w:t>
            </w:r>
          </w:p>
        </w:tc>
        <w:tc>
          <w:tcPr>
            <w:tcW w:w="1356" w:type="dxa"/>
            <w:vAlign w:val="center"/>
          </w:tcPr>
          <w:p w14:paraId="382FB3DF">
            <w:pPr>
              <w:jc w:val="center"/>
              <w:rPr>
                <w:strike w:val="0"/>
                <w:dstrike w:val="0"/>
                <w:color w:val="auto"/>
                <w:szCs w:val="21"/>
                <w:highlight w:val="none"/>
              </w:rPr>
            </w:pPr>
            <w:r>
              <w:rPr>
                <w:strike w:val="0"/>
                <w:dstrike w:val="0"/>
                <w:color w:val="auto"/>
                <w:szCs w:val="21"/>
                <w:highlight w:val="none"/>
              </w:rPr>
              <w:t>P2</w:t>
            </w:r>
          </w:p>
        </w:tc>
        <w:tc>
          <w:tcPr>
            <w:tcW w:w="1356" w:type="dxa"/>
            <w:vAlign w:val="center"/>
          </w:tcPr>
          <w:p w14:paraId="0A71B1C9">
            <w:pPr>
              <w:jc w:val="center"/>
              <w:rPr>
                <w:strike w:val="0"/>
                <w:dstrike w:val="0"/>
                <w:color w:val="auto"/>
                <w:szCs w:val="21"/>
                <w:highlight w:val="none"/>
              </w:rPr>
            </w:pPr>
            <w:r>
              <w:rPr>
                <w:strike w:val="0"/>
                <w:dstrike w:val="0"/>
                <w:color w:val="auto"/>
                <w:szCs w:val="21"/>
                <w:highlight w:val="none"/>
              </w:rPr>
              <w:t>P3</w:t>
            </w:r>
          </w:p>
        </w:tc>
        <w:tc>
          <w:tcPr>
            <w:tcW w:w="1356" w:type="dxa"/>
            <w:vAlign w:val="center"/>
          </w:tcPr>
          <w:p w14:paraId="7755739D">
            <w:pPr>
              <w:jc w:val="center"/>
              <w:rPr>
                <w:strike w:val="0"/>
                <w:dstrike w:val="0"/>
                <w:color w:val="auto"/>
                <w:szCs w:val="21"/>
                <w:highlight w:val="none"/>
              </w:rPr>
            </w:pPr>
            <w:r>
              <w:rPr>
                <w:strike w:val="0"/>
                <w:dstrike w:val="0"/>
                <w:color w:val="auto"/>
                <w:szCs w:val="21"/>
                <w:highlight w:val="none"/>
              </w:rPr>
              <w:t>P4</w:t>
            </w:r>
          </w:p>
        </w:tc>
      </w:tr>
      <w:tr w14:paraId="3ECD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6" w:type="dxa"/>
            <w:vAlign w:val="center"/>
          </w:tcPr>
          <w:p w14:paraId="774B0599">
            <w:pPr>
              <w:jc w:val="center"/>
              <w:rPr>
                <w:strike w:val="0"/>
                <w:dstrike w:val="0"/>
                <w:color w:val="auto"/>
                <w:szCs w:val="21"/>
                <w:highlight w:val="none"/>
              </w:rPr>
            </w:pPr>
            <w:r>
              <w:rPr>
                <w:strike w:val="0"/>
                <w:dstrike w:val="0"/>
                <w:color w:val="auto"/>
                <w:szCs w:val="21"/>
                <w:highlight w:val="none"/>
              </w:rPr>
              <w:t>1≤Q＜10</w:t>
            </w:r>
          </w:p>
        </w:tc>
        <w:tc>
          <w:tcPr>
            <w:tcW w:w="1356" w:type="dxa"/>
            <w:vAlign w:val="center"/>
          </w:tcPr>
          <w:p w14:paraId="14216DE4">
            <w:pPr>
              <w:jc w:val="center"/>
              <w:rPr>
                <w:strike w:val="0"/>
                <w:dstrike w:val="0"/>
                <w:color w:val="auto"/>
                <w:szCs w:val="21"/>
                <w:highlight w:val="none"/>
              </w:rPr>
            </w:pPr>
            <w:r>
              <w:rPr>
                <w:strike w:val="0"/>
                <w:dstrike w:val="0"/>
                <w:color w:val="auto"/>
                <w:szCs w:val="21"/>
                <w:highlight w:val="none"/>
              </w:rPr>
              <w:t>P2</w:t>
            </w:r>
          </w:p>
        </w:tc>
        <w:tc>
          <w:tcPr>
            <w:tcW w:w="1356" w:type="dxa"/>
            <w:vAlign w:val="center"/>
          </w:tcPr>
          <w:p w14:paraId="2A894A33">
            <w:pPr>
              <w:jc w:val="center"/>
              <w:rPr>
                <w:strike w:val="0"/>
                <w:dstrike w:val="0"/>
                <w:color w:val="auto"/>
                <w:szCs w:val="21"/>
                <w:highlight w:val="none"/>
              </w:rPr>
            </w:pPr>
            <w:r>
              <w:rPr>
                <w:strike w:val="0"/>
                <w:dstrike w:val="0"/>
                <w:color w:val="auto"/>
                <w:szCs w:val="21"/>
                <w:highlight w:val="none"/>
              </w:rPr>
              <w:t>P3</w:t>
            </w:r>
          </w:p>
        </w:tc>
        <w:tc>
          <w:tcPr>
            <w:tcW w:w="1356" w:type="dxa"/>
            <w:vAlign w:val="center"/>
          </w:tcPr>
          <w:p w14:paraId="14EB9BAA">
            <w:pPr>
              <w:jc w:val="center"/>
              <w:rPr>
                <w:strike w:val="0"/>
                <w:dstrike w:val="0"/>
                <w:color w:val="auto"/>
                <w:szCs w:val="21"/>
                <w:highlight w:val="none"/>
              </w:rPr>
            </w:pPr>
            <w:r>
              <w:rPr>
                <w:strike w:val="0"/>
                <w:dstrike w:val="0"/>
                <w:color w:val="auto"/>
                <w:szCs w:val="21"/>
                <w:highlight w:val="none"/>
              </w:rPr>
              <w:t>P4</w:t>
            </w:r>
          </w:p>
        </w:tc>
        <w:tc>
          <w:tcPr>
            <w:tcW w:w="1356" w:type="dxa"/>
            <w:vAlign w:val="center"/>
          </w:tcPr>
          <w:p w14:paraId="4467988D">
            <w:pPr>
              <w:jc w:val="center"/>
              <w:rPr>
                <w:strike w:val="0"/>
                <w:dstrike w:val="0"/>
                <w:color w:val="auto"/>
                <w:szCs w:val="21"/>
                <w:highlight w:val="none"/>
              </w:rPr>
            </w:pPr>
            <w:r>
              <w:rPr>
                <w:strike w:val="0"/>
                <w:dstrike w:val="0"/>
                <w:color w:val="auto"/>
                <w:szCs w:val="21"/>
                <w:highlight w:val="none"/>
              </w:rPr>
              <w:t>P4</w:t>
            </w:r>
          </w:p>
        </w:tc>
      </w:tr>
    </w:tbl>
    <w:p w14:paraId="35188654">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根据上表，本项目危险物质及工艺系统危险性为P4。</w:t>
      </w:r>
    </w:p>
    <w:p w14:paraId="51516A97">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4、环境敏感程度（E）分级确定</w:t>
      </w:r>
    </w:p>
    <w:p w14:paraId="7D2BFA29">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⑴大气环境敏感程度（E）的分级</w:t>
      </w:r>
    </w:p>
    <w:p w14:paraId="58990D2E">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依据环境敏感目标环境敏感性及人口密度划分环境风险受体的敏感性，共分为三种类型，E1为环境高度敏感区，E2为环境中度敏感区，E3为环境低度敏感区，分级原则见下表。</w:t>
      </w:r>
    </w:p>
    <w:p w14:paraId="240136A2">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表3.1-</w:t>
      </w:r>
      <w:r>
        <w:rPr>
          <w:rFonts w:hint="eastAsia"/>
          <w:b/>
          <w:bCs/>
          <w:strike w:val="0"/>
          <w:dstrike w:val="0"/>
          <w:color w:val="auto"/>
          <w:sz w:val="24"/>
          <w:szCs w:val="32"/>
          <w:highlight w:val="none"/>
          <w:lang w:val="en-US" w:eastAsia="zh-CN"/>
        </w:rPr>
        <w:t>6</w:t>
      </w:r>
      <w:r>
        <w:rPr>
          <w:rFonts w:hint="eastAsia"/>
          <w:b/>
          <w:bCs/>
          <w:strike w:val="0"/>
          <w:dstrike w:val="0"/>
          <w:color w:val="auto"/>
          <w:sz w:val="24"/>
          <w:szCs w:val="32"/>
          <w:highlight w:val="none"/>
        </w:rPr>
        <w:t xml:space="preserve">  </w:t>
      </w:r>
      <w:r>
        <w:rPr>
          <w:b/>
          <w:bCs/>
          <w:strike w:val="0"/>
          <w:dstrike w:val="0"/>
          <w:color w:val="auto"/>
          <w:sz w:val="24"/>
          <w:szCs w:val="32"/>
          <w:highlight w:val="none"/>
        </w:rPr>
        <w:t>大气环境敏感程度分级</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8029"/>
      </w:tblGrid>
      <w:tr w14:paraId="3089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Align w:val="center"/>
          </w:tcPr>
          <w:p w14:paraId="69E30743">
            <w:pPr>
              <w:jc w:val="center"/>
              <w:rPr>
                <w:strike w:val="0"/>
                <w:dstrike w:val="0"/>
                <w:color w:val="auto"/>
                <w:szCs w:val="21"/>
                <w:highlight w:val="none"/>
              </w:rPr>
            </w:pPr>
            <w:r>
              <w:rPr>
                <w:rFonts w:hint="eastAsia"/>
                <w:strike w:val="0"/>
                <w:dstrike w:val="0"/>
                <w:color w:val="auto"/>
                <w:szCs w:val="21"/>
                <w:highlight w:val="none"/>
              </w:rPr>
              <w:t>分级</w:t>
            </w:r>
          </w:p>
        </w:tc>
        <w:tc>
          <w:tcPr>
            <w:tcW w:w="8029" w:type="dxa"/>
            <w:vAlign w:val="center"/>
          </w:tcPr>
          <w:p w14:paraId="3ABF331E">
            <w:pPr>
              <w:jc w:val="center"/>
              <w:rPr>
                <w:strike w:val="0"/>
                <w:dstrike w:val="0"/>
                <w:color w:val="auto"/>
                <w:szCs w:val="21"/>
                <w:highlight w:val="none"/>
              </w:rPr>
            </w:pPr>
            <w:r>
              <w:rPr>
                <w:strike w:val="0"/>
                <w:dstrike w:val="0"/>
                <w:color w:val="auto"/>
                <w:szCs w:val="21"/>
                <w:highlight w:val="none"/>
              </w:rPr>
              <w:t>大气环境敏感性</w:t>
            </w:r>
          </w:p>
        </w:tc>
      </w:tr>
      <w:tr w14:paraId="3DC6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Align w:val="center"/>
          </w:tcPr>
          <w:p w14:paraId="5CA7E923">
            <w:pPr>
              <w:jc w:val="center"/>
              <w:rPr>
                <w:strike w:val="0"/>
                <w:dstrike w:val="0"/>
                <w:color w:val="auto"/>
                <w:szCs w:val="21"/>
                <w:highlight w:val="none"/>
              </w:rPr>
            </w:pPr>
            <w:r>
              <w:rPr>
                <w:strike w:val="0"/>
                <w:dstrike w:val="0"/>
                <w:color w:val="auto"/>
                <w:szCs w:val="21"/>
                <w:highlight w:val="none"/>
              </w:rPr>
              <w:t>E1</w:t>
            </w:r>
          </w:p>
        </w:tc>
        <w:tc>
          <w:tcPr>
            <w:tcW w:w="8029" w:type="dxa"/>
            <w:vAlign w:val="center"/>
          </w:tcPr>
          <w:p w14:paraId="3C4B9E31">
            <w:pPr>
              <w:jc w:val="left"/>
              <w:rPr>
                <w:strike w:val="0"/>
                <w:dstrike w:val="0"/>
                <w:color w:val="auto"/>
                <w:szCs w:val="21"/>
                <w:highlight w:val="none"/>
              </w:rPr>
            </w:pPr>
            <w:r>
              <w:rPr>
                <w:strike w:val="0"/>
                <w:dstrike w:val="0"/>
                <w:color w:val="auto"/>
                <w:szCs w:val="21"/>
                <w:highlight w:val="none"/>
              </w:rPr>
              <w:t>周边5 km范围内居住区、医疗卫生、文化教育、科研、行政办公等机构人口总数大于5万人，或其他需要特殊保护区域；或周边500 m范围内人口总数大于1000人；油气、化学品输送管线管段周边200 m范围内，每千米管段人口数大于200人</w:t>
            </w:r>
          </w:p>
        </w:tc>
      </w:tr>
      <w:tr w14:paraId="36DC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Align w:val="center"/>
          </w:tcPr>
          <w:p w14:paraId="35754410">
            <w:pPr>
              <w:jc w:val="center"/>
              <w:rPr>
                <w:strike w:val="0"/>
                <w:dstrike w:val="0"/>
                <w:color w:val="auto"/>
                <w:szCs w:val="21"/>
                <w:highlight w:val="none"/>
              </w:rPr>
            </w:pPr>
            <w:r>
              <w:rPr>
                <w:strike w:val="0"/>
                <w:dstrike w:val="0"/>
                <w:color w:val="auto"/>
                <w:szCs w:val="21"/>
                <w:highlight w:val="none"/>
              </w:rPr>
              <w:t>E2</w:t>
            </w:r>
          </w:p>
        </w:tc>
        <w:tc>
          <w:tcPr>
            <w:tcW w:w="8029" w:type="dxa"/>
            <w:vAlign w:val="center"/>
          </w:tcPr>
          <w:p w14:paraId="7E6F4907">
            <w:pPr>
              <w:jc w:val="left"/>
              <w:rPr>
                <w:strike w:val="0"/>
                <w:dstrike w:val="0"/>
                <w:color w:val="auto"/>
                <w:szCs w:val="21"/>
                <w:highlight w:val="none"/>
              </w:rPr>
            </w:pPr>
            <w:r>
              <w:rPr>
                <w:strike w:val="0"/>
                <w:dstrike w:val="0"/>
                <w:color w:val="auto"/>
                <w:szCs w:val="21"/>
                <w:highlight w:val="none"/>
              </w:rPr>
              <w:t>周边5km范围内居住区、医疗卫生、文化教育、科研、行政办公等机构人口总数大于1万人，小于5万人；或周边500 m范围内人口总数大于500人，小于1000人；油气、化学品输送管线管段周边200 m范围内，每千米管段人口数大于100人，小于200人</w:t>
            </w:r>
          </w:p>
        </w:tc>
      </w:tr>
      <w:tr w14:paraId="5EBD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Align w:val="center"/>
          </w:tcPr>
          <w:p w14:paraId="59402A42">
            <w:pPr>
              <w:jc w:val="center"/>
              <w:rPr>
                <w:strike w:val="0"/>
                <w:dstrike w:val="0"/>
                <w:color w:val="auto"/>
                <w:szCs w:val="21"/>
                <w:highlight w:val="none"/>
              </w:rPr>
            </w:pPr>
            <w:r>
              <w:rPr>
                <w:strike w:val="0"/>
                <w:dstrike w:val="0"/>
                <w:color w:val="auto"/>
                <w:szCs w:val="21"/>
                <w:highlight w:val="none"/>
              </w:rPr>
              <w:t>E3</w:t>
            </w:r>
          </w:p>
        </w:tc>
        <w:tc>
          <w:tcPr>
            <w:tcW w:w="8029" w:type="dxa"/>
            <w:vAlign w:val="center"/>
          </w:tcPr>
          <w:p w14:paraId="2871F781">
            <w:pPr>
              <w:jc w:val="left"/>
              <w:rPr>
                <w:strike w:val="0"/>
                <w:dstrike w:val="0"/>
                <w:color w:val="auto"/>
                <w:szCs w:val="21"/>
                <w:highlight w:val="none"/>
              </w:rPr>
            </w:pPr>
            <w:r>
              <w:rPr>
                <w:strike w:val="0"/>
                <w:dstrike w:val="0"/>
                <w:color w:val="auto"/>
                <w:szCs w:val="21"/>
                <w:highlight w:val="none"/>
              </w:rPr>
              <w:t>周边5 km范围内居住区、医疗卫生、文化教育、科研、行政办公等机构人口总数小于1万人；或周边500 m范围内人口总数小于500人；油气、化学品输送管线管段周边200 m范围内，每千米管段人口数小于100人</w:t>
            </w:r>
          </w:p>
        </w:tc>
      </w:tr>
    </w:tbl>
    <w:p w14:paraId="08BFEC94">
      <w:pPr>
        <w:pStyle w:val="7"/>
        <w:ind w:firstLineChars="200"/>
        <w:rPr>
          <w:rFonts w:ascii="Times New Roman" w:hAnsi="Times New Roman"/>
          <w:strike w:val="0"/>
          <w:dstrike w:val="0"/>
          <w:color w:val="auto"/>
          <w:szCs w:val="24"/>
          <w:highlight w:val="none"/>
        </w:rPr>
      </w:pPr>
      <w:r>
        <w:rPr>
          <w:rFonts w:ascii="Times New Roman" w:hAnsi="Times New Roman"/>
          <w:strike w:val="0"/>
          <w:dstrike w:val="0"/>
          <w:color w:val="auto"/>
          <w:szCs w:val="24"/>
          <w:highlight w:val="none"/>
        </w:rPr>
        <w:t>本项目大气环境敏感程度分级为E</w:t>
      </w:r>
      <w:r>
        <w:rPr>
          <w:rFonts w:hint="eastAsia" w:ascii="Times New Roman" w:hAnsi="Times New Roman"/>
          <w:strike w:val="0"/>
          <w:dstrike w:val="0"/>
          <w:color w:val="auto"/>
          <w:szCs w:val="24"/>
          <w:highlight w:val="none"/>
        </w:rPr>
        <w:t>2</w:t>
      </w:r>
      <w:r>
        <w:rPr>
          <w:rFonts w:ascii="Times New Roman" w:hAnsi="Times New Roman"/>
          <w:strike w:val="0"/>
          <w:dstrike w:val="0"/>
          <w:color w:val="auto"/>
          <w:szCs w:val="24"/>
          <w:highlight w:val="none"/>
        </w:rPr>
        <w:t>。</w:t>
      </w:r>
    </w:p>
    <w:p w14:paraId="0E66E490">
      <w:pPr>
        <w:spacing w:line="360" w:lineRule="auto"/>
        <w:ind w:firstLine="480" w:firstLineChars="200"/>
        <w:rPr>
          <w:strike w:val="0"/>
          <w:dstrike w:val="0"/>
          <w:color w:val="auto"/>
          <w:sz w:val="24"/>
          <w:highlight w:val="none"/>
        </w:rPr>
      </w:pPr>
      <w:r>
        <w:rPr>
          <w:strike w:val="0"/>
          <w:dstrike w:val="0"/>
          <w:color w:val="auto"/>
          <w:sz w:val="24"/>
          <w:highlight w:val="none"/>
        </w:rPr>
        <w:t>(2)地表水环境敏感程度（E）的分级</w:t>
      </w:r>
    </w:p>
    <w:p w14:paraId="5E94439F">
      <w:pPr>
        <w:spacing w:line="360" w:lineRule="auto"/>
        <w:ind w:firstLine="480" w:firstLineChars="200"/>
        <w:rPr>
          <w:strike w:val="0"/>
          <w:dstrike w:val="0"/>
          <w:color w:val="auto"/>
          <w:sz w:val="24"/>
          <w:highlight w:val="none"/>
        </w:rPr>
      </w:pPr>
      <w:r>
        <w:rPr>
          <w:strike w:val="0"/>
          <w:dstrike w:val="0"/>
          <w:color w:val="auto"/>
          <w:sz w:val="24"/>
          <w:highlight w:val="none"/>
        </w:rPr>
        <w:t>依据事故情况下危险物质泄漏到水体的排放点受纳地表水体功能敏感性，与下游环境敏感目标情况，分为三种类型，E1为环境高度敏感区，E2为环境中度敏感区，E3为环境低度敏感区，分级原则见</w:t>
      </w:r>
      <w:r>
        <w:rPr>
          <w:rFonts w:hint="eastAsia"/>
          <w:strike w:val="0"/>
          <w:dstrike w:val="0"/>
          <w:color w:val="auto"/>
          <w:sz w:val="24"/>
          <w:highlight w:val="none"/>
        </w:rPr>
        <w:t>表3.1-</w:t>
      </w:r>
      <w:r>
        <w:rPr>
          <w:rFonts w:hint="eastAsia"/>
          <w:strike w:val="0"/>
          <w:dstrike w:val="0"/>
          <w:color w:val="auto"/>
          <w:sz w:val="24"/>
          <w:highlight w:val="none"/>
          <w:lang w:val="en-US" w:eastAsia="zh-CN"/>
        </w:rPr>
        <w:t>7</w:t>
      </w:r>
      <w:r>
        <w:rPr>
          <w:strike w:val="0"/>
          <w:dstrike w:val="0"/>
          <w:color w:val="auto"/>
          <w:sz w:val="24"/>
          <w:highlight w:val="none"/>
        </w:rPr>
        <w:t>。其中地表水功能敏感性分区和环境敏感目标分级见</w:t>
      </w:r>
      <w:r>
        <w:rPr>
          <w:rFonts w:hint="eastAsia"/>
          <w:strike w:val="0"/>
          <w:dstrike w:val="0"/>
          <w:color w:val="auto"/>
          <w:sz w:val="24"/>
          <w:highlight w:val="none"/>
        </w:rPr>
        <w:t>表3.1-</w:t>
      </w:r>
      <w:r>
        <w:rPr>
          <w:rFonts w:hint="eastAsia"/>
          <w:strike w:val="0"/>
          <w:dstrike w:val="0"/>
          <w:color w:val="auto"/>
          <w:sz w:val="24"/>
          <w:highlight w:val="none"/>
          <w:lang w:val="en-US" w:eastAsia="zh-CN"/>
        </w:rPr>
        <w:t>8</w:t>
      </w:r>
      <w:r>
        <w:rPr>
          <w:strike w:val="0"/>
          <w:dstrike w:val="0"/>
          <w:color w:val="auto"/>
          <w:sz w:val="24"/>
          <w:highlight w:val="none"/>
        </w:rPr>
        <w:t>，地表水功能敏感性分级依据见</w:t>
      </w:r>
      <w:r>
        <w:rPr>
          <w:rFonts w:hint="eastAsia"/>
          <w:strike w:val="0"/>
          <w:dstrike w:val="0"/>
          <w:color w:val="auto"/>
          <w:sz w:val="24"/>
          <w:highlight w:val="none"/>
        </w:rPr>
        <w:t>表3.1-</w:t>
      </w:r>
      <w:r>
        <w:rPr>
          <w:rFonts w:hint="eastAsia"/>
          <w:strike w:val="0"/>
          <w:dstrike w:val="0"/>
          <w:color w:val="auto"/>
          <w:sz w:val="24"/>
          <w:highlight w:val="none"/>
          <w:lang w:val="en-US" w:eastAsia="zh-CN"/>
        </w:rPr>
        <w:t>9</w:t>
      </w:r>
      <w:r>
        <w:rPr>
          <w:strike w:val="0"/>
          <w:dstrike w:val="0"/>
          <w:color w:val="auto"/>
          <w:sz w:val="24"/>
          <w:highlight w:val="none"/>
        </w:rPr>
        <w:t>。</w:t>
      </w:r>
    </w:p>
    <w:p w14:paraId="485BB370">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表3.1-</w:t>
      </w:r>
      <w:r>
        <w:rPr>
          <w:rFonts w:hint="eastAsia"/>
          <w:b/>
          <w:bCs/>
          <w:strike w:val="0"/>
          <w:dstrike w:val="0"/>
          <w:color w:val="auto"/>
          <w:sz w:val="24"/>
          <w:szCs w:val="32"/>
          <w:highlight w:val="none"/>
          <w:lang w:val="en-US" w:eastAsia="zh-CN"/>
        </w:rPr>
        <w:t>7</w:t>
      </w:r>
      <w:r>
        <w:rPr>
          <w:rFonts w:hint="eastAsia"/>
          <w:b/>
          <w:bCs/>
          <w:strike w:val="0"/>
          <w:dstrike w:val="0"/>
          <w:color w:val="auto"/>
          <w:sz w:val="24"/>
          <w:szCs w:val="32"/>
          <w:highlight w:val="none"/>
        </w:rPr>
        <w:t xml:space="preserve">  </w:t>
      </w:r>
      <w:r>
        <w:rPr>
          <w:b/>
          <w:bCs/>
          <w:strike w:val="0"/>
          <w:dstrike w:val="0"/>
          <w:color w:val="auto"/>
          <w:sz w:val="24"/>
          <w:szCs w:val="32"/>
          <w:highlight w:val="none"/>
        </w:rPr>
        <w:t>地表水环境敏感程度分级</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7"/>
        <w:gridCol w:w="2375"/>
        <w:gridCol w:w="2375"/>
        <w:gridCol w:w="2378"/>
      </w:tblGrid>
      <w:tr w14:paraId="0DEF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64" w:type="pct"/>
            <w:vMerge w:val="restart"/>
            <w:vAlign w:val="center"/>
          </w:tcPr>
          <w:p w14:paraId="346B862C">
            <w:pPr>
              <w:jc w:val="center"/>
              <w:rPr>
                <w:strike w:val="0"/>
                <w:dstrike w:val="0"/>
                <w:color w:val="auto"/>
                <w:szCs w:val="21"/>
                <w:highlight w:val="none"/>
              </w:rPr>
            </w:pPr>
            <w:r>
              <w:rPr>
                <w:rFonts w:hint="eastAsia"/>
                <w:strike w:val="0"/>
                <w:dstrike w:val="0"/>
                <w:color w:val="auto"/>
                <w:szCs w:val="21"/>
                <w:highlight w:val="none"/>
              </w:rPr>
              <w:t>环境敏感目标</w:t>
            </w:r>
          </w:p>
        </w:tc>
        <w:tc>
          <w:tcPr>
            <w:tcW w:w="3935" w:type="pct"/>
            <w:gridSpan w:val="3"/>
            <w:vAlign w:val="center"/>
          </w:tcPr>
          <w:p w14:paraId="42B84EC6">
            <w:pPr>
              <w:jc w:val="center"/>
              <w:rPr>
                <w:strike w:val="0"/>
                <w:dstrike w:val="0"/>
                <w:color w:val="auto"/>
                <w:szCs w:val="21"/>
                <w:highlight w:val="none"/>
              </w:rPr>
            </w:pPr>
            <w:r>
              <w:rPr>
                <w:strike w:val="0"/>
                <w:dstrike w:val="0"/>
                <w:color w:val="auto"/>
                <w:szCs w:val="21"/>
                <w:highlight w:val="none"/>
              </w:rPr>
              <w:t>地表水功能敏感性</w:t>
            </w:r>
          </w:p>
        </w:tc>
      </w:tr>
      <w:tr w14:paraId="5714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00AFBE09">
            <w:pPr>
              <w:jc w:val="center"/>
              <w:rPr>
                <w:strike w:val="0"/>
                <w:dstrike w:val="0"/>
                <w:color w:val="auto"/>
                <w:szCs w:val="21"/>
                <w:highlight w:val="none"/>
              </w:rPr>
            </w:pPr>
          </w:p>
        </w:tc>
        <w:tc>
          <w:tcPr>
            <w:tcW w:w="1311" w:type="pct"/>
            <w:vAlign w:val="center"/>
          </w:tcPr>
          <w:p w14:paraId="6357714F">
            <w:pPr>
              <w:jc w:val="center"/>
              <w:rPr>
                <w:strike w:val="0"/>
                <w:dstrike w:val="0"/>
                <w:color w:val="auto"/>
                <w:szCs w:val="21"/>
                <w:highlight w:val="none"/>
              </w:rPr>
            </w:pPr>
            <w:r>
              <w:rPr>
                <w:strike w:val="0"/>
                <w:dstrike w:val="0"/>
                <w:color w:val="auto"/>
                <w:szCs w:val="21"/>
                <w:highlight w:val="none"/>
              </w:rPr>
              <w:t>F1</w:t>
            </w:r>
          </w:p>
        </w:tc>
        <w:tc>
          <w:tcPr>
            <w:tcW w:w="1311" w:type="pct"/>
            <w:vAlign w:val="center"/>
          </w:tcPr>
          <w:p w14:paraId="0DFDE058">
            <w:pPr>
              <w:jc w:val="center"/>
              <w:rPr>
                <w:strike w:val="0"/>
                <w:dstrike w:val="0"/>
                <w:color w:val="auto"/>
                <w:szCs w:val="21"/>
                <w:highlight w:val="none"/>
              </w:rPr>
            </w:pPr>
            <w:r>
              <w:rPr>
                <w:strike w:val="0"/>
                <w:dstrike w:val="0"/>
                <w:color w:val="auto"/>
                <w:szCs w:val="21"/>
                <w:highlight w:val="none"/>
              </w:rPr>
              <w:t>F2</w:t>
            </w:r>
          </w:p>
        </w:tc>
        <w:tc>
          <w:tcPr>
            <w:tcW w:w="1311" w:type="pct"/>
            <w:vAlign w:val="center"/>
          </w:tcPr>
          <w:p w14:paraId="2FC6CD80">
            <w:pPr>
              <w:jc w:val="center"/>
              <w:rPr>
                <w:strike w:val="0"/>
                <w:dstrike w:val="0"/>
                <w:color w:val="auto"/>
                <w:szCs w:val="21"/>
                <w:highlight w:val="none"/>
              </w:rPr>
            </w:pPr>
            <w:r>
              <w:rPr>
                <w:strike w:val="0"/>
                <w:dstrike w:val="0"/>
                <w:color w:val="auto"/>
                <w:szCs w:val="21"/>
                <w:highlight w:val="none"/>
              </w:rPr>
              <w:t>F3</w:t>
            </w:r>
          </w:p>
        </w:tc>
      </w:tr>
      <w:tr w14:paraId="4CAC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Align w:val="center"/>
          </w:tcPr>
          <w:p w14:paraId="72D5E6C8">
            <w:pPr>
              <w:jc w:val="center"/>
              <w:rPr>
                <w:strike w:val="0"/>
                <w:dstrike w:val="0"/>
                <w:color w:val="auto"/>
                <w:szCs w:val="21"/>
                <w:highlight w:val="none"/>
              </w:rPr>
            </w:pPr>
            <w:r>
              <w:rPr>
                <w:strike w:val="0"/>
                <w:dstrike w:val="0"/>
                <w:color w:val="auto"/>
                <w:szCs w:val="21"/>
                <w:highlight w:val="none"/>
              </w:rPr>
              <w:t>S1</w:t>
            </w:r>
          </w:p>
        </w:tc>
        <w:tc>
          <w:tcPr>
            <w:tcW w:w="1311" w:type="pct"/>
            <w:vAlign w:val="center"/>
          </w:tcPr>
          <w:p w14:paraId="5B3C5FE0">
            <w:pPr>
              <w:jc w:val="center"/>
              <w:rPr>
                <w:strike w:val="0"/>
                <w:dstrike w:val="0"/>
                <w:color w:val="auto"/>
                <w:szCs w:val="21"/>
                <w:highlight w:val="none"/>
              </w:rPr>
            </w:pPr>
            <w:r>
              <w:rPr>
                <w:strike w:val="0"/>
                <w:dstrike w:val="0"/>
                <w:color w:val="auto"/>
                <w:szCs w:val="21"/>
                <w:highlight w:val="none"/>
              </w:rPr>
              <w:t>E1</w:t>
            </w:r>
          </w:p>
        </w:tc>
        <w:tc>
          <w:tcPr>
            <w:tcW w:w="1311" w:type="pct"/>
            <w:vAlign w:val="center"/>
          </w:tcPr>
          <w:p w14:paraId="457A964C">
            <w:pPr>
              <w:jc w:val="center"/>
              <w:rPr>
                <w:strike w:val="0"/>
                <w:dstrike w:val="0"/>
                <w:color w:val="auto"/>
                <w:szCs w:val="21"/>
                <w:highlight w:val="none"/>
              </w:rPr>
            </w:pPr>
            <w:r>
              <w:rPr>
                <w:strike w:val="0"/>
                <w:dstrike w:val="0"/>
                <w:color w:val="auto"/>
                <w:szCs w:val="21"/>
                <w:highlight w:val="none"/>
              </w:rPr>
              <w:t>E1</w:t>
            </w:r>
          </w:p>
        </w:tc>
        <w:tc>
          <w:tcPr>
            <w:tcW w:w="1311" w:type="pct"/>
            <w:vAlign w:val="center"/>
          </w:tcPr>
          <w:p w14:paraId="7B5C5822">
            <w:pPr>
              <w:jc w:val="center"/>
              <w:rPr>
                <w:strike w:val="0"/>
                <w:dstrike w:val="0"/>
                <w:color w:val="auto"/>
                <w:szCs w:val="21"/>
                <w:highlight w:val="none"/>
              </w:rPr>
            </w:pPr>
            <w:r>
              <w:rPr>
                <w:strike w:val="0"/>
                <w:dstrike w:val="0"/>
                <w:color w:val="auto"/>
                <w:szCs w:val="21"/>
                <w:highlight w:val="none"/>
              </w:rPr>
              <w:t>E2</w:t>
            </w:r>
          </w:p>
        </w:tc>
      </w:tr>
      <w:tr w14:paraId="3358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Align w:val="center"/>
          </w:tcPr>
          <w:p w14:paraId="400E7D61">
            <w:pPr>
              <w:jc w:val="center"/>
              <w:rPr>
                <w:strike w:val="0"/>
                <w:dstrike w:val="0"/>
                <w:color w:val="auto"/>
                <w:szCs w:val="21"/>
                <w:highlight w:val="none"/>
              </w:rPr>
            </w:pPr>
            <w:r>
              <w:rPr>
                <w:strike w:val="0"/>
                <w:dstrike w:val="0"/>
                <w:color w:val="auto"/>
                <w:szCs w:val="21"/>
                <w:highlight w:val="none"/>
              </w:rPr>
              <w:t>S2</w:t>
            </w:r>
          </w:p>
        </w:tc>
        <w:tc>
          <w:tcPr>
            <w:tcW w:w="1311" w:type="pct"/>
            <w:vAlign w:val="center"/>
          </w:tcPr>
          <w:p w14:paraId="742343C1">
            <w:pPr>
              <w:jc w:val="center"/>
              <w:rPr>
                <w:strike w:val="0"/>
                <w:dstrike w:val="0"/>
                <w:color w:val="auto"/>
                <w:szCs w:val="21"/>
                <w:highlight w:val="none"/>
              </w:rPr>
            </w:pPr>
            <w:r>
              <w:rPr>
                <w:strike w:val="0"/>
                <w:dstrike w:val="0"/>
                <w:color w:val="auto"/>
                <w:szCs w:val="21"/>
                <w:highlight w:val="none"/>
              </w:rPr>
              <w:t>E1</w:t>
            </w:r>
          </w:p>
        </w:tc>
        <w:tc>
          <w:tcPr>
            <w:tcW w:w="1311" w:type="pct"/>
            <w:vAlign w:val="center"/>
          </w:tcPr>
          <w:p w14:paraId="68A62ED5">
            <w:pPr>
              <w:jc w:val="center"/>
              <w:rPr>
                <w:strike w:val="0"/>
                <w:dstrike w:val="0"/>
                <w:color w:val="auto"/>
                <w:szCs w:val="21"/>
                <w:highlight w:val="none"/>
              </w:rPr>
            </w:pPr>
            <w:r>
              <w:rPr>
                <w:strike w:val="0"/>
                <w:dstrike w:val="0"/>
                <w:color w:val="auto"/>
                <w:szCs w:val="21"/>
                <w:highlight w:val="none"/>
              </w:rPr>
              <w:t>E2</w:t>
            </w:r>
          </w:p>
        </w:tc>
        <w:tc>
          <w:tcPr>
            <w:tcW w:w="1311" w:type="pct"/>
            <w:vAlign w:val="center"/>
          </w:tcPr>
          <w:p w14:paraId="64B227E4">
            <w:pPr>
              <w:jc w:val="center"/>
              <w:rPr>
                <w:strike w:val="0"/>
                <w:dstrike w:val="0"/>
                <w:color w:val="auto"/>
                <w:szCs w:val="21"/>
                <w:highlight w:val="none"/>
              </w:rPr>
            </w:pPr>
            <w:r>
              <w:rPr>
                <w:strike w:val="0"/>
                <w:dstrike w:val="0"/>
                <w:color w:val="auto"/>
                <w:szCs w:val="21"/>
                <w:highlight w:val="none"/>
              </w:rPr>
              <w:t>E3</w:t>
            </w:r>
          </w:p>
        </w:tc>
      </w:tr>
      <w:tr w14:paraId="2265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pct"/>
            <w:vAlign w:val="center"/>
          </w:tcPr>
          <w:p w14:paraId="4C6887CC">
            <w:pPr>
              <w:jc w:val="center"/>
              <w:rPr>
                <w:strike w:val="0"/>
                <w:dstrike w:val="0"/>
                <w:color w:val="auto"/>
                <w:szCs w:val="21"/>
                <w:highlight w:val="none"/>
              </w:rPr>
            </w:pPr>
            <w:r>
              <w:rPr>
                <w:strike w:val="0"/>
                <w:dstrike w:val="0"/>
                <w:color w:val="auto"/>
                <w:szCs w:val="21"/>
                <w:highlight w:val="none"/>
              </w:rPr>
              <w:t>S3</w:t>
            </w:r>
          </w:p>
        </w:tc>
        <w:tc>
          <w:tcPr>
            <w:tcW w:w="1311" w:type="pct"/>
            <w:vAlign w:val="center"/>
          </w:tcPr>
          <w:p w14:paraId="4C3B7188">
            <w:pPr>
              <w:jc w:val="center"/>
              <w:rPr>
                <w:strike w:val="0"/>
                <w:dstrike w:val="0"/>
                <w:color w:val="auto"/>
                <w:szCs w:val="21"/>
                <w:highlight w:val="none"/>
              </w:rPr>
            </w:pPr>
            <w:r>
              <w:rPr>
                <w:strike w:val="0"/>
                <w:dstrike w:val="0"/>
                <w:color w:val="auto"/>
                <w:szCs w:val="21"/>
                <w:highlight w:val="none"/>
              </w:rPr>
              <w:t>E2</w:t>
            </w:r>
          </w:p>
        </w:tc>
        <w:tc>
          <w:tcPr>
            <w:tcW w:w="1311" w:type="pct"/>
            <w:vAlign w:val="center"/>
          </w:tcPr>
          <w:p w14:paraId="108AC152">
            <w:pPr>
              <w:jc w:val="center"/>
              <w:rPr>
                <w:strike w:val="0"/>
                <w:dstrike w:val="0"/>
                <w:color w:val="auto"/>
                <w:szCs w:val="21"/>
                <w:highlight w:val="none"/>
              </w:rPr>
            </w:pPr>
            <w:r>
              <w:rPr>
                <w:strike w:val="0"/>
                <w:dstrike w:val="0"/>
                <w:color w:val="auto"/>
                <w:szCs w:val="21"/>
                <w:highlight w:val="none"/>
              </w:rPr>
              <w:t>E3</w:t>
            </w:r>
          </w:p>
        </w:tc>
        <w:tc>
          <w:tcPr>
            <w:tcW w:w="1311" w:type="pct"/>
            <w:vAlign w:val="center"/>
          </w:tcPr>
          <w:p w14:paraId="37EB1870">
            <w:pPr>
              <w:jc w:val="center"/>
              <w:rPr>
                <w:strike w:val="0"/>
                <w:dstrike w:val="0"/>
                <w:color w:val="auto"/>
                <w:szCs w:val="21"/>
                <w:highlight w:val="none"/>
              </w:rPr>
            </w:pPr>
            <w:r>
              <w:rPr>
                <w:strike w:val="0"/>
                <w:dstrike w:val="0"/>
                <w:color w:val="auto"/>
                <w:szCs w:val="21"/>
                <w:highlight w:val="none"/>
              </w:rPr>
              <w:t>E4</w:t>
            </w:r>
          </w:p>
        </w:tc>
      </w:tr>
    </w:tbl>
    <w:p w14:paraId="3E08B2A2">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表3.1-</w:t>
      </w:r>
      <w:r>
        <w:rPr>
          <w:rFonts w:hint="eastAsia"/>
          <w:b/>
          <w:bCs/>
          <w:strike w:val="0"/>
          <w:dstrike w:val="0"/>
          <w:color w:val="auto"/>
          <w:sz w:val="24"/>
          <w:szCs w:val="32"/>
          <w:highlight w:val="none"/>
          <w:lang w:val="en-US" w:eastAsia="zh-CN"/>
        </w:rPr>
        <w:t>8</w:t>
      </w:r>
      <w:r>
        <w:rPr>
          <w:b/>
          <w:bCs/>
          <w:strike w:val="0"/>
          <w:dstrike w:val="0"/>
          <w:color w:val="auto"/>
          <w:sz w:val="24"/>
          <w:szCs w:val="32"/>
          <w:highlight w:val="none"/>
        </w:rPr>
        <w:t xml:space="preserve"> </w:t>
      </w:r>
      <w:r>
        <w:rPr>
          <w:rFonts w:hint="eastAsia"/>
          <w:b/>
          <w:bCs/>
          <w:strike w:val="0"/>
          <w:dstrike w:val="0"/>
          <w:color w:val="auto"/>
          <w:sz w:val="24"/>
          <w:szCs w:val="32"/>
          <w:highlight w:val="none"/>
        </w:rPr>
        <w:t xml:space="preserve"> </w:t>
      </w:r>
      <w:r>
        <w:rPr>
          <w:b/>
          <w:bCs/>
          <w:strike w:val="0"/>
          <w:dstrike w:val="0"/>
          <w:color w:val="auto"/>
          <w:sz w:val="24"/>
          <w:szCs w:val="32"/>
          <w:highlight w:val="none"/>
        </w:rPr>
        <w:t>地表水功能敏感性分区</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7462"/>
      </w:tblGrid>
      <w:tr w14:paraId="3B06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Align w:val="center"/>
          </w:tcPr>
          <w:p w14:paraId="344CF16D">
            <w:pPr>
              <w:jc w:val="center"/>
              <w:rPr>
                <w:strike w:val="0"/>
                <w:dstrike w:val="0"/>
                <w:color w:val="auto"/>
                <w:szCs w:val="21"/>
                <w:highlight w:val="none"/>
              </w:rPr>
            </w:pPr>
            <w:r>
              <w:rPr>
                <w:rFonts w:hint="eastAsia"/>
                <w:strike w:val="0"/>
                <w:dstrike w:val="0"/>
                <w:color w:val="auto"/>
                <w:szCs w:val="21"/>
                <w:highlight w:val="none"/>
              </w:rPr>
              <w:t>敏感性</w:t>
            </w:r>
          </w:p>
        </w:tc>
        <w:tc>
          <w:tcPr>
            <w:tcW w:w="7462" w:type="dxa"/>
            <w:vAlign w:val="center"/>
          </w:tcPr>
          <w:p w14:paraId="33E1A004">
            <w:pPr>
              <w:jc w:val="center"/>
              <w:rPr>
                <w:strike w:val="0"/>
                <w:dstrike w:val="0"/>
                <w:color w:val="auto"/>
                <w:szCs w:val="21"/>
                <w:highlight w:val="none"/>
              </w:rPr>
            </w:pPr>
            <w:r>
              <w:rPr>
                <w:rFonts w:hint="eastAsia"/>
                <w:strike w:val="0"/>
                <w:dstrike w:val="0"/>
                <w:color w:val="auto"/>
                <w:szCs w:val="21"/>
                <w:highlight w:val="none"/>
              </w:rPr>
              <w:t>地表水</w:t>
            </w:r>
            <w:r>
              <w:rPr>
                <w:strike w:val="0"/>
                <w:dstrike w:val="0"/>
                <w:color w:val="auto"/>
                <w:szCs w:val="21"/>
                <w:highlight w:val="none"/>
              </w:rPr>
              <w:t>环境敏感</w:t>
            </w:r>
            <w:r>
              <w:rPr>
                <w:rFonts w:hint="eastAsia"/>
                <w:strike w:val="0"/>
                <w:dstrike w:val="0"/>
                <w:color w:val="auto"/>
                <w:szCs w:val="21"/>
                <w:highlight w:val="none"/>
              </w:rPr>
              <w:t>特征</w:t>
            </w:r>
          </w:p>
        </w:tc>
      </w:tr>
      <w:tr w14:paraId="6C57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Align w:val="center"/>
          </w:tcPr>
          <w:p w14:paraId="10FD018E">
            <w:pPr>
              <w:jc w:val="center"/>
              <w:rPr>
                <w:strike w:val="0"/>
                <w:dstrike w:val="0"/>
                <w:color w:val="auto"/>
                <w:szCs w:val="21"/>
                <w:highlight w:val="none"/>
              </w:rPr>
            </w:pPr>
            <w:r>
              <w:rPr>
                <w:strike w:val="0"/>
                <w:dstrike w:val="0"/>
                <w:color w:val="auto"/>
                <w:szCs w:val="21"/>
                <w:highlight w:val="none"/>
              </w:rPr>
              <w:t>敏感F1</w:t>
            </w:r>
          </w:p>
        </w:tc>
        <w:tc>
          <w:tcPr>
            <w:tcW w:w="7462" w:type="dxa"/>
            <w:vAlign w:val="center"/>
          </w:tcPr>
          <w:p w14:paraId="7F085E06">
            <w:pPr>
              <w:jc w:val="left"/>
              <w:rPr>
                <w:strike w:val="0"/>
                <w:dstrike w:val="0"/>
                <w:color w:val="auto"/>
                <w:szCs w:val="21"/>
                <w:highlight w:val="none"/>
              </w:rPr>
            </w:pPr>
            <w:r>
              <w:rPr>
                <w:strike w:val="0"/>
                <w:dstrike w:val="0"/>
                <w:color w:val="auto"/>
                <w:szCs w:val="21"/>
                <w:highlight w:val="none"/>
              </w:rPr>
              <w:t>排放点进入地表水水域环境功能为</w:t>
            </w:r>
            <w:r>
              <w:rPr>
                <w:strike w:val="0"/>
                <w:dstrike w:val="0"/>
                <w:color w:val="auto"/>
                <w:szCs w:val="21"/>
                <w:highlight w:val="none"/>
              </w:rPr>
              <w:fldChar w:fldCharType="begin"/>
            </w:r>
            <w:r>
              <w:rPr>
                <w:strike w:val="0"/>
                <w:dstrike w:val="0"/>
                <w:color w:val="auto"/>
                <w:szCs w:val="21"/>
                <w:highlight w:val="none"/>
              </w:rPr>
              <w:instrText xml:space="preserve"> = 2 \* ROMAN \* MERGEFORMAT </w:instrText>
            </w:r>
            <w:r>
              <w:rPr>
                <w:strike w:val="0"/>
                <w:dstrike w:val="0"/>
                <w:color w:val="auto"/>
                <w:szCs w:val="21"/>
                <w:highlight w:val="none"/>
              </w:rPr>
              <w:fldChar w:fldCharType="separate"/>
            </w:r>
            <w:r>
              <w:rPr>
                <w:strike w:val="0"/>
                <w:dstrike w:val="0"/>
                <w:color w:val="auto"/>
                <w:highlight w:val="none"/>
              </w:rPr>
              <w:t>II</w:t>
            </w:r>
            <w:r>
              <w:rPr>
                <w:strike w:val="0"/>
                <w:dstrike w:val="0"/>
                <w:color w:val="auto"/>
                <w:szCs w:val="21"/>
                <w:highlight w:val="none"/>
              </w:rPr>
              <w:fldChar w:fldCharType="end"/>
            </w:r>
            <w:r>
              <w:rPr>
                <w:strike w:val="0"/>
                <w:dstrike w:val="0"/>
                <w:color w:val="auto"/>
                <w:szCs w:val="21"/>
                <w:highlight w:val="none"/>
              </w:rPr>
              <w:t>类及以上，或海水水质分类第一类；或以发生事故时，危险物质泄漏到水体的排放点算起，排放进入受纳河流最大流速时，24h流经范围内涉跨国界的</w:t>
            </w:r>
          </w:p>
        </w:tc>
      </w:tr>
      <w:tr w14:paraId="6427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Align w:val="center"/>
          </w:tcPr>
          <w:p w14:paraId="1ABE8EF9">
            <w:pPr>
              <w:jc w:val="center"/>
              <w:rPr>
                <w:strike w:val="0"/>
                <w:dstrike w:val="0"/>
                <w:color w:val="auto"/>
                <w:szCs w:val="21"/>
                <w:highlight w:val="none"/>
              </w:rPr>
            </w:pPr>
            <w:r>
              <w:rPr>
                <w:strike w:val="0"/>
                <w:dstrike w:val="0"/>
                <w:color w:val="auto"/>
                <w:szCs w:val="21"/>
                <w:highlight w:val="none"/>
              </w:rPr>
              <w:t>较敏感F2</w:t>
            </w:r>
          </w:p>
        </w:tc>
        <w:tc>
          <w:tcPr>
            <w:tcW w:w="7462" w:type="dxa"/>
            <w:vAlign w:val="center"/>
          </w:tcPr>
          <w:p w14:paraId="5539891F">
            <w:pPr>
              <w:jc w:val="left"/>
              <w:rPr>
                <w:strike w:val="0"/>
                <w:dstrike w:val="0"/>
                <w:color w:val="auto"/>
                <w:szCs w:val="21"/>
                <w:highlight w:val="none"/>
              </w:rPr>
            </w:pPr>
            <w:r>
              <w:rPr>
                <w:strike w:val="0"/>
                <w:dstrike w:val="0"/>
                <w:color w:val="auto"/>
                <w:szCs w:val="21"/>
                <w:highlight w:val="none"/>
              </w:rPr>
              <w:t>排放点进入地表水水域环境功能为</w:t>
            </w:r>
            <w:r>
              <w:rPr>
                <w:strike w:val="0"/>
                <w:dstrike w:val="0"/>
                <w:color w:val="auto"/>
                <w:szCs w:val="21"/>
                <w:highlight w:val="none"/>
              </w:rPr>
              <w:fldChar w:fldCharType="begin"/>
            </w:r>
            <w:r>
              <w:rPr>
                <w:strike w:val="0"/>
                <w:dstrike w:val="0"/>
                <w:color w:val="auto"/>
                <w:szCs w:val="21"/>
                <w:highlight w:val="none"/>
              </w:rPr>
              <w:instrText xml:space="preserve"> = 3 \* ROMAN \* MERGEFORMAT </w:instrText>
            </w:r>
            <w:r>
              <w:rPr>
                <w:strike w:val="0"/>
                <w:dstrike w:val="0"/>
                <w:color w:val="auto"/>
                <w:szCs w:val="21"/>
                <w:highlight w:val="none"/>
              </w:rPr>
              <w:fldChar w:fldCharType="separate"/>
            </w:r>
            <w:r>
              <w:rPr>
                <w:strike w:val="0"/>
                <w:dstrike w:val="0"/>
                <w:color w:val="auto"/>
                <w:highlight w:val="none"/>
              </w:rPr>
              <w:t>III</w:t>
            </w:r>
            <w:r>
              <w:rPr>
                <w:strike w:val="0"/>
                <w:dstrike w:val="0"/>
                <w:color w:val="auto"/>
                <w:szCs w:val="21"/>
                <w:highlight w:val="none"/>
              </w:rPr>
              <w:fldChar w:fldCharType="end"/>
            </w:r>
            <w:r>
              <w:rPr>
                <w:strike w:val="0"/>
                <w:dstrike w:val="0"/>
                <w:color w:val="auto"/>
                <w:szCs w:val="21"/>
                <w:highlight w:val="none"/>
              </w:rPr>
              <w:t>类，或海水水质分类第二类；或以发生事故时，危险物质泄漏到水体的排放点算起，排放进入受纳河流最大流速时，24h流经范围内涉跨省界的</w:t>
            </w:r>
          </w:p>
        </w:tc>
      </w:tr>
      <w:tr w14:paraId="2D34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Align w:val="center"/>
          </w:tcPr>
          <w:p w14:paraId="542358A3">
            <w:pPr>
              <w:jc w:val="center"/>
              <w:rPr>
                <w:strike w:val="0"/>
                <w:dstrike w:val="0"/>
                <w:color w:val="auto"/>
                <w:szCs w:val="21"/>
                <w:highlight w:val="none"/>
              </w:rPr>
            </w:pPr>
            <w:r>
              <w:rPr>
                <w:rFonts w:hint="eastAsia"/>
                <w:strike w:val="0"/>
                <w:dstrike w:val="0"/>
                <w:color w:val="auto"/>
                <w:szCs w:val="21"/>
                <w:highlight w:val="none"/>
                <w:lang w:eastAsia="zh-CN"/>
              </w:rPr>
              <w:t>不敏感</w:t>
            </w:r>
            <w:r>
              <w:rPr>
                <w:strike w:val="0"/>
                <w:dstrike w:val="0"/>
                <w:color w:val="auto"/>
                <w:szCs w:val="21"/>
                <w:highlight w:val="none"/>
              </w:rPr>
              <w:t>F3</w:t>
            </w:r>
          </w:p>
        </w:tc>
        <w:tc>
          <w:tcPr>
            <w:tcW w:w="7462" w:type="dxa"/>
            <w:vAlign w:val="center"/>
          </w:tcPr>
          <w:p w14:paraId="6EF94D5E">
            <w:pPr>
              <w:jc w:val="left"/>
              <w:rPr>
                <w:strike w:val="0"/>
                <w:dstrike w:val="0"/>
                <w:color w:val="auto"/>
                <w:szCs w:val="21"/>
                <w:highlight w:val="none"/>
              </w:rPr>
            </w:pPr>
            <w:r>
              <w:rPr>
                <w:strike w:val="0"/>
                <w:dstrike w:val="0"/>
                <w:color w:val="auto"/>
                <w:szCs w:val="21"/>
                <w:highlight w:val="none"/>
              </w:rPr>
              <w:t>上述地区之外的其他地区</w:t>
            </w:r>
          </w:p>
        </w:tc>
      </w:tr>
    </w:tbl>
    <w:p w14:paraId="45E6D178">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表3.1-</w:t>
      </w:r>
      <w:r>
        <w:rPr>
          <w:rFonts w:hint="eastAsia"/>
          <w:b/>
          <w:bCs/>
          <w:strike w:val="0"/>
          <w:dstrike w:val="0"/>
          <w:color w:val="auto"/>
          <w:sz w:val="24"/>
          <w:szCs w:val="32"/>
          <w:highlight w:val="none"/>
          <w:lang w:val="en-US" w:eastAsia="zh-CN"/>
        </w:rPr>
        <w:t>9</w:t>
      </w:r>
      <w:r>
        <w:rPr>
          <w:rFonts w:hint="eastAsia"/>
          <w:b/>
          <w:bCs/>
          <w:strike w:val="0"/>
          <w:dstrike w:val="0"/>
          <w:color w:val="auto"/>
          <w:sz w:val="24"/>
          <w:szCs w:val="32"/>
          <w:highlight w:val="none"/>
        </w:rPr>
        <w:t xml:space="preserve"> </w:t>
      </w:r>
      <w:r>
        <w:rPr>
          <w:b/>
          <w:bCs/>
          <w:strike w:val="0"/>
          <w:dstrike w:val="0"/>
          <w:color w:val="auto"/>
          <w:sz w:val="24"/>
          <w:szCs w:val="32"/>
          <w:highlight w:val="none"/>
        </w:rPr>
        <w:t xml:space="preserve"> 环境敏感目标分级</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7420"/>
      </w:tblGrid>
      <w:tr w14:paraId="7558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Align w:val="center"/>
          </w:tcPr>
          <w:p w14:paraId="44F37FE5">
            <w:pPr>
              <w:jc w:val="center"/>
              <w:rPr>
                <w:strike w:val="0"/>
                <w:dstrike w:val="0"/>
                <w:color w:val="auto"/>
                <w:szCs w:val="21"/>
                <w:highlight w:val="none"/>
              </w:rPr>
            </w:pPr>
            <w:r>
              <w:rPr>
                <w:rFonts w:hint="eastAsia"/>
                <w:strike w:val="0"/>
                <w:dstrike w:val="0"/>
                <w:color w:val="auto"/>
                <w:szCs w:val="21"/>
                <w:highlight w:val="none"/>
              </w:rPr>
              <w:t>分级</w:t>
            </w:r>
          </w:p>
        </w:tc>
        <w:tc>
          <w:tcPr>
            <w:tcW w:w="7420" w:type="dxa"/>
            <w:vAlign w:val="center"/>
          </w:tcPr>
          <w:p w14:paraId="32298FD4">
            <w:pPr>
              <w:jc w:val="center"/>
              <w:rPr>
                <w:strike w:val="0"/>
                <w:dstrike w:val="0"/>
                <w:color w:val="auto"/>
                <w:szCs w:val="21"/>
                <w:highlight w:val="none"/>
              </w:rPr>
            </w:pPr>
            <w:r>
              <w:rPr>
                <w:strike w:val="0"/>
                <w:dstrike w:val="0"/>
                <w:color w:val="auto"/>
                <w:szCs w:val="21"/>
                <w:highlight w:val="none"/>
              </w:rPr>
              <w:t>环境敏感目标</w:t>
            </w:r>
          </w:p>
        </w:tc>
      </w:tr>
      <w:tr w14:paraId="197B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Align w:val="center"/>
          </w:tcPr>
          <w:p w14:paraId="6D534F07">
            <w:pPr>
              <w:jc w:val="center"/>
              <w:rPr>
                <w:strike w:val="0"/>
                <w:dstrike w:val="0"/>
                <w:color w:val="auto"/>
                <w:szCs w:val="21"/>
                <w:highlight w:val="none"/>
              </w:rPr>
            </w:pPr>
            <w:r>
              <w:rPr>
                <w:strike w:val="0"/>
                <w:dstrike w:val="0"/>
                <w:color w:val="auto"/>
                <w:szCs w:val="21"/>
                <w:highlight w:val="none"/>
              </w:rPr>
              <w:t>S1</w:t>
            </w:r>
          </w:p>
        </w:tc>
        <w:tc>
          <w:tcPr>
            <w:tcW w:w="7420" w:type="dxa"/>
            <w:vAlign w:val="center"/>
          </w:tcPr>
          <w:p w14:paraId="443A5B3E">
            <w:pPr>
              <w:rPr>
                <w:strike w:val="0"/>
                <w:dstrike w:val="0"/>
                <w:color w:val="auto"/>
                <w:szCs w:val="21"/>
                <w:highlight w:val="none"/>
              </w:rPr>
            </w:pPr>
            <w:r>
              <w:rPr>
                <w:strike w:val="0"/>
                <w:dstrike w:val="0"/>
                <w:color w:val="auto"/>
                <w:szCs w:val="21"/>
                <w:highlight w:val="none"/>
              </w:rPr>
              <w:t>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2F6F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Align w:val="center"/>
          </w:tcPr>
          <w:p w14:paraId="12046C0B">
            <w:pPr>
              <w:jc w:val="center"/>
              <w:rPr>
                <w:strike w:val="0"/>
                <w:dstrike w:val="0"/>
                <w:color w:val="auto"/>
                <w:szCs w:val="21"/>
                <w:highlight w:val="none"/>
              </w:rPr>
            </w:pPr>
            <w:r>
              <w:rPr>
                <w:strike w:val="0"/>
                <w:dstrike w:val="0"/>
                <w:color w:val="auto"/>
                <w:szCs w:val="21"/>
                <w:highlight w:val="none"/>
              </w:rPr>
              <w:t>S2</w:t>
            </w:r>
          </w:p>
        </w:tc>
        <w:tc>
          <w:tcPr>
            <w:tcW w:w="7420" w:type="dxa"/>
            <w:vAlign w:val="center"/>
          </w:tcPr>
          <w:p w14:paraId="003B76A8">
            <w:pPr>
              <w:rPr>
                <w:strike w:val="0"/>
                <w:dstrike w:val="0"/>
                <w:color w:val="auto"/>
                <w:szCs w:val="21"/>
                <w:highlight w:val="none"/>
              </w:rPr>
            </w:pPr>
            <w:r>
              <w:rPr>
                <w:strike w:val="0"/>
                <w:dstrike w:val="0"/>
                <w:color w:val="auto"/>
                <w:szCs w:val="21"/>
                <w:highlight w:val="none"/>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44D5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Align w:val="center"/>
          </w:tcPr>
          <w:p w14:paraId="4F1EE14E">
            <w:pPr>
              <w:jc w:val="center"/>
              <w:rPr>
                <w:strike w:val="0"/>
                <w:dstrike w:val="0"/>
                <w:color w:val="auto"/>
                <w:szCs w:val="21"/>
                <w:highlight w:val="none"/>
              </w:rPr>
            </w:pPr>
            <w:r>
              <w:rPr>
                <w:strike w:val="0"/>
                <w:dstrike w:val="0"/>
                <w:color w:val="auto"/>
                <w:szCs w:val="21"/>
                <w:highlight w:val="none"/>
              </w:rPr>
              <w:t>S3</w:t>
            </w:r>
          </w:p>
        </w:tc>
        <w:tc>
          <w:tcPr>
            <w:tcW w:w="7420" w:type="dxa"/>
            <w:vAlign w:val="center"/>
          </w:tcPr>
          <w:p w14:paraId="504D1EB8">
            <w:pPr>
              <w:rPr>
                <w:strike w:val="0"/>
                <w:dstrike w:val="0"/>
                <w:color w:val="auto"/>
                <w:szCs w:val="21"/>
                <w:highlight w:val="none"/>
              </w:rPr>
            </w:pPr>
            <w:r>
              <w:rPr>
                <w:strike w:val="0"/>
                <w:dstrike w:val="0"/>
                <w:color w:val="auto"/>
                <w:szCs w:val="21"/>
                <w:highlight w:val="none"/>
              </w:rPr>
              <w:t>排放点下游（顺水流向）10 km范围、近岸海域一个潮周期水质点可能达到的最大水平距离的两倍范围内无上述类型1和类型2包括的敏感保护目标</w:t>
            </w:r>
          </w:p>
        </w:tc>
      </w:tr>
    </w:tbl>
    <w:p w14:paraId="25CF7165">
      <w:pPr>
        <w:pStyle w:val="19"/>
        <w:spacing w:before="0" w:line="360" w:lineRule="auto"/>
        <w:ind w:firstLine="480" w:firstLineChars="200"/>
        <w:outlineLvl w:val="9"/>
        <w:rPr>
          <w:rFonts w:eastAsia="宋体"/>
          <w:b w:val="0"/>
          <w:bCs w:val="0"/>
          <w:strike w:val="0"/>
          <w:dstrike w:val="0"/>
          <w:color w:val="auto"/>
          <w:sz w:val="24"/>
          <w:szCs w:val="24"/>
          <w:highlight w:val="none"/>
        </w:rPr>
      </w:pPr>
      <w:r>
        <w:rPr>
          <w:rFonts w:eastAsia="宋体"/>
          <w:b w:val="0"/>
          <w:bCs w:val="0"/>
          <w:strike w:val="0"/>
          <w:dstrike w:val="0"/>
          <w:color w:val="auto"/>
          <w:sz w:val="24"/>
          <w:szCs w:val="24"/>
          <w:highlight w:val="none"/>
        </w:rPr>
        <w:t>本项目</w:t>
      </w:r>
      <w:r>
        <w:rPr>
          <w:rFonts w:hint="eastAsia" w:eastAsia="宋体"/>
          <w:b w:val="0"/>
          <w:bCs w:val="0"/>
          <w:strike w:val="0"/>
          <w:dstrike w:val="0"/>
          <w:color w:val="auto"/>
          <w:sz w:val="24"/>
          <w:szCs w:val="24"/>
          <w:highlight w:val="none"/>
          <w:lang w:val="en-US" w:eastAsia="zh-CN"/>
        </w:rPr>
        <w:t>受纳水体为柏水溪，为</w:t>
      </w:r>
      <w:r>
        <w:rPr>
          <w:rFonts w:eastAsia="宋体"/>
          <w:b w:val="0"/>
          <w:bCs w:val="0"/>
          <w:strike w:val="0"/>
          <w:dstrike w:val="0"/>
          <w:color w:val="auto"/>
          <w:sz w:val="24"/>
          <w:szCs w:val="24"/>
          <w:highlight w:val="none"/>
        </w:rPr>
        <w:t>Ⅲ类水域功能</w:t>
      </w:r>
      <w:r>
        <w:rPr>
          <w:rFonts w:hint="eastAsia" w:eastAsia="宋体"/>
          <w:b w:val="0"/>
          <w:bCs w:val="0"/>
          <w:strike w:val="0"/>
          <w:dstrike w:val="0"/>
          <w:color w:val="auto"/>
          <w:sz w:val="24"/>
          <w:szCs w:val="24"/>
          <w:highlight w:val="none"/>
          <w:lang w:eastAsia="zh-CN"/>
        </w:rPr>
        <w:t>，</w:t>
      </w:r>
      <w:r>
        <w:rPr>
          <w:rFonts w:hint="eastAsia" w:eastAsia="宋体"/>
          <w:b w:val="0"/>
          <w:bCs w:val="0"/>
          <w:strike w:val="0"/>
          <w:dstrike w:val="0"/>
          <w:color w:val="auto"/>
          <w:sz w:val="24"/>
          <w:szCs w:val="24"/>
          <w:highlight w:val="none"/>
          <w:lang w:val="en-US" w:eastAsia="zh-CN"/>
        </w:rPr>
        <w:t>周边无地表水环境敏感目标分布。</w:t>
      </w:r>
      <w:r>
        <w:rPr>
          <w:rFonts w:eastAsia="宋体"/>
          <w:b w:val="0"/>
          <w:bCs w:val="0"/>
          <w:strike w:val="0"/>
          <w:dstrike w:val="0"/>
          <w:color w:val="auto"/>
          <w:sz w:val="24"/>
          <w:szCs w:val="24"/>
          <w:highlight w:val="none"/>
        </w:rPr>
        <w:t>根据</w:t>
      </w:r>
      <w:r>
        <w:rPr>
          <w:rFonts w:hint="eastAsia" w:eastAsia="宋体"/>
          <w:b w:val="0"/>
          <w:bCs w:val="0"/>
          <w:strike w:val="0"/>
          <w:dstrike w:val="0"/>
          <w:color w:val="auto"/>
          <w:sz w:val="24"/>
          <w:szCs w:val="24"/>
          <w:highlight w:val="none"/>
        </w:rPr>
        <w:t>表3</w:t>
      </w:r>
      <w:r>
        <w:rPr>
          <w:rFonts w:eastAsia="宋体"/>
          <w:b w:val="0"/>
          <w:bCs w:val="0"/>
          <w:strike w:val="0"/>
          <w:dstrike w:val="0"/>
          <w:color w:val="auto"/>
          <w:sz w:val="24"/>
          <w:szCs w:val="24"/>
          <w:highlight w:val="none"/>
        </w:rPr>
        <w:t>.1-</w:t>
      </w:r>
      <w:r>
        <w:rPr>
          <w:rFonts w:hint="eastAsia" w:eastAsia="宋体"/>
          <w:b w:val="0"/>
          <w:bCs w:val="0"/>
          <w:strike w:val="0"/>
          <w:dstrike w:val="0"/>
          <w:color w:val="auto"/>
          <w:sz w:val="24"/>
          <w:szCs w:val="24"/>
          <w:highlight w:val="none"/>
          <w:lang w:val="en-US" w:eastAsia="zh-CN"/>
        </w:rPr>
        <w:t>8</w:t>
      </w:r>
      <w:r>
        <w:rPr>
          <w:rFonts w:eastAsia="宋体"/>
          <w:b w:val="0"/>
          <w:bCs w:val="0"/>
          <w:strike w:val="0"/>
          <w:dstrike w:val="0"/>
          <w:color w:val="auto"/>
          <w:sz w:val="24"/>
          <w:szCs w:val="24"/>
          <w:highlight w:val="none"/>
        </w:rPr>
        <w:t>、</w:t>
      </w:r>
      <w:r>
        <w:rPr>
          <w:rFonts w:hint="eastAsia" w:eastAsia="宋体"/>
          <w:b w:val="0"/>
          <w:bCs w:val="0"/>
          <w:strike w:val="0"/>
          <w:dstrike w:val="0"/>
          <w:color w:val="auto"/>
          <w:sz w:val="24"/>
          <w:szCs w:val="24"/>
          <w:highlight w:val="none"/>
        </w:rPr>
        <w:t>表3</w:t>
      </w:r>
      <w:r>
        <w:rPr>
          <w:rFonts w:eastAsia="宋体"/>
          <w:b w:val="0"/>
          <w:bCs w:val="0"/>
          <w:strike w:val="0"/>
          <w:dstrike w:val="0"/>
          <w:color w:val="auto"/>
          <w:sz w:val="24"/>
          <w:szCs w:val="24"/>
          <w:highlight w:val="none"/>
        </w:rPr>
        <w:t>.1-</w:t>
      </w:r>
      <w:r>
        <w:rPr>
          <w:rFonts w:hint="eastAsia" w:eastAsia="宋体"/>
          <w:b w:val="0"/>
          <w:bCs w:val="0"/>
          <w:strike w:val="0"/>
          <w:dstrike w:val="0"/>
          <w:color w:val="auto"/>
          <w:sz w:val="24"/>
          <w:szCs w:val="24"/>
          <w:highlight w:val="none"/>
          <w:lang w:val="en-US" w:eastAsia="zh-CN"/>
        </w:rPr>
        <w:t>9</w:t>
      </w:r>
      <w:r>
        <w:rPr>
          <w:rFonts w:eastAsia="宋体"/>
          <w:b w:val="0"/>
          <w:bCs w:val="0"/>
          <w:strike w:val="0"/>
          <w:dstrike w:val="0"/>
          <w:color w:val="auto"/>
          <w:sz w:val="24"/>
          <w:szCs w:val="24"/>
          <w:highlight w:val="none"/>
        </w:rPr>
        <w:t>，本项目地表水环境敏感程度分级为E3。</w:t>
      </w:r>
    </w:p>
    <w:p w14:paraId="288E9BFC">
      <w:pPr>
        <w:pStyle w:val="19"/>
        <w:spacing w:before="0" w:line="360" w:lineRule="auto"/>
        <w:ind w:firstLine="480" w:firstLineChars="200"/>
        <w:outlineLvl w:val="9"/>
        <w:rPr>
          <w:rFonts w:eastAsia="宋体"/>
          <w:b w:val="0"/>
          <w:bCs w:val="0"/>
          <w:strike w:val="0"/>
          <w:dstrike w:val="0"/>
          <w:color w:val="auto"/>
          <w:sz w:val="24"/>
          <w:szCs w:val="24"/>
          <w:highlight w:val="none"/>
        </w:rPr>
      </w:pPr>
      <w:r>
        <w:rPr>
          <w:rFonts w:eastAsia="宋体"/>
          <w:b w:val="0"/>
          <w:bCs w:val="0"/>
          <w:strike w:val="0"/>
          <w:dstrike w:val="0"/>
          <w:color w:val="auto"/>
          <w:sz w:val="24"/>
          <w:szCs w:val="24"/>
          <w:highlight w:val="none"/>
        </w:rPr>
        <w:t xml:space="preserve">⑶地下水环境敏感程度（E）的分级 </w:t>
      </w:r>
    </w:p>
    <w:p w14:paraId="0FD3FA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trike w:val="0"/>
          <w:dstrike w:val="0"/>
          <w:color w:val="auto"/>
          <w:kern w:val="2"/>
          <w:sz w:val="24"/>
          <w:szCs w:val="24"/>
          <w:highlight w:val="none"/>
          <w:lang w:val="en-US" w:eastAsia="zh-CN" w:bidi="ar-SA"/>
        </w:rPr>
      </w:pPr>
      <w:r>
        <w:rPr>
          <w:rFonts w:ascii="Times New Roman" w:hAnsi="Times New Roman" w:eastAsia="宋体" w:cs="Times New Roman"/>
          <w:b w:val="0"/>
          <w:bCs w:val="0"/>
          <w:strike w:val="0"/>
          <w:dstrike w:val="0"/>
          <w:color w:val="auto"/>
          <w:kern w:val="2"/>
          <w:sz w:val="24"/>
          <w:szCs w:val="24"/>
          <w:highlight w:val="none"/>
          <w:lang w:val="en-US" w:eastAsia="zh-CN" w:bidi="ar-SA"/>
        </w:rPr>
        <w:t>根据《环境影响评价技术导则-地下水环境》(HJ610-2016)</w:t>
      </w:r>
      <w:r>
        <w:rPr>
          <w:rFonts w:hint="eastAsia" w:ascii="Times New Roman" w:hAnsi="Times New Roman" w:eastAsia="宋体" w:cs="Times New Roman"/>
          <w:b w:val="0"/>
          <w:bCs w:val="0"/>
          <w:strike w:val="0"/>
          <w:dstrike w:val="0"/>
          <w:color w:val="auto"/>
          <w:kern w:val="2"/>
          <w:sz w:val="24"/>
          <w:szCs w:val="24"/>
          <w:highlight w:val="none"/>
          <w:lang w:val="en-US" w:eastAsia="zh-CN" w:bidi="ar-SA"/>
        </w:rPr>
        <w:t>，本项目为加油加气站项目，不在</w:t>
      </w:r>
      <w:r>
        <w:rPr>
          <w:rFonts w:ascii="Times New Roman" w:hAnsi="Times New Roman" w:eastAsia="宋体" w:cs="Times New Roman"/>
          <w:b w:val="0"/>
          <w:bCs w:val="0"/>
          <w:strike w:val="0"/>
          <w:dstrike w:val="0"/>
          <w:color w:val="auto"/>
          <w:kern w:val="2"/>
          <w:sz w:val="24"/>
          <w:szCs w:val="24"/>
          <w:highlight w:val="none"/>
          <w:lang w:val="en-US" w:eastAsia="zh-CN" w:bidi="ar-SA"/>
        </w:rPr>
        <w:t>HJ610-2016</w:t>
      </w:r>
      <w:r>
        <w:rPr>
          <w:rFonts w:hint="eastAsia" w:ascii="Times New Roman" w:hAnsi="Times New Roman" w:eastAsia="宋体" w:cs="Times New Roman"/>
          <w:b w:val="0"/>
          <w:bCs w:val="0"/>
          <w:strike w:val="0"/>
          <w:dstrike w:val="0"/>
          <w:color w:val="auto"/>
          <w:kern w:val="2"/>
          <w:sz w:val="24"/>
          <w:szCs w:val="24"/>
          <w:highlight w:val="none"/>
          <w:lang w:val="en-US" w:eastAsia="zh-CN" w:bidi="ar-SA"/>
        </w:rPr>
        <w:t>的附录A所列的建设项目所属的地下水环境影响评价项目类别中。因此，本项目不涉及</w:t>
      </w:r>
      <w:r>
        <w:rPr>
          <w:rFonts w:ascii="Times New Roman" w:hAnsi="Times New Roman" w:eastAsia="宋体" w:cs="Times New Roman"/>
          <w:b w:val="0"/>
          <w:bCs w:val="0"/>
          <w:strike w:val="0"/>
          <w:dstrike w:val="0"/>
          <w:color w:val="auto"/>
          <w:kern w:val="2"/>
          <w:sz w:val="24"/>
          <w:szCs w:val="24"/>
          <w:highlight w:val="none"/>
          <w:lang w:val="en-US" w:eastAsia="zh-CN" w:bidi="ar-SA"/>
        </w:rPr>
        <w:t>地下水环境敏感程度的分级</w:t>
      </w:r>
      <w:r>
        <w:rPr>
          <w:rFonts w:hint="eastAsia" w:ascii="Times New Roman" w:hAnsi="Times New Roman" w:eastAsia="宋体" w:cs="Times New Roman"/>
          <w:b w:val="0"/>
          <w:bCs w:val="0"/>
          <w:strike w:val="0"/>
          <w:dstrike w:val="0"/>
          <w:color w:val="auto"/>
          <w:kern w:val="2"/>
          <w:sz w:val="24"/>
          <w:szCs w:val="24"/>
          <w:highlight w:val="none"/>
          <w:lang w:val="en-US" w:eastAsia="zh-CN" w:bidi="ar-SA"/>
        </w:rPr>
        <w:t>。</w:t>
      </w:r>
    </w:p>
    <w:p w14:paraId="09BF1CC2">
      <w:pPr>
        <w:pStyle w:val="19"/>
        <w:spacing w:line="360" w:lineRule="auto"/>
        <w:ind w:firstLine="480" w:firstLineChars="200"/>
        <w:outlineLvl w:val="9"/>
        <w:rPr>
          <w:rFonts w:eastAsia="宋体"/>
          <w:b w:val="0"/>
          <w:bCs w:val="0"/>
          <w:strike w:val="0"/>
          <w:dstrike w:val="0"/>
          <w:color w:val="auto"/>
          <w:sz w:val="24"/>
          <w:szCs w:val="24"/>
          <w:highlight w:val="none"/>
        </w:rPr>
      </w:pPr>
      <w:r>
        <w:rPr>
          <w:rFonts w:eastAsia="宋体"/>
          <w:b w:val="0"/>
          <w:bCs w:val="0"/>
          <w:strike w:val="0"/>
          <w:dstrike w:val="0"/>
          <w:color w:val="auto"/>
          <w:sz w:val="24"/>
          <w:szCs w:val="24"/>
          <w:highlight w:val="none"/>
        </w:rPr>
        <w:t>建设项目环境敏感特征汇总详见下表。</w:t>
      </w:r>
    </w:p>
    <w:p w14:paraId="2826CF0E">
      <w:pPr>
        <w:pStyle w:val="19"/>
        <w:spacing w:before="0" w:line="360" w:lineRule="auto"/>
        <w:jc w:val="center"/>
        <w:outlineLvl w:val="9"/>
        <w:rPr>
          <w:rFonts w:eastAsia="宋体"/>
          <w:strike w:val="0"/>
          <w:dstrike w:val="0"/>
          <w:color w:val="auto"/>
          <w:sz w:val="24"/>
          <w:szCs w:val="24"/>
          <w:highlight w:val="none"/>
        </w:rPr>
      </w:pPr>
      <w:r>
        <w:rPr>
          <w:rFonts w:hint="eastAsia" w:eastAsia="宋体"/>
          <w:strike w:val="0"/>
          <w:dstrike w:val="0"/>
          <w:color w:val="auto"/>
          <w:sz w:val="24"/>
          <w:szCs w:val="24"/>
          <w:highlight w:val="none"/>
        </w:rPr>
        <w:t>表3.1</w:t>
      </w:r>
      <w:r>
        <w:rPr>
          <w:rFonts w:eastAsia="宋体"/>
          <w:strike w:val="0"/>
          <w:dstrike w:val="0"/>
          <w:color w:val="auto"/>
          <w:sz w:val="24"/>
          <w:szCs w:val="24"/>
          <w:highlight w:val="none"/>
        </w:rPr>
        <w:t>-1</w:t>
      </w:r>
      <w:r>
        <w:rPr>
          <w:rFonts w:hint="eastAsia" w:eastAsia="宋体"/>
          <w:strike w:val="0"/>
          <w:dstrike w:val="0"/>
          <w:color w:val="auto"/>
          <w:sz w:val="24"/>
          <w:szCs w:val="24"/>
          <w:highlight w:val="none"/>
          <w:lang w:val="en-US" w:eastAsia="zh-CN"/>
        </w:rPr>
        <w:t>0</w:t>
      </w:r>
      <w:r>
        <w:rPr>
          <w:rFonts w:hint="eastAsia" w:eastAsia="宋体"/>
          <w:strike w:val="0"/>
          <w:dstrike w:val="0"/>
          <w:color w:val="auto"/>
          <w:sz w:val="24"/>
          <w:szCs w:val="24"/>
          <w:highlight w:val="none"/>
        </w:rPr>
        <w:t xml:space="preserve"> </w:t>
      </w:r>
      <w:r>
        <w:rPr>
          <w:rFonts w:eastAsia="宋体"/>
          <w:strike w:val="0"/>
          <w:dstrike w:val="0"/>
          <w:color w:val="auto"/>
          <w:sz w:val="24"/>
          <w:szCs w:val="24"/>
          <w:highlight w:val="none"/>
        </w:rPr>
        <w:t xml:space="preserve"> 建设项目环境敏感特征表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818"/>
        <w:gridCol w:w="1617"/>
        <w:gridCol w:w="1350"/>
        <w:gridCol w:w="945"/>
        <w:gridCol w:w="1290"/>
        <w:gridCol w:w="1746"/>
      </w:tblGrid>
      <w:tr w14:paraId="0DCC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14:paraId="0A464BA6">
            <w:pPr>
              <w:jc w:val="center"/>
              <w:rPr>
                <w:strike w:val="0"/>
                <w:dstrike w:val="0"/>
                <w:color w:val="auto"/>
                <w:szCs w:val="21"/>
                <w:highlight w:val="none"/>
              </w:rPr>
            </w:pPr>
            <w:r>
              <w:rPr>
                <w:strike w:val="0"/>
                <w:dstrike w:val="0"/>
                <w:color w:val="auto"/>
                <w:szCs w:val="21"/>
                <w:highlight w:val="none"/>
              </w:rPr>
              <w:t>类别</w:t>
            </w:r>
          </w:p>
        </w:tc>
        <w:tc>
          <w:tcPr>
            <w:tcW w:w="7766" w:type="dxa"/>
            <w:gridSpan w:val="6"/>
            <w:vAlign w:val="center"/>
          </w:tcPr>
          <w:p w14:paraId="3CE609B7">
            <w:pPr>
              <w:jc w:val="center"/>
              <w:rPr>
                <w:strike w:val="0"/>
                <w:dstrike w:val="0"/>
                <w:color w:val="auto"/>
                <w:szCs w:val="21"/>
                <w:highlight w:val="none"/>
              </w:rPr>
            </w:pPr>
            <w:r>
              <w:rPr>
                <w:strike w:val="0"/>
                <w:dstrike w:val="0"/>
                <w:color w:val="auto"/>
                <w:szCs w:val="21"/>
                <w:highlight w:val="none"/>
              </w:rPr>
              <w:t>环境敏感特征</w:t>
            </w:r>
          </w:p>
        </w:tc>
      </w:tr>
      <w:tr w14:paraId="10E7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restart"/>
            <w:vAlign w:val="center"/>
          </w:tcPr>
          <w:p w14:paraId="073C7839">
            <w:pPr>
              <w:jc w:val="center"/>
              <w:rPr>
                <w:strike w:val="0"/>
                <w:dstrike w:val="0"/>
                <w:color w:val="auto"/>
                <w:szCs w:val="21"/>
                <w:highlight w:val="none"/>
              </w:rPr>
            </w:pPr>
            <w:r>
              <w:rPr>
                <w:strike w:val="0"/>
                <w:dstrike w:val="0"/>
                <w:color w:val="auto"/>
                <w:szCs w:val="21"/>
                <w:highlight w:val="none"/>
              </w:rPr>
              <w:t>环境空气</w:t>
            </w:r>
          </w:p>
        </w:tc>
        <w:tc>
          <w:tcPr>
            <w:tcW w:w="7766" w:type="dxa"/>
            <w:gridSpan w:val="6"/>
            <w:vAlign w:val="center"/>
          </w:tcPr>
          <w:p w14:paraId="47458838">
            <w:pPr>
              <w:jc w:val="center"/>
              <w:rPr>
                <w:strike w:val="0"/>
                <w:dstrike w:val="0"/>
                <w:color w:val="auto"/>
                <w:szCs w:val="21"/>
                <w:highlight w:val="none"/>
              </w:rPr>
            </w:pPr>
            <w:r>
              <w:rPr>
                <w:strike w:val="0"/>
                <w:dstrike w:val="0"/>
                <w:color w:val="auto"/>
                <w:szCs w:val="21"/>
                <w:highlight w:val="none"/>
              </w:rPr>
              <w:t>厂址周边</w:t>
            </w:r>
            <w:r>
              <w:rPr>
                <w:rFonts w:hint="eastAsia"/>
                <w:strike w:val="0"/>
                <w:dstrike w:val="0"/>
                <w:color w:val="auto"/>
                <w:szCs w:val="21"/>
                <w:highlight w:val="none"/>
                <w:lang w:val="en-US" w:eastAsia="zh-CN"/>
              </w:rPr>
              <w:t>3</w:t>
            </w:r>
            <w:r>
              <w:rPr>
                <w:rFonts w:hint="eastAsia"/>
                <w:strike w:val="0"/>
                <w:dstrike w:val="0"/>
                <w:color w:val="auto"/>
                <w:szCs w:val="21"/>
                <w:highlight w:val="none"/>
              </w:rPr>
              <w:t>k</w:t>
            </w:r>
            <w:r>
              <w:rPr>
                <w:strike w:val="0"/>
                <w:dstrike w:val="0"/>
                <w:color w:val="auto"/>
                <w:szCs w:val="21"/>
                <w:highlight w:val="none"/>
              </w:rPr>
              <w:t>m范围内</w:t>
            </w:r>
          </w:p>
        </w:tc>
      </w:tr>
      <w:tr w14:paraId="0EB0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294" w:type="dxa"/>
            <w:vMerge w:val="continue"/>
            <w:vAlign w:val="center"/>
          </w:tcPr>
          <w:p w14:paraId="67712759">
            <w:pPr>
              <w:jc w:val="center"/>
              <w:rPr>
                <w:strike w:val="0"/>
                <w:dstrike w:val="0"/>
                <w:color w:val="auto"/>
                <w:szCs w:val="21"/>
                <w:highlight w:val="none"/>
              </w:rPr>
            </w:pPr>
          </w:p>
        </w:tc>
        <w:tc>
          <w:tcPr>
            <w:tcW w:w="818" w:type="dxa"/>
            <w:vAlign w:val="center"/>
          </w:tcPr>
          <w:p w14:paraId="4B4824A2">
            <w:pPr>
              <w:jc w:val="center"/>
              <w:rPr>
                <w:strike w:val="0"/>
                <w:dstrike w:val="0"/>
                <w:color w:val="auto"/>
                <w:szCs w:val="21"/>
                <w:highlight w:val="none"/>
              </w:rPr>
            </w:pPr>
            <w:r>
              <w:rPr>
                <w:strike w:val="0"/>
                <w:dstrike w:val="0"/>
                <w:color w:val="auto"/>
                <w:szCs w:val="21"/>
                <w:highlight w:val="none"/>
              </w:rPr>
              <w:t>序号</w:t>
            </w:r>
          </w:p>
        </w:tc>
        <w:tc>
          <w:tcPr>
            <w:tcW w:w="1617" w:type="dxa"/>
            <w:vAlign w:val="center"/>
          </w:tcPr>
          <w:p w14:paraId="683D04B8">
            <w:pPr>
              <w:jc w:val="center"/>
              <w:rPr>
                <w:strike w:val="0"/>
                <w:dstrike w:val="0"/>
                <w:color w:val="auto"/>
                <w:szCs w:val="21"/>
                <w:highlight w:val="none"/>
              </w:rPr>
            </w:pPr>
            <w:r>
              <w:rPr>
                <w:strike w:val="0"/>
                <w:dstrike w:val="0"/>
                <w:color w:val="auto"/>
                <w:szCs w:val="21"/>
                <w:highlight w:val="none"/>
              </w:rPr>
              <w:t>敏感目标名称</w:t>
            </w:r>
          </w:p>
        </w:tc>
        <w:tc>
          <w:tcPr>
            <w:tcW w:w="1350" w:type="dxa"/>
            <w:vAlign w:val="center"/>
          </w:tcPr>
          <w:p w14:paraId="17905C9B">
            <w:pPr>
              <w:jc w:val="center"/>
              <w:rPr>
                <w:strike w:val="0"/>
                <w:dstrike w:val="0"/>
                <w:color w:val="auto"/>
                <w:szCs w:val="21"/>
                <w:highlight w:val="none"/>
              </w:rPr>
            </w:pPr>
            <w:r>
              <w:rPr>
                <w:strike w:val="0"/>
                <w:dstrike w:val="0"/>
                <w:color w:val="auto"/>
                <w:szCs w:val="21"/>
                <w:highlight w:val="none"/>
              </w:rPr>
              <w:t>相对方位</w:t>
            </w:r>
          </w:p>
        </w:tc>
        <w:tc>
          <w:tcPr>
            <w:tcW w:w="945" w:type="dxa"/>
            <w:vAlign w:val="center"/>
          </w:tcPr>
          <w:p w14:paraId="62DBB5F7">
            <w:pPr>
              <w:jc w:val="center"/>
              <w:rPr>
                <w:strike w:val="0"/>
                <w:dstrike w:val="0"/>
                <w:color w:val="auto"/>
                <w:szCs w:val="21"/>
                <w:highlight w:val="none"/>
              </w:rPr>
            </w:pPr>
            <w:r>
              <w:rPr>
                <w:strike w:val="0"/>
                <w:dstrike w:val="0"/>
                <w:color w:val="auto"/>
                <w:szCs w:val="21"/>
                <w:highlight w:val="none"/>
              </w:rPr>
              <w:t>距离/m</w:t>
            </w:r>
          </w:p>
        </w:tc>
        <w:tc>
          <w:tcPr>
            <w:tcW w:w="1290" w:type="dxa"/>
            <w:vAlign w:val="center"/>
          </w:tcPr>
          <w:p w14:paraId="389404E7">
            <w:pPr>
              <w:jc w:val="center"/>
              <w:rPr>
                <w:strike w:val="0"/>
                <w:dstrike w:val="0"/>
                <w:color w:val="auto"/>
                <w:szCs w:val="21"/>
                <w:highlight w:val="none"/>
              </w:rPr>
            </w:pPr>
            <w:r>
              <w:rPr>
                <w:strike w:val="0"/>
                <w:dstrike w:val="0"/>
                <w:color w:val="auto"/>
                <w:szCs w:val="21"/>
                <w:highlight w:val="none"/>
              </w:rPr>
              <w:t>属性</w:t>
            </w:r>
          </w:p>
        </w:tc>
        <w:tc>
          <w:tcPr>
            <w:tcW w:w="1746" w:type="dxa"/>
            <w:vAlign w:val="center"/>
          </w:tcPr>
          <w:p w14:paraId="0F1816CE">
            <w:pPr>
              <w:jc w:val="center"/>
              <w:rPr>
                <w:strike w:val="0"/>
                <w:dstrike w:val="0"/>
                <w:color w:val="auto"/>
                <w:szCs w:val="21"/>
                <w:highlight w:val="none"/>
              </w:rPr>
            </w:pPr>
            <w:r>
              <w:rPr>
                <w:strike w:val="0"/>
                <w:dstrike w:val="0"/>
                <w:color w:val="auto"/>
                <w:szCs w:val="21"/>
                <w:highlight w:val="none"/>
              </w:rPr>
              <w:t>人口数</w:t>
            </w:r>
          </w:p>
        </w:tc>
      </w:tr>
      <w:tr w14:paraId="061D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1F60AC15">
            <w:pPr>
              <w:jc w:val="center"/>
              <w:rPr>
                <w:strike w:val="0"/>
                <w:dstrike w:val="0"/>
                <w:color w:val="auto"/>
                <w:szCs w:val="21"/>
                <w:highlight w:val="none"/>
              </w:rPr>
            </w:pPr>
          </w:p>
        </w:tc>
        <w:tc>
          <w:tcPr>
            <w:tcW w:w="818" w:type="dxa"/>
            <w:vAlign w:val="center"/>
          </w:tcPr>
          <w:p w14:paraId="79F801D4">
            <w:pPr>
              <w:jc w:val="center"/>
              <w:rPr>
                <w:strike w:val="0"/>
                <w:dstrike w:val="0"/>
                <w:color w:val="auto"/>
                <w:szCs w:val="21"/>
                <w:highlight w:val="none"/>
              </w:rPr>
            </w:pPr>
            <w:r>
              <w:rPr>
                <w:strike w:val="0"/>
                <w:dstrike w:val="0"/>
                <w:color w:val="auto"/>
                <w:szCs w:val="21"/>
                <w:highlight w:val="none"/>
              </w:rPr>
              <w:t>1</w:t>
            </w:r>
          </w:p>
        </w:tc>
        <w:tc>
          <w:tcPr>
            <w:tcW w:w="1617" w:type="dxa"/>
            <w:shd w:val="clear" w:color="auto" w:fill="auto"/>
            <w:vAlign w:val="center"/>
          </w:tcPr>
          <w:p w14:paraId="3ACC5239">
            <w:pPr>
              <w:jc w:val="center"/>
              <w:rPr>
                <w:strike w:val="0"/>
                <w:dstrike w:val="0"/>
                <w:color w:val="auto"/>
                <w:kern w:val="0"/>
                <w:szCs w:val="21"/>
                <w:highlight w:val="none"/>
              </w:rPr>
            </w:pPr>
            <w:r>
              <w:rPr>
                <w:rFonts w:hint="eastAsia"/>
                <w:strike w:val="0"/>
                <w:dstrike w:val="0"/>
                <w:color w:val="auto"/>
                <w:kern w:val="0"/>
                <w:szCs w:val="21"/>
                <w:highlight w:val="none"/>
              </w:rPr>
              <w:t>飞岚垭</w:t>
            </w:r>
          </w:p>
        </w:tc>
        <w:tc>
          <w:tcPr>
            <w:tcW w:w="1350" w:type="dxa"/>
            <w:shd w:val="clear" w:color="auto" w:fill="auto"/>
            <w:vAlign w:val="center"/>
          </w:tcPr>
          <w:p w14:paraId="6D91A284">
            <w:pPr>
              <w:jc w:val="center"/>
              <w:rPr>
                <w:strike w:val="0"/>
                <w:dstrike w:val="0"/>
                <w:color w:val="auto"/>
                <w:kern w:val="0"/>
                <w:szCs w:val="21"/>
                <w:highlight w:val="none"/>
              </w:rPr>
            </w:pPr>
            <w:r>
              <w:rPr>
                <w:rFonts w:hint="eastAsia"/>
                <w:strike w:val="0"/>
                <w:dstrike w:val="0"/>
                <w:color w:val="auto"/>
                <w:kern w:val="0"/>
                <w:szCs w:val="21"/>
                <w:highlight w:val="none"/>
              </w:rPr>
              <w:t>SW</w:t>
            </w:r>
          </w:p>
        </w:tc>
        <w:tc>
          <w:tcPr>
            <w:tcW w:w="945" w:type="dxa"/>
            <w:shd w:val="clear" w:color="auto" w:fill="auto"/>
            <w:vAlign w:val="center"/>
          </w:tcPr>
          <w:p w14:paraId="62C9622F">
            <w:pPr>
              <w:jc w:val="center"/>
              <w:rPr>
                <w:strike w:val="0"/>
                <w:dstrike w:val="0"/>
                <w:color w:val="auto"/>
                <w:kern w:val="0"/>
                <w:szCs w:val="21"/>
                <w:highlight w:val="none"/>
              </w:rPr>
            </w:pPr>
            <w:r>
              <w:rPr>
                <w:rFonts w:hint="eastAsia"/>
                <w:strike w:val="0"/>
                <w:dstrike w:val="0"/>
                <w:color w:val="auto"/>
                <w:kern w:val="0"/>
                <w:szCs w:val="21"/>
                <w:highlight w:val="none"/>
              </w:rPr>
              <w:t>280</w:t>
            </w:r>
          </w:p>
        </w:tc>
        <w:tc>
          <w:tcPr>
            <w:tcW w:w="1290" w:type="dxa"/>
            <w:shd w:val="clear" w:color="auto" w:fill="auto"/>
            <w:vAlign w:val="center"/>
          </w:tcPr>
          <w:p w14:paraId="25E85CE4">
            <w:pPr>
              <w:jc w:val="center"/>
              <w:rPr>
                <w:strike w:val="0"/>
                <w:dstrike w:val="0"/>
                <w:color w:val="auto"/>
                <w:kern w:val="0"/>
                <w:szCs w:val="21"/>
                <w:highlight w:val="none"/>
              </w:rPr>
            </w:pPr>
            <w:r>
              <w:rPr>
                <w:strike w:val="0"/>
                <w:dstrike w:val="0"/>
                <w:color w:val="auto"/>
                <w:kern w:val="0"/>
                <w:szCs w:val="21"/>
                <w:highlight w:val="none"/>
              </w:rPr>
              <w:t>居民点</w:t>
            </w:r>
          </w:p>
        </w:tc>
        <w:tc>
          <w:tcPr>
            <w:tcW w:w="1746" w:type="dxa"/>
            <w:shd w:val="clear" w:color="auto" w:fill="auto"/>
            <w:vAlign w:val="center"/>
          </w:tcPr>
          <w:p w14:paraId="31F08F47">
            <w:pPr>
              <w:jc w:val="center"/>
              <w:rPr>
                <w:strike w:val="0"/>
                <w:dstrike w:val="0"/>
                <w:color w:val="auto"/>
                <w:kern w:val="0"/>
                <w:szCs w:val="21"/>
                <w:highlight w:val="none"/>
              </w:rPr>
            </w:pPr>
            <w:r>
              <w:rPr>
                <w:rFonts w:hint="eastAsia"/>
                <w:strike w:val="0"/>
                <w:dstrike w:val="0"/>
                <w:color w:val="auto"/>
                <w:kern w:val="0"/>
                <w:szCs w:val="21"/>
                <w:highlight w:val="none"/>
              </w:rPr>
              <w:t>约400人</w:t>
            </w:r>
          </w:p>
        </w:tc>
      </w:tr>
      <w:tr w14:paraId="0F10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294" w:type="dxa"/>
            <w:vMerge w:val="continue"/>
            <w:vAlign w:val="center"/>
          </w:tcPr>
          <w:p w14:paraId="08709B5A">
            <w:pPr>
              <w:jc w:val="center"/>
              <w:rPr>
                <w:strike w:val="0"/>
                <w:dstrike w:val="0"/>
                <w:color w:val="auto"/>
                <w:szCs w:val="21"/>
                <w:highlight w:val="none"/>
              </w:rPr>
            </w:pPr>
          </w:p>
        </w:tc>
        <w:tc>
          <w:tcPr>
            <w:tcW w:w="818" w:type="dxa"/>
            <w:vAlign w:val="center"/>
          </w:tcPr>
          <w:p w14:paraId="4506C1C9">
            <w:pPr>
              <w:jc w:val="center"/>
              <w:rPr>
                <w:strike w:val="0"/>
                <w:dstrike w:val="0"/>
                <w:color w:val="auto"/>
                <w:szCs w:val="21"/>
                <w:highlight w:val="none"/>
              </w:rPr>
            </w:pPr>
            <w:r>
              <w:rPr>
                <w:rFonts w:hint="eastAsia"/>
                <w:strike w:val="0"/>
                <w:dstrike w:val="0"/>
                <w:color w:val="auto"/>
                <w:szCs w:val="21"/>
                <w:highlight w:val="none"/>
              </w:rPr>
              <w:t>2</w:t>
            </w:r>
          </w:p>
        </w:tc>
        <w:tc>
          <w:tcPr>
            <w:tcW w:w="1617" w:type="dxa"/>
            <w:shd w:val="clear" w:color="auto" w:fill="auto"/>
            <w:vAlign w:val="center"/>
          </w:tcPr>
          <w:p w14:paraId="144D0264">
            <w:pPr>
              <w:jc w:val="center"/>
              <w:rPr>
                <w:strike w:val="0"/>
                <w:dstrike w:val="0"/>
                <w:color w:val="auto"/>
                <w:kern w:val="0"/>
                <w:szCs w:val="21"/>
                <w:highlight w:val="none"/>
              </w:rPr>
            </w:pPr>
            <w:r>
              <w:rPr>
                <w:rFonts w:hint="eastAsia"/>
                <w:strike w:val="0"/>
                <w:dstrike w:val="0"/>
                <w:color w:val="auto"/>
                <w:kern w:val="0"/>
                <w:szCs w:val="21"/>
                <w:highlight w:val="none"/>
              </w:rPr>
              <w:t>1#居民点</w:t>
            </w:r>
          </w:p>
        </w:tc>
        <w:tc>
          <w:tcPr>
            <w:tcW w:w="1350" w:type="dxa"/>
            <w:shd w:val="clear" w:color="auto" w:fill="auto"/>
            <w:vAlign w:val="center"/>
          </w:tcPr>
          <w:p w14:paraId="7C0C04DF">
            <w:pPr>
              <w:jc w:val="center"/>
              <w:rPr>
                <w:strike w:val="0"/>
                <w:dstrike w:val="0"/>
                <w:color w:val="auto"/>
                <w:kern w:val="0"/>
                <w:szCs w:val="21"/>
                <w:highlight w:val="none"/>
              </w:rPr>
            </w:pPr>
            <w:r>
              <w:rPr>
                <w:rFonts w:hint="eastAsia"/>
                <w:strike w:val="0"/>
                <w:dstrike w:val="0"/>
                <w:color w:val="auto"/>
                <w:kern w:val="0"/>
                <w:szCs w:val="21"/>
                <w:highlight w:val="none"/>
              </w:rPr>
              <w:t>SW</w:t>
            </w:r>
          </w:p>
        </w:tc>
        <w:tc>
          <w:tcPr>
            <w:tcW w:w="945" w:type="dxa"/>
            <w:shd w:val="clear" w:color="auto" w:fill="auto"/>
            <w:vAlign w:val="center"/>
          </w:tcPr>
          <w:p w14:paraId="2DA20277">
            <w:pPr>
              <w:jc w:val="center"/>
              <w:rPr>
                <w:strike w:val="0"/>
                <w:dstrike w:val="0"/>
                <w:color w:val="auto"/>
                <w:kern w:val="0"/>
                <w:szCs w:val="21"/>
                <w:highlight w:val="none"/>
              </w:rPr>
            </w:pPr>
            <w:r>
              <w:rPr>
                <w:rFonts w:hint="eastAsia"/>
                <w:strike w:val="0"/>
                <w:dstrike w:val="0"/>
                <w:color w:val="auto"/>
                <w:kern w:val="0"/>
                <w:szCs w:val="21"/>
                <w:highlight w:val="none"/>
              </w:rPr>
              <w:t>160</w:t>
            </w:r>
          </w:p>
        </w:tc>
        <w:tc>
          <w:tcPr>
            <w:tcW w:w="1290" w:type="dxa"/>
            <w:shd w:val="clear" w:color="auto" w:fill="auto"/>
            <w:vAlign w:val="center"/>
          </w:tcPr>
          <w:p w14:paraId="28634150">
            <w:pPr>
              <w:jc w:val="center"/>
              <w:rPr>
                <w:strike w:val="0"/>
                <w:dstrike w:val="0"/>
                <w:color w:val="auto"/>
                <w:kern w:val="0"/>
                <w:szCs w:val="21"/>
                <w:highlight w:val="none"/>
              </w:rPr>
            </w:pPr>
            <w:r>
              <w:rPr>
                <w:strike w:val="0"/>
                <w:dstrike w:val="0"/>
                <w:color w:val="auto"/>
                <w:kern w:val="0"/>
                <w:szCs w:val="21"/>
                <w:highlight w:val="none"/>
              </w:rPr>
              <w:t>居民点</w:t>
            </w:r>
          </w:p>
        </w:tc>
        <w:tc>
          <w:tcPr>
            <w:tcW w:w="1746" w:type="dxa"/>
            <w:shd w:val="clear" w:color="auto" w:fill="auto"/>
            <w:vAlign w:val="center"/>
          </w:tcPr>
          <w:p w14:paraId="66AAC562">
            <w:pPr>
              <w:jc w:val="center"/>
              <w:rPr>
                <w:strike w:val="0"/>
                <w:dstrike w:val="0"/>
                <w:color w:val="auto"/>
                <w:kern w:val="0"/>
                <w:szCs w:val="21"/>
                <w:highlight w:val="none"/>
              </w:rPr>
            </w:pPr>
            <w:r>
              <w:rPr>
                <w:rFonts w:hint="eastAsia"/>
                <w:strike w:val="0"/>
                <w:dstrike w:val="0"/>
                <w:color w:val="auto"/>
                <w:kern w:val="0"/>
                <w:szCs w:val="21"/>
                <w:highlight w:val="none"/>
              </w:rPr>
              <w:t>5户，约15人</w:t>
            </w:r>
          </w:p>
        </w:tc>
      </w:tr>
      <w:tr w14:paraId="0C13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294" w:type="dxa"/>
            <w:vMerge w:val="continue"/>
            <w:vAlign w:val="center"/>
          </w:tcPr>
          <w:p w14:paraId="1C573E48">
            <w:pPr>
              <w:jc w:val="center"/>
              <w:rPr>
                <w:strike w:val="0"/>
                <w:dstrike w:val="0"/>
                <w:color w:val="auto"/>
                <w:highlight w:val="none"/>
              </w:rPr>
            </w:pPr>
          </w:p>
        </w:tc>
        <w:tc>
          <w:tcPr>
            <w:tcW w:w="818" w:type="dxa"/>
            <w:vAlign w:val="center"/>
          </w:tcPr>
          <w:p w14:paraId="344D5D21">
            <w:pPr>
              <w:jc w:val="center"/>
              <w:rPr>
                <w:strike w:val="0"/>
                <w:dstrike w:val="0"/>
                <w:color w:val="auto"/>
                <w:szCs w:val="21"/>
                <w:highlight w:val="none"/>
              </w:rPr>
            </w:pPr>
            <w:r>
              <w:rPr>
                <w:rFonts w:hint="eastAsia"/>
                <w:strike w:val="0"/>
                <w:dstrike w:val="0"/>
                <w:color w:val="auto"/>
                <w:szCs w:val="21"/>
                <w:highlight w:val="none"/>
              </w:rPr>
              <w:t>3</w:t>
            </w:r>
          </w:p>
        </w:tc>
        <w:tc>
          <w:tcPr>
            <w:tcW w:w="1617" w:type="dxa"/>
            <w:shd w:val="clear" w:color="auto" w:fill="auto"/>
            <w:vAlign w:val="center"/>
          </w:tcPr>
          <w:p w14:paraId="5C52E9FA">
            <w:pPr>
              <w:jc w:val="center"/>
              <w:rPr>
                <w:strike w:val="0"/>
                <w:dstrike w:val="0"/>
                <w:color w:val="auto"/>
                <w:kern w:val="0"/>
                <w:szCs w:val="21"/>
                <w:highlight w:val="none"/>
              </w:rPr>
            </w:pPr>
            <w:r>
              <w:rPr>
                <w:rFonts w:hint="eastAsia"/>
                <w:strike w:val="0"/>
                <w:dstrike w:val="0"/>
                <w:color w:val="auto"/>
                <w:kern w:val="0"/>
                <w:szCs w:val="21"/>
                <w:highlight w:val="none"/>
              </w:rPr>
              <w:t>2#居民点</w:t>
            </w:r>
          </w:p>
        </w:tc>
        <w:tc>
          <w:tcPr>
            <w:tcW w:w="1350" w:type="dxa"/>
            <w:shd w:val="clear" w:color="auto" w:fill="auto"/>
            <w:vAlign w:val="center"/>
          </w:tcPr>
          <w:p w14:paraId="3D055838">
            <w:pPr>
              <w:jc w:val="center"/>
              <w:rPr>
                <w:strike w:val="0"/>
                <w:dstrike w:val="0"/>
                <w:color w:val="auto"/>
                <w:kern w:val="0"/>
                <w:szCs w:val="21"/>
                <w:highlight w:val="none"/>
              </w:rPr>
            </w:pPr>
            <w:r>
              <w:rPr>
                <w:rFonts w:hint="eastAsia"/>
                <w:strike w:val="0"/>
                <w:dstrike w:val="0"/>
                <w:color w:val="auto"/>
                <w:kern w:val="0"/>
                <w:szCs w:val="21"/>
                <w:highlight w:val="none"/>
              </w:rPr>
              <w:t>NW</w:t>
            </w:r>
          </w:p>
        </w:tc>
        <w:tc>
          <w:tcPr>
            <w:tcW w:w="945" w:type="dxa"/>
            <w:shd w:val="clear" w:color="auto" w:fill="auto"/>
            <w:vAlign w:val="center"/>
          </w:tcPr>
          <w:p w14:paraId="37CDA49B">
            <w:pPr>
              <w:jc w:val="center"/>
              <w:rPr>
                <w:strike w:val="0"/>
                <w:dstrike w:val="0"/>
                <w:color w:val="auto"/>
                <w:kern w:val="0"/>
                <w:szCs w:val="21"/>
                <w:highlight w:val="none"/>
              </w:rPr>
            </w:pPr>
            <w:r>
              <w:rPr>
                <w:rFonts w:hint="eastAsia"/>
                <w:strike w:val="0"/>
                <w:dstrike w:val="0"/>
                <w:color w:val="auto"/>
                <w:kern w:val="0"/>
                <w:szCs w:val="21"/>
                <w:highlight w:val="none"/>
              </w:rPr>
              <w:t>159</w:t>
            </w:r>
          </w:p>
        </w:tc>
        <w:tc>
          <w:tcPr>
            <w:tcW w:w="1290" w:type="dxa"/>
            <w:shd w:val="clear" w:color="auto" w:fill="auto"/>
            <w:vAlign w:val="center"/>
          </w:tcPr>
          <w:p w14:paraId="2DB8FC88">
            <w:pPr>
              <w:jc w:val="center"/>
              <w:rPr>
                <w:strike w:val="0"/>
                <w:dstrike w:val="0"/>
                <w:color w:val="auto"/>
                <w:kern w:val="0"/>
                <w:szCs w:val="21"/>
                <w:highlight w:val="none"/>
              </w:rPr>
            </w:pPr>
            <w:r>
              <w:rPr>
                <w:strike w:val="0"/>
                <w:dstrike w:val="0"/>
                <w:color w:val="auto"/>
                <w:kern w:val="0"/>
                <w:szCs w:val="21"/>
                <w:highlight w:val="none"/>
              </w:rPr>
              <w:t>居民点</w:t>
            </w:r>
          </w:p>
        </w:tc>
        <w:tc>
          <w:tcPr>
            <w:tcW w:w="1746" w:type="dxa"/>
            <w:shd w:val="clear" w:color="auto" w:fill="auto"/>
            <w:vAlign w:val="center"/>
          </w:tcPr>
          <w:p w14:paraId="09115F8C">
            <w:pPr>
              <w:jc w:val="center"/>
              <w:rPr>
                <w:strike w:val="0"/>
                <w:dstrike w:val="0"/>
                <w:color w:val="auto"/>
                <w:kern w:val="0"/>
                <w:szCs w:val="21"/>
                <w:highlight w:val="none"/>
              </w:rPr>
            </w:pPr>
            <w:r>
              <w:rPr>
                <w:rFonts w:hint="eastAsia"/>
                <w:strike w:val="0"/>
                <w:dstrike w:val="0"/>
                <w:color w:val="auto"/>
                <w:kern w:val="0"/>
                <w:szCs w:val="21"/>
                <w:highlight w:val="none"/>
              </w:rPr>
              <w:t>1户，约3人</w:t>
            </w:r>
          </w:p>
        </w:tc>
      </w:tr>
      <w:tr w14:paraId="3666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294" w:type="dxa"/>
            <w:vMerge w:val="continue"/>
            <w:vAlign w:val="center"/>
          </w:tcPr>
          <w:p w14:paraId="64F7B805">
            <w:pPr>
              <w:jc w:val="center"/>
              <w:rPr>
                <w:strike w:val="0"/>
                <w:dstrike w:val="0"/>
                <w:color w:val="auto"/>
                <w:szCs w:val="21"/>
                <w:highlight w:val="none"/>
              </w:rPr>
            </w:pPr>
          </w:p>
        </w:tc>
        <w:tc>
          <w:tcPr>
            <w:tcW w:w="818" w:type="dxa"/>
            <w:vAlign w:val="center"/>
          </w:tcPr>
          <w:p w14:paraId="296BC5BD">
            <w:pPr>
              <w:jc w:val="center"/>
              <w:rPr>
                <w:strike w:val="0"/>
                <w:dstrike w:val="0"/>
                <w:color w:val="auto"/>
                <w:szCs w:val="21"/>
                <w:highlight w:val="none"/>
              </w:rPr>
            </w:pPr>
            <w:r>
              <w:rPr>
                <w:rFonts w:hint="eastAsia"/>
                <w:strike w:val="0"/>
                <w:dstrike w:val="0"/>
                <w:color w:val="auto"/>
                <w:szCs w:val="21"/>
                <w:highlight w:val="none"/>
              </w:rPr>
              <w:t>4</w:t>
            </w:r>
          </w:p>
        </w:tc>
        <w:tc>
          <w:tcPr>
            <w:tcW w:w="1617" w:type="dxa"/>
            <w:shd w:val="clear" w:color="auto" w:fill="auto"/>
            <w:vAlign w:val="center"/>
          </w:tcPr>
          <w:p w14:paraId="0DB0CFD0">
            <w:pPr>
              <w:jc w:val="center"/>
              <w:rPr>
                <w:strike w:val="0"/>
                <w:dstrike w:val="0"/>
                <w:color w:val="auto"/>
                <w:kern w:val="0"/>
                <w:szCs w:val="21"/>
                <w:highlight w:val="none"/>
              </w:rPr>
            </w:pPr>
            <w:r>
              <w:rPr>
                <w:rFonts w:hint="eastAsia"/>
                <w:strike w:val="0"/>
                <w:dstrike w:val="0"/>
                <w:color w:val="auto"/>
                <w:kern w:val="0"/>
                <w:szCs w:val="21"/>
                <w:highlight w:val="none"/>
              </w:rPr>
              <w:t>3#居民点</w:t>
            </w:r>
          </w:p>
        </w:tc>
        <w:tc>
          <w:tcPr>
            <w:tcW w:w="1350" w:type="dxa"/>
            <w:shd w:val="clear" w:color="auto" w:fill="auto"/>
            <w:vAlign w:val="center"/>
          </w:tcPr>
          <w:p w14:paraId="3E7C3B36">
            <w:pPr>
              <w:jc w:val="center"/>
              <w:rPr>
                <w:strike w:val="0"/>
                <w:dstrike w:val="0"/>
                <w:color w:val="auto"/>
                <w:kern w:val="0"/>
                <w:szCs w:val="21"/>
                <w:highlight w:val="none"/>
              </w:rPr>
            </w:pPr>
            <w:r>
              <w:rPr>
                <w:rFonts w:hint="eastAsia"/>
                <w:strike w:val="0"/>
                <w:dstrike w:val="0"/>
                <w:color w:val="auto"/>
                <w:kern w:val="0"/>
                <w:szCs w:val="21"/>
                <w:highlight w:val="none"/>
              </w:rPr>
              <w:t>NW</w:t>
            </w:r>
          </w:p>
        </w:tc>
        <w:tc>
          <w:tcPr>
            <w:tcW w:w="945" w:type="dxa"/>
            <w:shd w:val="clear" w:color="auto" w:fill="auto"/>
            <w:vAlign w:val="center"/>
          </w:tcPr>
          <w:p w14:paraId="19BB8C24">
            <w:pPr>
              <w:jc w:val="center"/>
              <w:rPr>
                <w:strike w:val="0"/>
                <w:dstrike w:val="0"/>
                <w:color w:val="auto"/>
                <w:kern w:val="0"/>
                <w:szCs w:val="21"/>
                <w:highlight w:val="none"/>
              </w:rPr>
            </w:pPr>
            <w:r>
              <w:rPr>
                <w:rFonts w:hint="eastAsia"/>
                <w:strike w:val="0"/>
                <w:dstrike w:val="0"/>
                <w:color w:val="auto"/>
                <w:kern w:val="0"/>
                <w:szCs w:val="21"/>
                <w:highlight w:val="none"/>
              </w:rPr>
              <w:t>234</w:t>
            </w:r>
          </w:p>
        </w:tc>
        <w:tc>
          <w:tcPr>
            <w:tcW w:w="1290" w:type="dxa"/>
            <w:shd w:val="clear" w:color="auto" w:fill="auto"/>
            <w:vAlign w:val="center"/>
          </w:tcPr>
          <w:p w14:paraId="193C082C">
            <w:pPr>
              <w:jc w:val="center"/>
              <w:rPr>
                <w:strike w:val="0"/>
                <w:dstrike w:val="0"/>
                <w:color w:val="auto"/>
                <w:kern w:val="0"/>
                <w:szCs w:val="21"/>
                <w:highlight w:val="none"/>
              </w:rPr>
            </w:pPr>
            <w:r>
              <w:rPr>
                <w:strike w:val="0"/>
                <w:dstrike w:val="0"/>
                <w:color w:val="auto"/>
                <w:kern w:val="0"/>
                <w:szCs w:val="21"/>
                <w:highlight w:val="none"/>
              </w:rPr>
              <w:t>居民点</w:t>
            </w:r>
          </w:p>
        </w:tc>
        <w:tc>
          <w:tcPr>
            <w:tcW w:w="1746" w:type="dxa"/>
            <w:shd w:val="clear" w:color="auto" w:fill="auto"/>
            <w:vAlign w:val="center"/>
          </w:tcPr>
          <w:p w14:paraId="4613EFCA">
            <w:pPr>
              <w:jc w:val="center"/>
              <w:rPr>
                <w:strike w:val="0"/>
                <w:dstrike w:val="0"/>
                <w:color w:val="auto"/>
                <w:kern w:val="0"/>
                <w:szCs w:val="21"/>
                <w:highlight w:val="none"/>
              </w:rPr>
            </w:pPr>
            <w:r>
              <w:rPr>
                <w:rFonts w:hint="eastAsia"/>
                <w:strike w:val="0"/>
                <w:dstrike w:val="0"/>
                <w:color w:val="auto"/>
                <w:kern w:val="0"/>
                <w:szCs w:val="21"/>
                <w:highlight w:val="none"/>
              </w:rPr>
              <w:t>3户，约9人</w:t>
            </w:r>
          </w:p>
        </w:tc>
      </w:tr>
      <w:tr w14:paraId="39CF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294" w:type="dxa"/>
            <w:vMerge w:val="continue"/>
            <w:vAlign w:val="center"/>
          </w:tcPr>
          <w:p w14:paraId="2B37D98D">
            <w:pPr>
              <w:jc w:val="center"/>
              <w:rPr>
                <w:strike w:val="0"/>
                <w:dstrike w:val="0"/>
                <w:color w:val="auto"/>
                <w:szCs w:val="21"/>
                <w:highlight w:val="none"/>
              </w:rPr>
            </w:pPr>
          </w:p>
        </w:tc>
        <w:tc>
          <w:tcPr>
            <w:tcW w:w="818" w:type="dxa"/>
            <w:vAlign w:val="center"/>
          </w:tcPr>
          <w:p w14:paraId="3CF52AC8">
            <w:pPr>
              <w:jc w:val="center"/>
              <w:rPr>
                <w:strike w:val="0"/>
                <w:dstrike w:val="0"/>
                <w:color w:val="auto"/>
                <w:szCs w:val="21"/>
                <w:highlight w:val="none"/>
              </w:rPr>
            </w:pPr>
            <w:r>
              <w:rPr>
                <w:rFonts w:hint="eastAsia"/>
                <w:strike w:val="0"/>
                <w:dstrike w:val="0"/>
                <w:color w:val="auto"/>
                <w:szCs w:val="21"/>
                <w:highlight w:val="none"/>
              </w:rPr>
              <w:t>5</w:t>
            </w:r>
          </w:p>
        </w:tc>
        <w:tc>
          <w:tcPr>
            <w:tcW w:w="1617" w:type="dxa"/>
            <w:shd w:val="clear" w:color="auto" w:fill="auto"/>
            <w:vAlign w:val="center"/>
          </w:tcPr>
          <w:p w14:paraId="4378985E">
            <w:pPr>
              <w:jc w:val="center"/>
              <w:rPr>
                <w:strike w:val="0"/>
                <w:dstrike w:val="0"/>
                <w:color w:val="auto"/>
                <w:kern w:val="0"/>
                <w:szCs w:val="21"/>
                <w:highlight w:val="none"/>
              </w:rPr>
            </w:pPr>
            <w:r>
              <w:rPr>
                <w:rFonts w:hint="eastAsia"/>
                <w:strike w:val="0"/>
                <w:dstrike w:val="0"/>
                <w:color w:val="auto"/>
                <w:kern w:val="0"/>
                <w:szCs w:val="21"/>
                <w:highlight w:val="none"/>
              </w:rPr>
              <w:t>4#居民点</w:t>
            </w:r>
          </w:p>
        </w:tc>
        <w:tc>
          <w:tcPr>
            <w:tcW w:w="1350" w:type="dxa"/>
            <w:shd w:val="clear" w:color="auto" w:fill="auto"/>
            <w:vAlign w:val="center"/>
          </w:tcPr>
          <w:p w14:paraId="11949F69">
            <w:pPr>
              <w:jc w:val="center"/>
              <w:rPr>
                <w:strike w:val="0"/>
                <w:dstrike w:val="0"/>
                <w:color w:val="auto"/>
                <w:kern w:val="0"/>
                <w:szCs w:val="21"/>
                <w:highlight w:val="none"/>
              </w:rPr>
            </w:pPr>
            <w:r>
              <w:rPr>
                <w:rFonts w:hint="eastAsia"/>
                <w:strike w:val="0"/>
                <w:dstrike w:val="0"/>
                <w:color w:val="auto"/>
                <w:kern w:val="0"/>
                <w:szCs w:val="21"/>
                <w:highlight w:val="none"/>
              </w:rPr>
              <w:t>NW</w:t>
            </w:r>
          </w:p>
        </w:tc>
        <w:tc>
          <w:tcPr>
            <w:tcW w:w="945" w:type="dxa"/>
            <w:shd w:val="clear" w:color="auto" w:fill="auto"/>
            <w:vAlign w:val="center"/>
          </w:tcPr>
          <w:p w14:paraId="4CF6249D">
            <w:pPr>
              <w:jc w:val="center"/>
              <w:rPr>
                <w:strike w:val="0"/>
                <w:dstrike w:val="0"/>
                <w:color w:val="auto"/>
                <w:kern w:val="0"/>
                <w:szCs w:val="21"/>
                <w:highlight w:val="none"/>
              </w:rPr>
            </w:pPr>
            <w:r>
              <w:rPr>
                <w:rFonts w:hint="eastAsia"/>
                <w:strike w:val="0"/>
                <w:dstrike w:val="0"/>
                <w:color w:val="auto"/>
                <w:kern w:val="0"/>
                <w:szCs w:val="21"/>
                <w:highlight w:val="none"/>
              </w:rPr>
              <w:t>410</w:t>
            </w:r>
          </w:p>
        </w:tc>
        <w:tc>
          <w:tcPr>
            <w:tcW w:w="1290" w:type="dxa"/>
            <w:shd w:val="clear" w:color="auto" w:fill="auto"/>
            <w:vAlign w:val="center"/>
          </w:tcPr>
          <w:p w14:paraId="3EF40C0E">
            <w:pPr>
              <w:jc w:val="center"/>
              <w:rPr>
                <w:strike w:val="0"/>
                <w:dstrike w:val="0"/>
                <w:color w:val="auto"/>
                <w:kern w:val="0"/>
                <w:szCs w:val="21"/>
                <w:highlight w:val="none"/>
              </w:rPr>
            </w:pPr>
            <w:r>
              <w:rPr>
                <w:strike w:val="0"/>
                <w:dstrike w:val="0"/>
                <w:color w:val="auto"/>
                <w:kern w:val="0"/>
                <w:szCs w:val="21"/>
                <w:highlight w:val="none"/>
              </w:rPr>
              <w:t>居民点</w:t>
            </w:r>
          </w:p>
        </w:tc>
        <w:tc>
          <w:tcPr>
            <w:tcW w:w="1746" w:type="dxa"/>
            <w:shd w:val="clear" w:color="auto" w:fill="auto"/>
            <w:vAlign w:val="center"/>
          </w:tcPr>
          <w:p w14:paraId="53064B17">
            <w:pPr>
              <w:jc w:val="center"/>
              <w:rPr>
                <w:strike w:val="0"/>
                <w:dstrike w:val="0"/>
                <w:color w:val="auto"/>
                <w:kern w:val="0"/>
                <w:szCs w:val="21"/>
                <w:highlight w:val="none"/>
              </w:rPr>
            </w:pPr>
            <w:r>
              <w:rPr>
                <w:rFonts w:hint="eastAsia"/>
                <w:strike w:val="0"/>
                <w:dstrike w:val="0"/>
                <w:color w:val="auto"/>
                <w:kern w:val="0"/>
                <w:szCs w:val="21"/>
                <w:highlight w:val="none"/>
              </w:rPr>
              <w:t>1户，约3人</w:t>
            </w:r>
          </w:p>
        </w:tc>
      </w:tr>
      <w:tr w14:paraId="7744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294" w:type="dxa"/>
            <w:vMerge w:val="continue"/>
            <w:vAlign w:val="center"/>
          </w:tcPr>
          <w:p w14:paraId="7493A0A5">
            <w:pPr>
              <w:jc w:val="center"/>
              <w:rPr>
                <w:strike w:val="0"/>
                <w:dstrike w:val="0"/>
                <w:color w:val="auto"/>
                <w:szCs w:val="21"/>
                <w:highlight w:val="none"/>
              </w:rPr>
            </w:pPr>
          </w:p>
        </w:tc>
        <w:tc>
          <w:tcPr>
            <w:tcW w:w="818" w:type="dxa"/>
            <w:vAlign w:val="center"/>
          </w:tcPr>
          <w:p w14:paraId="4C0782E6">
            <w:pPr>
              <w:jc w:val="center"/>
              <w:rPr>
                <w:strike w:val="0"/>
                <w:dstrike w:val="0"/>
                <w:color w:val="auto"/>
                <w:szCs w:val="21"/>
                <w:highlight w:val="none"/>
              </w:rPr>
            </w:pPr>
            <w:r>
              <w:rPr>
                <w:rFonts w:hint="eastAsia"/>
                <w:strike w:val="0"/>
                <w:dstrike w:val="0"/>
                <w:color w:val="auto"/>
                <w:szCs w:val="21"/>
                <w:highlight w:val="none"/>
              </w:rPr>
              <w:t>6</w:t>
            </w:r>
          </w:p>
        </w:tc>
        <w:tc>
          <w:tcPr>
            <w:tcW w:w="1617" w:type="dxa"/>
            <w:shd w:val="clear" w:color="auto" w:fill="auto"/>
            <w:vAlign w:val="center"/>
          </w:tcPr>
          <w:p w14:paraId="7F43DF25">
            <w:pPr>
              <w:jc w:val="center"/>
              <w:rPr>
                <w:strike w:val="0"/>
                <w:dstrike w:val="0"/>
                <w:color w:val="auto"/>
                <w:kern w:val="0"/>
                <w:szCs w:val="21"/>
                <w:highlight w:val="none"/>
              </w:rPr>
            </w:pPr>
            <w:r>
              <w:rPr>
                <w:rFonts w:hint="eastAsia"/>
                <w:strike w:val="0"/>
                <w:dstrike w:val="0"/>
                <w:color w:val="auto"/>
                <w:kern w:val="0"/>
                <w:szCs w:val="21"/>
                <w:highlight w:val="none"/>
              </w:rPr>
              <w:t>5#居民点</w:t>
            </w:r>
          </w:p>
        </w:tc>
        <w:tc>
          <w:tcPr>
            <w:tcW w:w="1350" w:type="dxa"/>
            <w:shd w:val="clear" w:color="auto" w:fill="auto"/>
            <w:vAlign w:val="center"/>
          </w:tcPr>
          <w:p w14:paraId="50163DDF">
            <w:pPr>
              <w:jc w:val="center"/>
              <w:rPr>
                <w:strike w:val="0"/>
                <w:dstrike w:val="0"/>
                <w:color w:val="auto"/>
                <w:kern w:val="0"/>
                <w:szCs w:val="21"/>
                <w:highlight w:val="none"/>
              </w:rPr>
            </w:pPr>
            <w:r>
              <w:rPr>
                <w:rFonts w:hint="eastAsia"/>
                <w:strike w:val="0"/>
                <w:dstrike w:val="0"/>
                <w:color w:val="auto"/>
                <w:kern w:val="0"/>
                <w:szCs w:val="21"/>
                <w:highlight w:val="none"/>
              </w:rPr>
              <w:t>W</w:t>
            </w:r>
          </w:p>
        </w:tc>
        <w:tc>
          <w:tcPr>
            <w:tcW w:w="945" w:type="dxa"/>
            <w:shd w:val="clear" w:color="auto" w:fill="auto"/>
            <w:vAlign w:val="center"/>
          </w:tcPr>
          <w:p w14:paraId="0B95C4B4">
            <w:pPr>
              <w:jc w:val="center"/>
              <w:rPr>
                <w:strike w:val="0"/>
                <w:dstrike w:val="0"/>
                <w:color w:val="auto"/>
                <w:kern w:val="0"/>
                <w:szCs w:val="21"/>
                <w:highlight w:val="none"/>
              </w:rPr>
            </w:pPr>
            <w:r>
              <w:rPr>
                <w:rFonts w:hint="eastAsia"/>
                <w:strike w:val="0"/>
                <w:dstrike w:val="0"/>
                <w:color w:val="auto"/>
                <w:kern w:val="0"/>
                <w:szCs w:val="21"/>
                <w:highlight w:val="none"/>
              </w:rPr>
              <w:t>460</w:t>
            </w:r>
          </w:p>
        </w:tc>
        <w:tc>
          <w:tcPr>
            <w:tcW w:w="1290" w:type="dxa"/>
            <w:shd w:val="clear" w:color="auto" w:fill="auto"/>
            <w:vAlign w:val="center"/>
          </w:tcPr>
          <w:p w14:paraId="3AC16737">
            <w:pPr>
              <w:jc w:val="center"/>
              <w:rPr>
                <w:strike w:val="0"/>
                <w:dstrike w:val="0"/>
                <w:color w:val="auto"/>
                <w:kern w:val="0"/>
                <w:szCs w:val="21"/>
                <w:highlight w:val="none"/>
              </w:rPr>
            </w:pPr>
            <w:r>
              <w:rPr>
                <w:strike w:val="0"/>
                <w:dstrike w:val="0"/>
                <w:color w:val="auto"/>
                <w:kern w:val="0"/>
                <w:szCs w:val="21"/>
                <w:highlight w:val="none"/>
              </w:rPr>
              <w:t>居民点</w:t>
            </w:r>
          </w:p>
        </w:tc>
        <w:tc>
          <w:tcPr>
            <w:tcW w:w="1746" w:type="dxa"/>
            <w:shd w:val="clear" w:color="auto" w:fill="auto"/>
            <w:vAlign w:val="center"/>
          </w:tcPr>
          <w:p w14:paraId="526005AC">
            <w:pPr>
              <w:jc w:val="center"/>
              <w:rPr>
                <w:strike w:val="0"/>
                <w:dstrike w:val="0"/>
                <w:color w:val="auto"/>
                <w:kern w:val="0"/>
                <w:szCs w:val="21"/>
                <w:highlight w:val="none"/>
              </w:rPr>
            </w:pPr>
            <w:r>
              <w:rPr>
                <w:rFonts w:hint="eastAsia"/>
                <w:strike w:val="0"/>
                <w:dstrike w:val="0"/>
                <w:color w:val="auto"/>
                <w:kern w:val="0"/>
                <w:szCs w:val="21"/>
                <w:highlight w:val="none"/>
              </w:rPr>
              <w:t>1户，约3人</w:t>
            </w:r>
          </w:p>
        </w:tc>
      </w:tr>
      <w:tr w14:paraId="57D8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4ED2733C">
            <w:pPr>
              <w:jc w:val="center"/>
              <w:rPr>
                <w:strike w:val="0"/>
                <w:dstrike w:val="0"/>
                <w:color w:val="auto"/>
                <w:szCs w:val="21"/>
                <w:highlight w:val="none"/>
              </w:rPr>
            </w:pPr>
          </w:p>
        </w:tc>
        <w:tc>
          <w:tcPr>
            <w:tcW w:w="818" w:type="dxa"/>
            <w:shd w:val="clear" w:color="auto" w:fill="auto"/>
            <w:vAlign w:val="center"/>
          </w:tcPr>
          <w:p w14:paraId="28373B52">
            <w:pPr>
              <w:jc w:val="center"/>
              <w:rPr>
                <w:strike w:val="0"/>
                <w:dstrike w:val="0"/>
                <w:color w:val="auto"/>
                <w:szCs w:val="21"/>
                <w:highlight w:val="none"/>
              </w:rPr>
            </w:pPr>
            <w:r>
              <w:rPr>
                <w:rFonts w:hint="eastAsia"/>
                <w:strike w:val="0"/>
                <w:dstrike w:val="0"/>
                <w:color w:val="auto"/>
                <w:szCs w:val="21"/>
                <w:highlight w:val="none"/>
              </w:rPr>
              <w:t>7</w:t>
            </w:r>
          </w:p>
        </w:tc>
        <w:tc>
          <w:tcPr>
            <w:tcW w:w="1617" w:type="dxa"/>
            <w:shd w:val="clear" w:color="auto" w:fill="auto"/>
            <w:vAlign w:val="center"/>
          </w:tcPr>
          <w:p w14:paraId="1DCF36AA">
            <w:pPr>
              <w:jc w:val="center"/>
              <w:rPr>
                <w:strike w:val="0"/>
                <w:dstrike w:val="0"/>
                <w:color w:val="auto"/>
                <w:kern w:val="0"/>
                <w:szCs w:val="21"/>
                <w:highlight w:val="none"/>
              </w:rPr>
            </w:pPr>
            <w:r>
              <w:rPr>
                <w:rFonts w:hint="eastAsia"/>
                <w:strike w:val="0"/>
                <w:dstrike w:val="0"/>
                <w:color w:val="auto"/>
                <w:kern w:val="0"/>
                <w:szCs w:val="21"/>
                <w:highlight w:val="none"/>
              </w:rPr>
              <w:t>6#居民点</w:t>
            </w:r>
          </w:p>
        </w:tc>
        <w:tc>
          <w:tcPr>
            <w:tcW w:w="1350" w:type="dxa"/>
            <w:shd w:val="clear" w:color="auto" w:fill="auto"/>
            <w:vAlign w:val="center"/>
          </w:tcPr>
          <w:p w14:paraId="233EBA39">
            <w:pPr>
              <w:jc w:val="center"/>
              <w:rPr>
                <w:strike w:val="0"/>
                <w:dstrike w:val="0"/>
                <w:color w:val="auto"/>
                <w:kern w:val="0"/>
                <w:szCs w:val="21"/>
                <w:highlight w:val="none"/>
              </w:rPr>
            </w:pPr>
            <w:r>
              <w:rPr>
                <w:rFonts w:hint="eastAsia"/>
                <w:strike w:val="0"/>
                <w:dstrike w:val="0"/>
                <w:color w:val="auto"/>
                <w:kern w:val="0"/>
                <w:szCs w:val="21"/>
                <w:highlight w:val="none"/>
              </w:rPr>
              <w:t>S</w:t>
            </w:r>
          </w:p>
        </w:tc>
        <w:tc>
          <w:tcPr>
            <w:tcW w:w="945" w:type="dxa"/>
            <w:shd w:val="clear" w:color="auto" w:fill="auto"/>
            <w:vAlign w:val="center"/>
          </w:tcPr>
          <w:p w14:paraId="0F144CD9">
            <w:pPr>
              <w:jc w:val="center"/>
              <w:rPr>
                <w:strike w:val="0"/>
                <w:dstrike w:val="0"/>
                <w:color w:val="auto"/>
                <w:kern w:val="0"/>
                <w:szCs w:val="21"/>
                <w:highlight w:val="none"/>
              </w:rPr>
            </w:pPr>
            <w:r>
              <w:rPr>
                <w:rFonts w:hint="eastAsia"/>
                <w:strike w:val="0"/>
                <w:dstrike w:val="0"/>
                <w:color w:val="auto"/>
                <w:kern w:val="0"/>
                <w:szCs w:val="21"/>
                <w:highlight w:val="none"/>
              </w:rPr>
              <w:t>490</w:t>
            </w:r>
          </w:p>
        </w:tc>
        <w:tc>
          <w:tcPr>
            <w:tcW w:w="1290" w:type="dxa"/>
            <w:shd w:val="clear" w:color="auto" w:fill="auto"/>
            <w:vAlign w:val="center"/>
          </w:tcPr>
          <w:p w14:paraId="2CED5FA2">
            <w:pPr>
              <w:jc w:val="center"/>
              <w:rPr>
                <w:strike w:val="0"/>
                <w:dstrike w:val="0"/>
                <w:color w:val="auto"/>
                <w:kern w:val="0"/>
                <w:szCs w:val="21"/>
                <w:highlight w:val="none"/>
              </w:rPr>
            </w:pPr>
            <w:r>
              <w:rPr>
                <w:strike w:val="0"/>
                <w:dstrike w:val="0"/>
                <w:color w:val="auto"/>
                <w:kern w:val="0"/>
                <w:szCs w:val="21"/>
                <w:highlight w:val="none"/>
              </w:rPr>
              <w:t>居民点</w:t>
            </w:r>
          </w:p>
        </w:tc>
        <w:tc>
          <w:tcPr>
            <w:tcW w:w="1746" w:type="dxa"/>
            <w:shd w:val="clear" w:color="auto" w:fill="auto"/>
            <w:vAlign w:val="center"/>
          </w:tcPr>
          <w:p w14:paraId="329FD39E">
            <w:pPr>
              <w:jc w:val="center"/>
              <w:rPr>
                <w:strike w:val="0"/>
                <w:dstrike w:val="0"/>
                <w:color w:val="auto"/>
                <w:kern w:val="0"/>
                <w:szCs w:val="21"/>
                <w:highlight w:val="none"/>
              </w:rPr>
            </w:pPr>
            <w:r>
              <w:rPr>
                <w:rFonts w:hint="eastAsia"/>
                <w:strike w:val="0"/>
                <w:dstrike w:val="0"/>
                <w:color w:val="auto"/>
                <w:kern w:val="0"/>
                <w:szCs w:val="21"/>
                <w:highlight w:val="none"/>
              </w:rPr>
              <w:t>1户，约3人</w:t>
            </w:r>
          </w:p>
        </w:tc>
      </w:tr>
      <w:tr w14:paraId="0A38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788B7599">
            <w:pPr>
              <w:jc w:val="center"/>
              <w:rPr>
                <w:strike w:val="0"/>
                <w:dstrike w:val="0"/>
                <w:color w:val="auto"/>
                <w:szCs w:val="21"/>
                <w:highlight w:val="none"/>
              </w:rPr>
            </w:pPr>
          </w:p>
        </w:tc>
        <w:tc>
          <w:tcPr>
            <w:tcW w:w="818" w:type="dxa"/>
            <w:shd w:val="clear" w:color="auto" w:fill="auto"/>
            <w:vAlign w:val="center"/>
          </w:tcPr>
          <w:p w14:paraId="4A30EBBA">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8</w:t>
            </w:r>
          </w:p>
        </w:tc>
        <w:tc>
          <w:tcPr>
            <w:tcW w:w="1617" w:type="dxa"/>
            <w:shd w:val="clear" w:color="auto" w:fill="auto"/>
            <w:vAlign w:val="center"/>
          </w:tcPr>
          <w:p w14:paraId="16864EA4">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7</w:t>
            </w:r>
            <w:r>
              <w:rPr>
                <w:rFonts w:hint="eastAsia"/>
                <w:strike w:val="0"/>
                <w:dstrike w:val="0"/>
                <w:color w:val="auto"/>
                <w:kern w:val="0"/>
                <w:szCs w:val="21"/>
                <w:highlight w:val="none"/>
              </w:rPr>
              <w:t>#居民点</w:t>
            </w:r>
          </w:p>
        </w:tc>
        <w:tc>
          <w:tcPr>
            <w:tcW w:w="1350" w:type="dxa"/>
            <w:shd w:val="clear" w:color="auto" w:fill="auto"/>
            <w:vAlign w:val="center"/>
          </w:tcPr>
          <w:p w14:paraId="096833A7">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SE</w:t>
            </w:r>
          </w:p>
        </w:tc>
        <w:tc>
          <w:tcPr>
            <w:tcW w:w="945" w:type="dxa"/>
            <w:shd w:val="clear" w:color="auto" w:fill="auto"/>
            <w:vAlign w:val="center"/>
          </w:tcPr>
          <w:p w14:paraId="5D99F101">
            <w:pPr>
              <w:jc w:val="center"/>
              <w:rPr>
                <w:rFonts w:hint="default" w:eastAsia="宋体"/>
                <w:strike w:val="0"/>
                <w:dstrike w:val="0"/>
                <w:color w:val="auto"/>
                <w:kern w:val="0"/>
                <w:szCs w:val="21"/>
                <w:highlight w:val="none"/>
                <w:lang w:val="en-US" w:eastAsia="zh-CN"/>
              </w:rPr>
            </w:pPr>
            <w:r>
              <w:rPr>
                <w:rFonts w:hint="eastAsia"/>
                <w:strike w:val="0"/>
                <w:dstrike w:val="0"/>
                <w:color w:val="auto"/>
                <w:kern w:val="0"/>
                <w:szCs w:val="21"/>
                <w:highlight w:val="none"/>
                <w:lang w:val="en-US" w:eastAsia="zh-CN"/>
              </w:rPr>
              <w:t>542</w:t>
            </w:r>
          </w:p>
        </w:tc>
        <w:tc>
          <w:tcPr>
            <w:tcW w:w="1290" w:type="dxa"/>
            <w:shd w:val="clear" w:color="auto" w:fill="auto"/>
            <w:vAlign w:val="center"/>
          </w:tcPr>
          <w:p w14:paraId="710AFD91">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746" w:type="dxa"/>
            <w:shd w:val="clear" w:color="auto" w:fill="auto"/>
            <w:vAlign w:val="center"/>
          </w:tcPr>
          <w:p w14:paraId="22FF8D4E">
            <w:pPr>
              <w:jc w:val="center"/>
              <w:rPr>
                <w:rFonts w:hint="eastAsia" w:eastAsia="宋体"/>
                <w:strike w:val="0"/>
                <w:dstrike w:val="0"/>
                <w:color w:val="auto"/>
                <w:kern w:val="0"/>
                <w:szCs w:val="21"/>
                <w:highlight w:val="none"/>
                <w:lang w:val="en-US" w:eastAsia="zh-CN"/>
              </w:rPr>
            </w:pPr>
            <w:r>
              <w:rPr>
                <w:rFonts w:hint="eastAsia"/>
                <w:strike w:val="0"/>
                <w:dstrike w:val="0"/>
                <w:color w:val="auto"/>
                <w:kern w:val="0"/>
                <w:szCs w:val="21"/>
                <w:highlight w:val="none"/>
                <w:lang w:val="en-US" w:eastAsia="zh-CN"/>
              </w:rPr>
              <w:t>8</w:t>
            </w:r>
            <w:r>
              <w:rPr>
                <w:rFonts w:hint="eastAsia"/>
                <w:strike w:val="0"/>
                <w:dstrike w:val="0"/>
                <w:color w:val="auto"/>
                <w:kern w:val="0"/>
                <w:szCs w:val="21"/>
                <w:highlight w:val="none"/>
              </w:rPr>
              <w:t>户，约</w:t>
            </w:r>
            <w:r>
              <w:rPr>
                <w:rFonts w:hint="eastAsia"/>
                <w:strike w:val="0"/>
                <w:dstrike w:val="0"/>
                <w:color w:val="auto"/>
                <w:kern w:val="0"/>
                <w:szCs w:val="21"/>
                <w:highlight w:val="none"/>
                <w:lang w:val="en-US" w:eastAsia="zh-CN"/>
              </w:rPr>
              <w:t>24</w:t>
            </w:r>
            <w:r>
              <w:rPr>
                <w:rFonts w:hint="eastAsia"/>
                <w:strike w:val="0"/>
                <w:dstrike w:val="0"/>
                <w:color w:val="auto"/>
                <w:kern w:val="0"/>
                <w:szCs w:val="21"/>
                <w:highlight w:val="none"/>
              </w:rPr>
              <w:t>人</w:t>
            </w:r>
          </w:p>
        </w:tc>
      </w:tr>
      <w:tr w14:paraId="3D87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679DCCA0">
            <w:pPr>
              <w:jc w:val="center"/>
              <w:rPr>
                <w:strike w:val="0"/>
                <w:dstrike w:val="0"/>
                <w:color w:val="auto"/>
                <w:szCs w:val="21"/>
                <w:highlight w:val="none"/>
              </w:rPr>
            </w:pPr>
          </w:p>
        </w:tc>
        <w:tc>
          <w:tcPr>
            <w:tcW w:w="818" w:type="dxa"/>
            <w:shd w:val="clear" w:color="auto" w:fill="auto"/>
            <w:vAlign w:val="center"/>
          </w:tcPr>
          <w:p w14:paraId="3D1E150A">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9</w:t>
            </w:r>
          </w:p>
        </w:tc>
        <w:tc>
          <w:tcPr>
            <w:tcW w:w="1617" w:type="dxa"/>
            <w:shd w:val="clear" w:color="auto" w:fill="auto"/>
            <w:vAlign w:val="center"/>
          </w:tcPr>
          <w:p w14:paraId="08CE3551">
            <w:pPr>
              <w:jc w:val="center"/>
              <w:rPr>
                <w:strike w:val="0"/>
                <w:dstrike w:val="0"/>
                <w:color w:val="auto"/>
                <w:szCs w:val="21"/>
                <w:highlight w:val="none"/>
              </w:rPr>
            </w:pPr>
            <w:r>
              <w:rPr>
                <w:rFonts w:hint="eastAsia"/>
                <w:strike w:val="0"/>
                <w:dstrike w:val="0"/>
                <w:color w:val="auto"/>
                <w:szCs w:val="21"/>
                <w:highlight w:val="none"/>
              </w:rPr>
              <w:t>8</w:t>
            </w:r>
            <w:r>
              <w:rPr>
                <w:rFonts w:hint="eastAsia"/>
                <w:strike w:val="0"/>
                <w:dstrike w:val="0"/>
                <w:color w:val="auto"/>
                <w:kern w:val="0"/>
                <w:szCs w:val="21"/>
                <w:highlight w:val="none"/>
              </w:rPr>
              <w:t>#居民点</w:t>
            </w:r>
          </w:p>
        </w:tc>
        <w:tc>
          <w:tcPr>
            <w:tcW w:w="1350" w:type="dxa"/>
            <w:shd w:val="clear" w:color="auto" w:fill="auto"/>
            <w:vAlign w:val="center"/>
          </w:tcPr>
          <w:p w14:paraId="1B3AA9E2">
            <w:pPr>
              <w:jc w:val="center"/>
              <w:rPr>
                <w:strike w:val="0"/>
                <w:dstrike w:val="0"/>
                <w:color w:val="auto"/>
                <w:szCs w:val="21"/>
                <w:highlight w:val="none"/>
              </w:rPr>
            </w:pPr>
            <w:r>
              <w:rPr>
                <w:rFonts w:hint="eastAsia"/>
                <w:strike w:val="0"/>
                <w:dstrike w:val="0"/>
                <w:color w:val="auto"/>
                <w:szCs w:val="21"/>
                <w:highlight w:val="none"/>
              </w:rPr>
              <w:t>NE</w:t>
            </w:r>
          </w:p>
        </w:tc>
        <w:tc>
          <w:tcPr>
            <w:tcW w:w="945" w:type="dxa"/>
            <w:shd w:val="clear" w:color="auto" w:fill="auto"/>
            <w:vAlign w:val="center"/>
          </w:tcPr>
          <w:p w14:paraId="693A4926">
            <w:pPr>
              <w:jc w:val="center"/>
              <w:rPr>
                <w:strike w:val="0"/>
                <w:dstrike w:val="0"/>
                <w:color w:val="auto"/>
                <w:szCs w:val="21"/>
                <w:highlight w:val="none"/>
              </w:rPr>
            </w:pPr>
            <w:r>
              <w:rPr>
                <w:rFonts w:hint="eastAsia"/>
                <w:strike w:val="0"/>
                <w:dstrike w:val="0"/>
                <w:color w:val="auto"/>
                <w:szCs w:val="21"/>
                <w:highlight w:val="none"/>
              </w:rPr>
              <w:t>750</w:t>
            </w:r>
          </w:p>
        </w:tc>
        <w:tc>
          <w:tcPr>
            <w:tcW w:w="1290" w:type="dxa"/>
            <w:shd w:val="clear" w:color="auto" w:fill="auto"/>
            <w:vAlign w:val="center"/>
          </w:tcPr>
          <w:p w14:paraId="482D8B0F">
            <w:pPr>
              <w:jc w:val="center"/>
              <w:rPr>
                <w:strike w:val="0"/>
                <w:dstrike w:val="0"/>
                <w:color w:val="auto"/>
                <w:szCs w:val="21"/>
                <w:highlight w:val="none"/>
              </w:rPr>
            </w:pPr>
            <w:r>
              <w:rPr>
                <w:strike w:val="0"/>
                <w:dstrike w:val="0"/>
                <w:color w:val="auto"/>
                <w:kern w:val="0"/>
                <w:szCs w:val="21"/>
                <w:highlight w:val="none"/>
              </w:rPr>
              <w:t>居民点</w:t>
            </w:r>
          </w:p>
        </w:tc>
        <w:tc>
          <w:tcPr>
            <w:tcW w:w="1746" w:type="dxa"/>
            <w:shd w:val="clear" w:color="auto" w:fill="auto"/>
            <w:vAlign w:val="center"/>
          </w:tcPr>
          <w:p w14:paraId="5D96EC36">
            <w:pPr>
              <w:jc w:val="center"/>
              <w:rPr>
                <w:strike w:val="0"/>
                <w:dstrike w:val="0"/>
                <w:color w:val="auto"/>
                <w:szCs w:val="21"/>
                <w:highlight w:val="none"/>
              </w:rPr>
            </w:pPr>
            <w:r>
              <w:rPr>
                <w:rFonts w:hint="eastAsia"/>
                <w:strike w:val="0"/>
                <w:dstrike w:val="0"/>
                <w:color w:val="auto"/>
                <w:szCs w:val="21"/>
                <w:highlight w:val="none"/>
              </w:rPr>
              <w:t>5</w:t>
            </w:r>
            <w:r>
              <w:rPr>
                <w:rFonts w:hint="eastAsia"/>
                <w:strike w:val="0"/>
                <w:dstrike w:val="0"/>
                <w:color w:val="auto"/>
                <w:kern w:val="0"/>
                <w:szCs w:val="21"/>
                <w:highlight w:val="none"/>
              </w:rPr>
              <w:t>户，约15人</w:t>
            </w:r>
          </w:p>
        </w:tc>
      </w:tr>
      <w:tr w14:paraId="1F7C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137EE9E1">
            <w:pPr>
              <w:jc w:val="center"/>
              <w:rPr>
                <w:strike w:val="0"/>
                <w:dstrike w:val="0"/>
                <w:color w:val="auto"/>
                <w:szCs w:val="21"/>
                <w:highlight w:val="none"/>
              </w:rPr>
            </w:pPr>
          </w:p>
        </w:tc>
        <w:tc>
          <w:tcPr>
            <w:tcW w:w="818" w:type="dxa"/>
            <w:shd w:val="clear" w:color="auto" w:fill="auto"/>
            <w:vAlign w:val="center"/>
          </w:tcPr>
          <w:p w14:paraId="3A5A06D0">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10</w:t>
            </w:r>
          </w:p>
        </w:tc>
        <w:tc>
          <w:tcPr>
            <w:tcW w:w="1617" w:type="dxa"/>
            <w:shd w:val="clear" w:color="auto" w:fill="auto"/>
            <w:vAlign w:val="center"/>
          </w:tcPr>
          <w:p w14:paraId="7603BBCC">
            <w:pPr>
              <w:jc w:val="center"/>
              <w:rPr>
                <w:strike w:val="0"/>
                <w:dstrike w:val="0"/>
                <w:color w:val="auto"/>
                <w:szCs w:val="21"/>
                <w:highlight w:val="none"/>
              </w:rPr>
            </w:pPr>
            <w:r>
              <w:rPr>
                <w:rFonts w:hint="eastAsia"/>
                <w:strike w:val="0"/>
                <w:dstrike w:val="0"/>
                <w:color w:val="auto"/>
                <w:szCs w:val="21"/>
                <w:highlight w:val="none"/>
              </w:rPr>
              <w:t>9</w:t>
            </w:r>
            <w:r>
              <w:rPr>
                <w:rFonts w:hint="eastAsia"/>
                <w:strike w:val="0"/>
                <w:dstrike w:val="0"/>
                <w:color w:val="auto"/>
                <w:kern w:val="0"/>
                <w:szCs w:val="21"/>
                <w:highlight w:val="none"/>
              </w:rPr>
              <w:t>#居民点</w:t>
            </w:r>
          </w:p>
        </w:tc>
        <w:tc>
          <w:tcPr>
            <w:tcW w:w="1350" w:type="dxa"/>
            <w:shd w:val="clear" w:color="auto" w:fill="auto"/>
            <w:vAlign w:val="center"/>
          </w:tcPr>
          <w:p w14:paraId="1BFEDC0C">
            <w:pPr>
              <w:jc w:val="center"/>
              <w:rPr>
                <w:strike w:val="0"/>
                <w:dstrike w:val="0"/>
                <w:color w:val="auto"/>
                <w:kern w:val="0"/>
                <w:szCs w:val="21"/>
                <w:highlight w:val="none"/>
              </w:rPr>
            </w:pPr>
            <w:r>
              <w:rPr>
                <w:rFonts w:hint="eastAsia"/>
                <w:strike w:val="0"/>
                <w:dstrike w:val="0"/>
                <w:color w:val="auto"/>
                <w:kern w:val="0"/>
                <w:szCs w:val="21"/>
                <w:highlight w:val="none"/>
              </w:rPr>
              <w:t>N</w:t>
            </w:r>
          </w:p>
        </w:tc>
        <w:tc>
          <w:tcPr>
            <w:tcW w:w="945" w:type="dxa"/>
            <w:shd w:val="clear" w:color="auto" w:fill="auto"/>
            <w:vAlign w:val="center"/>
          </w:tcPr>
          <w:p w14:paraId="01644834">
            <w:pPr>
              <w:jc w:val="center"/>
              <w:rPr>
                <w:strike w:val="0"/>
                <w:dstrike w:val="0"/>
                <w:color w:val="auto"/>
                <w:szCs w:val="21"/>
                <w:highlight w:val="none"/>
              </w:rPr>
            </w:pPr>
            <w:r>
              <w:rPr>
                <w:rFonts w:hint="eastAsia"/>
                <w:strike w:val="0"/>
                <w:dstrike w:val="0"/>
                <w:color w:val="auto"/>
                <w:szCs w:val="21"/>
                <w:highlight w:val="none"/>
              </w:rPr>
              <w:t>1135</w:t>
            </w:r>
          </w:p>
        </w:tc>
        <w:tc>
          <w:tcPr>
            <w:tcW w:w="1290" w:type="dxa"/>
            <w:shd w:val="clear" w:color="auto" w:fill="auto"/>
            <w:vAlign w:val="center"/>
          </w:tcPr>
          <w:p w14:paraId="598CE73C">
            <w:pPr>
              <w:jc w:val="center"/>
              <w:rPr>
                <w:strike w:val="0"/>
                <w:dstrike w:val="0"/>
                <w:color w:val="auto"/>
                <w:szCs w:val="21"/>
                <w:highlight w:val="none"/>
              </w:rPr>
            </w:pPr>
            <w:r>
              <w:rPr>
                <w:strike w:val="0"/>
                <w:dstrike w:val="0"/>
                <w:color w:val="auto"/>
                <w:kern w:val="0"/>
                <w:szCs w:val="21"/>
                <w:highlight w:val="none"/>
              </w:rPr>
              <w:t>居民点</w:t>
            </w:r>
          </w:p>
        </w:tc>
        <w:tc>
          <w:tcPr>
            <w:tcW w:w="1746" w:type="dxa"/>
            <w:shd w:val="clear" w:color="auto" w:fill="auto"/>
            <w:vAlign w:val="center"/>
          </w:tcPr>
          <w:p w14:paraId="4BC2625E">
            <w:pPr>
              <w:jc w:val="center"/>
              <w:rPr>
                <w:strike w:val="0"/>
                <w:dstrike w:val="0"/>
                <w:color w:val="auto"/>
                <w:szCs w:val="21"/>
                <w:highlight w:val="none"/>
              </w:rPr>
            </w:pPr>
            <w:r>
              <w:rPr>
                <w:rFonts w:hint="eastAsia"/>
                <w:strike w:val="0"/>
                <w:dstrike w:val="0"/>
                <w:color w:val="auto"/>
                <w:szCs w:val="21"/>
                <w:highlight w:val="none"/>
              </w:rPr>
              <w:t>10</w:t>
            </w:r>
            <w:r>
              <w:rPr>
                <w:rFonts w:hint="eastAsia"/>
                <w:strike w:val="0"/>
                <w:dstrike w:val="0"/>
                <w:color w:val="auto"/>
                <w:kern w:val="0"/>
                <w:szCs w:val="21"/>
                <w:highlight w:val="none"/>
              </w:rPr>
              <w:t>户，约30人</w:t>
            </w:r>
          </w:p>
        </w:tc>
      </w:tr>
      <w:tr w14:paraId="33C0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7DC5B325">
            <w:pPr>
              <w:jc w:val="center"/>
              <w:rPr>
                <w:strike w:val="0"/>
                <w:dstrike w:val="0"/>
                <w:color w:val="auto"/>
                <w:szCs w:val="21"/>
                <w:highlight w:val="none"/>
              </w:rPr>
            </w:pPr>
          </w:p>
        </w:tc>
        <w:tc>
          <w:tcPr>
            <w:tcW w:w="818" w:type="dxa"/>
            <w:shd w:val="clear" w:color="auto" w:fill="auto"/>
            <w:vAlign w:val="center"/>
          </w:tcPr>
          <w:p w14:paraId="572703B7">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11</w:t>
            </w:r>
          </w:p>
        </w:tc>
        <w:tc>
          <w:tcPr>
            <w:tcW w:w="1617" w:type="dxa"/>
            <w:shd w:val="clear" w:color="auto" w:fill="auto"/>
            <w:vAlign w:val="center"/>
          </w:tcPr>
          <w:p w14:paraId="6FBE4F29">
            <w:pPr>
              <w:jc w:val="center"/>
              <w:rPr>
                <w:strike w:val="0"/>
                <w:dstrike w:val="0"/>
                <w:color w:val="auto"/>
                <w:szCs w:val="21"/>
                <w:highlight w:val="none"/>
              </w:rPr>
            </w:pPr>
            <w:r>
              <w:rPr>
                <w:rFonts w:hint="eastAsia"/>
                <w:strike w:val="0"/>
                <w:dstrike w:val="0"/>
                <w:color w:val="auto"/>
                <w:szCs w:val="21"/>
                <w:highlight w:val="none"/>
              </w:rPr>
              <w:t>10</w:t>
            </w:r>
            <w:r>
              <w:rPr>
                <w:rFonts w:hint="eastAsia"/>
                <w:strike w:val="0"/>
                <w:dstrike w:val="0"/>
                <w:color w:val="auto"/>
                <w:kern w:val="0"/>
                <w:szCs w:val="21"/>
                <w:highlight w:val="none"/>
              </w:rPr>
              <w:t>#居民点</w:t>
            </w:r>
          </w:p>
        </w:tc>
        <w:tc>
          <w:tcPr>
            <w:tcW w:w="1350" w:type="dxa"/>
            <w:shd w:val="clear" w:color="auto" w:fill="auto"/>
            <w:vAlign w:val="center"/>
          </w:tcPr>
          <w:p w14:paraId="370CCCA4">
            <w:pPr>
              <w:jc w:val="center"/>
              <w:rPr>
                <w:strike w:val="0"/>
                <w:dstrike w:val="0"/>
                <w:color w:val="auto"/>
                <w:szCs w:val="21"/>
                <w:highlight w:val="none"/>
              </w:rPr>
            </w:pPr>
            <w:r>
              <w:rPr>
                <w:rFonts w:hint="eastAsia"/>
                <w:strike w:val="0"/>
                <w:dstrike w:val="0"/>
                <w:color w:val="auto"/>
                <w:szCs w:val="21"/>
                <w:highlight w:val="none"/>
              </w:rPr>
              <w:t>NE</w:t>
            </w:r>
          </w:p>
        </w:tc>
        <w:tc>
          <w:tcPr>
            <w:tcW w:w="945" w:type="dxa"/>
            <w:shd w:val="clear" w:color="auto" w:fill="auto"/>
            <w:vAlign w:val="center"/>
          </w:tcPr>
          <w:p w14:paraId="05FD5B57">
            <w:pPr>
              <w:jc w:val="center"/>
              <w:rPr>
                <w:strike w:val="0"/>
                <w:dstrike w:val="0"/>
                <w:color w:val="auto"/>
                <w:szCs w:val="21"/>
                <w:highlight w:val="none"/>
              </w:rPr>
            </w:pPr>
            <w:r>
              <w:rPr>
                <w:rFonts w:hint="eastAsia"/>
                <w:strike w:val="0"/>
                <w:dstrike w:val="0"/>
                <w:color w:val="auto"/>
                <w:szCs w:val="21"/>
                <w:highlight w:val="none"/>
              </w:rPr>
              <w:t>1080</w:t>
            </w:r>
          </w:p>
        </w:tc>
        <w:tc>
          <w:tcPr>
            <w:tcW w:w="1290" w:type="dxa"/>
            <w:shd w:val="clear" w:color="auto" w:fill="auto"/>
            <w:vAlign w:val="center"/>
          </w:tcPr>
          <w:p w14:paraId="57FF9B33">
            <w:pPr>
              <w:jc w:val="center"/>
              <w:rPr>
                <w:strike w:val="0"/>
                <w:dstrike w:val="0"/>
                <w:color w:val="auto"/>
                <w:szCs w:val="21"/>
                <w:highlight w:val="none"/>
              </w:rPr>
            </w:pPr>
            <w:r>
              <w:rPr>
                <w:strike w:val="0"/>
                <w:dstrike w:val="0"/>
                <w:color w:val="auto"/>
                <w:kern w:val="0"/>
                <w:szCs w:val="21"/>
                <w:highlight w:val="none"/>
              </w:rPr>
              <w:t>居民点</w:t>
            </w:r>
          </w:p>
        </w:tc>
        <w:tc>
          <w:tcPr>
            <w:tcW w:w="1746" w:type="dxa"/>
            <w:shd w:val="clear" w:color="auto" w:fill="auto"/>
            <w:vAlign w:val="center"/>
          </w:tcPr>
          <w:p w14:paraId="7B5E4AEE">
            <w:pPr>
              <w:jc w:val="center"/>
              <w:rPr>
                <w:strike w:val="0"/>
                <w:dstrike w:val="0"/>
                <w:color w:val="auto"/>
                <w:szCs w:val="21"/>
                <w:highlight w:val="none"/>
              </w:rPr>
            </w:pPr>
            <w:r>
              <w:rPr>
                <w:rFonts w:hint="eastAsia"/>
                <w:strike w:val="0"/>
                <w:dstrike w:val="0"/>
                <w:color w:val="auto"/>
                <w:szCs w:val="21"/>
                <w:highlight w:val="none"/>
              </w:rPr>
              <w:t>15</w:t>
            </w:r>
            <w:r>
              <w:rPr>
                <w:rFonts w:hint="eastAsia"/>
                <w:strike w:val="0"/>
                <w:dstrike w:val="0"/>
                <w:color w:val="auto"/>
                <w:kern w:val="0"/>
                <w:szCs w:val="21"/>
                <w:highlight w:val="none"/>
              </w:rPr>
              <w:t>户，约45人</w:t>
            </w:r>
          </w:p>
        </w:tc>
      </w:tr>
      <w:tr w14:paraId="306B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7D9A18A5">
            <w:pPr>
              <w:jc w:val="center"/>
              <w:rPr>
                <w:strike w:val="0"/>
                <w:dstrike w:val="0"/>
                <w:color w:val="auto"/>
                <w:szCs w:val="21"/>
                <w:highlight w:val="none"/>
              </w:rPr>
            </w:pPr>
          </w:p>
        </w:tc>
        <w:tc>
          <w:tcPr>
            <w:tcW w:w="818" w:type="dxa"/>
            <w:shd w:val="clear" w:color="auto" w:fill="auto"/>
            <w:vAlign w:val="center"/>
          </w:tcPr>
          <w:p w14:paraId="3494F273">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12</w:t>
            </w:r>
          </w:p>
        </w:tc>
        <w:tc>
          <w:tcPr>
            <w:tcW w:w="1617" w:type="dxa"/>
            <w:shd w:val="clear" w:color="auto" w:fill="auto"/>
            <w:vAlign w:val="center"/>
          </w:tcPr>
          <w:p w14:paraId="63F64709">
            <w:pPr>
              <w:jc w:val="center"/>
              <w:rPr>
                <w:strike w:val="0"/>
                <w:dstrike w:val="0"/>
                <w:color w:val="auto"/>
                <w:szCs w:val="21"/>
                <w:highlight w:val="none"/>
              </w:rPr>
            </w:pPr>
            <w:r>
              <w:rPr>
                <w:rFonts w:hint="eastAsia"/>
                <w:strike w:val="0"/>
                <w:dstrike w:val="0"/>
                <w:color w:val="auto"/>
                <w:szCs w:val="21"/>
                <w:highlight w:val="none"/>
              </w:rPr>
              <w:t>11</w:t>
            </w:r>
            <w:r>
              <w:rPr>
                <w:rFonts w:hint="eastAsia"/>
                <w:strike w:val="0"/>
                <w:dstrike w:val="0"/>
                <w:color w:val="auto"/>
                <w:kern w:val="0"/>
                <w:szCs w:val="21"/>
                <w:highlight w:val="none"/>
              </w:rPr>
              <w:t>#居民点</w:t>
            </w:r>
          </w:p>
        </w:tc>
        <w:tc>
          <w:tcPr>
            <w:tcW w:w="1350" w:type="dxa"/>
            <w:shd w:val="clear" w:color="auto" w:fill="auto"/>
            <w:vAlign w:val="center"/>
          </w:tcPr>
          <w:p w14:paraId="1A48067F">
            <w:pPr>
              <w:jc w:val="center"/>
              <w:rPr>
                <w:strike w:val="0"/>
                <w:dstrike w:val="0"/>
                <w:color w:val="auto"/>
                <w:szCs w:val="21"/>
                <w:highlight w:val="none"/>
              </w:rPr>
            </w:pPr>
            <w:r>
              <w:rPr>
                <w:rFonts w:hint="eastAsia"/>
                <w:strike w:val="0"/>
                <w:dstrike w:val="0"/>
                <w:color w:val="auto"/>
                <w:szCs w:val="21"/>
                <w:highlight w:val="none"/>
              </w:rPr>
              <w:t>NE</w:t>
            </w:r>
          </w:p>
        </w:tc>
        <w:tc>
          <w:tcPr>
            <w:tcW w:w="945" w:type="dxa"/>
            <w:shd w:val="clear" w:color="auto" w:fill="auto"/>
            <w:vAlign w:val="center"/>
          </w:tcPr>
          <w:p w14:paraId="06AC1E0E">
            <w:pPr>
              <w:jc w:val="center"/>
              <w:rPr>
                <w:strike w:val="0"/>
                <w:dstrike w:val="0"/>
                <w:color w:val="auto"/>
                <w:szCs w:val="21"/>
                <w:highlight w:val="none"/>
              </w:rPr>
            </w:pPr>
            <w:r>
              <w:rPr>
                <w:rFonts w:hint="eastAsia"/>
                <w:strike w:val="0"/>
                <w:dstrike w:val="0"/>
                <w:color w:val="auto"/>
                <w:szCs w:val="21"/>
                <w:highlight w:val="none"/>
              </w:rPr>
              <w:t>1450</w:t>
            </w:r>
          </w:p>
        </w:tc>
        <w:tc>
          <w:tcPr>
            <w:tcW w:w="1290" w:type="dxa"/>
            <w:shd w:val="clear" w:color="auto" w:fill="auto"/>
            <w:vAlign w:val="center"/>
          </w:tcPr>
          <w:p w14:paraId="04E77ADB">
            <w:pPr>
              <w:jc w:val="center"/>
              <w:rPr>
                <w:strike w:val="0"/>
                <w:dstrike w:val="0"/>
                <w:color w:val="auto"/>
                <w:szCs w:val="21"/>
                <w:highlight w:val="none"/>
              </w:rPr>
            </w:pPr>
            <w:r>
              <w:rPr>
                <w:strike w:val="0"/>
                <w:dstrike w:val="0"/>
                <w:color w:val="auto"/>
                <w:kern w:val="0"/>
                <w:szCs w:val="21"/>
                <w:highlight w:val="none"/>
              </w:rPr>
              <w:t>居民点</w:t>
            </w:r>
          </w:p>
        </w:tc>
        <w:tc>
          <w:tcPr>
            <w:tcW w:w="1746" w:type="dxa"/>
            <w:shd w:val="clear" w:color="auto" w:fill="auto"/>
            <w:vAlign w:val="center"/>
          </w:tcPr>
          <w:p w14:paraId="44AF16F3">
            <w:pPr>
              <w:jc w:val="center"/>
              <w:rPr>
                <w:strike w:val="0"/>
                <w:dstrike w:val="0"/>
                <w:color w:val="auto"/>
                <w:szCs w:val="21"/>
                <w:highlight w:val="none"/>
              </w:rPr>
            </w:pPr>
            <w:r>
              <w:rPr>
                <w:rFonts w:hint="eastAsia"/>
                <w:strike w:val="0"/>
                <w:dstrike w:val="0"/>
                <w:color w:val="auto"/>
                <w:szCs w:val="21"/>
                <w:highlight w:val="none"/>
              </w:rPr>
              <w:t>50</w:t>
            </w:r>
            <w:r>
              <w:rPr>
                <w:rFonts w:hint="eastAsia"/>
                <w:strike w:val="0"/>
                <w:dstrike w:val="0"/>
                <w:color w:val="auto"/>
                <w:kern w:val="0"/>
                <w:szCs w:val="21"/>
                <w:highlight w:val="none"/>
              </w:rPr>
              <w:t>户，约150人</w:t>
            </w:r>
          </w:p>
        </w:tc>
      </w:tr>
      <w:tr w14:paraId="53BF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6D7F8DF1">
            <w:pPr>
              <w:jc w:val="center"/>
              <w:rPr>
                <w:strike w:val="0"/>
                <w:dstrike w:val="0"/>
                <w:color w:val="auto"/>
                <w:szCs w:val="21"/>
                <w:highlight w:val="none"/>
              </w:rPr>
            </w:pPr>
          </w:p>
        </w:tc>
        <w:tc>
          <w:tcPr>
            <w:tcW w:w="818" w:type="dxa"/>
            <w:shd w:val="clear" w:color="auto" w:fill="auto"/>
            <w:vAlign w:val="center"/>
          </w:tcPr>
          <w:p w14:paraId="280319EF">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13</w:t>
            </w:r>
          </w:p>
        </w:tc>
        <w:tc>
          <w:tcPr>
            <w:tcW w:w="1617" w:type="dxa"/>
            <w:shd w:val="clear" w:color="auto" w:fill="auto"/>
            <w:vAlign w:val="center"/>
          </w:tcPr>
          <w:p w14:paraId="23F8ADE1">
            <w:pPr>
              <w:jc w:val="center"/>
              <w:rPr>
                <w:strike w:val="0"/>
                <w:dstrike w:val="0"/>
                <w:color w:val="auto"/>
                <w:szCs w:val="21"/>
                <w:highlight w:val="none"/>
              </w:rPr>
            </w:pPr>
            <w:r>
              <w:rPr>
                <w:rFonts w:hint="eastAsia"/>
                <w:strike w:val="0"/>
                <w:dstrike w:val="0"/>
                <w:color w:val="auto"/>
                <w:szCs w:val="21"/>
                <w:highlight w:val="none"/>
              </w:rPr>
              <w:t>12</w:t>
            </w:r>
            <w:r>
              <w:rPr>
                <w:rFonts w:hint="eastAsia"/>
                <w:strike w:val="0"/>
                <w:dstrike w:val="0"/>
                <w:color w:val="auto"/>
                <w:kern w:val="0"/>
                <w:szCs w:val="21"/>
                <w:highlight w:val="none"/>
              </w:rPr>
              <w:t>#居民点</w:t>
            </w:r>
          </w:p>
        </w:tc>
        <w:tc>
          <w:tcPr>
            <w:tcW w:w="1350" w:type="dxa"/>
            <w:shd w:val="clear" w:color="auto" w:fill="auto"/>
            <w:vAlign w:val="center"/>
          </w:tcPr>
          <w:p w14:paraId="11BE47D2">
            <w:pPr>
              <w:jc w:val="center"/>
              <w:rPr>
                <w:strike w:val="0"/>
                <w:dstrike w:val="0"/>
                <w:color w:val="auto"/>
                <w:szCs w:val="21"/>
                <w:highlight w:val="none"/>
              </w:rPr>
            </w:pPr>
            <w:r>
              <w:rPr>
                <w:rFonts w:hint="eastAsia"/>
                <w:strike w:val="0"/>
                <w:dstrike w:val="0"/>
                <w:color w:val="auto"/>
                <w:szCs w:val="21"/>
                <w:highlight w:val="none"/>
              </w:rPr>
              <w:t>E</w:t>
            </w:r>
          </w:p>
        </w:tc>
        <w:tc>
          <w:tcPr>
            <w:tcW w:w="945" w:type="dxa"/>
            <w:shd w:val="clear" w:color="auto" w:fill="auto"/>
            <w:vAlign w:val="center"/>
          </w:tcPr>
          <w:p w14:paraId="763DB5A5">
            <w:pPr>
              <w:jc w:val="center"/>
              <w:rPr>
                <w:strike w:val="0"/>
                <w:dstrike w:val="0"/>
                <w:color w:val="auto"/>
                <w:szCs w:val="21"/>
                <w:highlight w:val="none"/>
              </w:rPr>
            </w:pPr>
            <w:r>
              <w:rPr>
                <w:rFonts w:hint="eastAsia"/>
                <w:strike w:val="0"/>
                <w:dstrike w:val="0"/>
                <w:color w:val="auto"/>
                <w:szCs w:val="21"/>
                <w:highlight w:val="none"/>
              </w:rPr>
              <w:t>1450</w:t>
            </w:r>
          </w:p>
        </w:tc>
        <w:tc>
          <w:tcPr>
            <w:tcW w:w="1290" w:type="dxa"/>
            <w:shd w:val="clear" w:color="auto" w:fill="auto"/>
            <w:vAlign w:val="center"/>
          </w:tcPr>
          <w:p w14:paraId="38389F6A">
            <w:pPr>
              <w:jc w:val="center"/>
              <w:rPr>
                <w:strike w:val="0"/>
                <w:dstrike w:val="0"/>
                <w:color w:val="auto"/>
                <w:szCs w:val="21"/>
                <w:highlight w:val="none"/>
              </w:rPr>
            </w:pPr>
            <w:r>
              <w:rPr>
                <w:strike w:val="0"/>
                <w:dstrike w:val="0"/>
                <w:color w:val="auto"/>
                <w:kern w:val="0"/>
                <w:szCs w:val="21"/>
                <w:highlight w:val="none"/>
              </w:rPr>
              <w:t>居民点</w:t>
            </w:r>
          </w:p>
        </w:tc>
        <w:tc>
          <w:tcPr>
            <w:tcW w:w="1746" w:type="dxa"/>
            <w:shd w:val="clear" w:color="auto" w:fill="auto"/>
            <w:vAlign w:val="center"/>
          </w:tcPr>
          <w:p w14:paraId="2B954ED8">
            <w:pPr>
              <w:jc w:val="center"/>
              <w:rPr>
                <w:strike w:val="0"/>
                <w:dstrike w:val="0"/>
                <w:color w:val="auto"/>
                <w:szCs w:val="21"/>
                <w:highlight w:val="none"/>
              </w:rPr>
            </w:pPr>
            <w:r>
              <w:rPr>
                <w:rFonts w:hint="eastAsia"/>
                <w:strike w:val="0"/>
                <w:dstrike w:val="0"/>
                <w:color w:val="auto"/>
                <w:szCs w:val="21"/>
                <w:highlight w:val="none"/>
              </w:rPr>
              <w:t>50</w:t>
            </w:r>
            <w:r>
              <w:rPr>
                <w:rFonts w:hint="eastAsia"/>
                <w:strike w:val="0"/>
                <w:dstrike w:val="0"/>
                <w:color w:val="auto"/>
                <w:kern w:val="0"/>
                <w:szCs w:val="21"/>
                <w:highlight w:val="none"/>
              </w:rPr>
              <w:t>户，约150人</w:t>
            </w:r>
          </w:p>
        </w:tc>
      </w:tr>
      <w:tr w14:paraId="58B2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4E5B964D">
            <w:pPr>
              <w:jc w:val="center"/>
              <w:rPr>
                <w:strike w:val="0"/>
                <w:dstrike w:val="0"/>
                <w:color w:val="auto"/>
                <w:szCs w:val="21"/>
                <w:highlight w:val="none"/>
              </w:rPr>
            </w:pPr>
          </w:p>
        </w:tc>
        <w:tc>
          <w:tcPr>
            <w:tcW w:w="818" w:type="dxa"/>
            <w:shd w:val="clear" w:color="auto" w:fill="auto"/>
            <w:vAlign w:val="center"/>
          </w:tcPr>
          <w:p w14:paraId="3D99E4B3">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14</w:t>
            </w:r>
          </w:p>
        </w:tc>
        <w:tc>
          <w:tcPr>
            <w:tcW w:w="1617" w:type="dxa"/>
            <w:shd w:val="clear" w:color="auto" w:fill="auto"/>
            <w:vAlign w:val="center"/>
          </w:tcPr>
          <w:p w14:paraId="31188425">
            <w:pPr>
              <w:jc w:val="center"/>
              <w:rPr>
                <w:strike w:val="0"/>
                <w:dstrike w:val="0"/>
                <w:color w:val="auto"/>
                <w:szCs w:val="21"/>
                <w:highlight w:val="none"/>
              </w:rPr>
            </w:pPr>
            <w:r>
              <w:rPr>
                <w:rFonts w:hint="eastAsia"/>
                <w:strike w:val="0"/>
                <w:dstrike w:val="0"/>
                <w:color w:val="auto"/>
                <w:szCs w:val="21"/>
                <w:highlight w:val="none"/>
              </w:rPr>
              <w:t>13</w:t>
            </w:r>
            <w:r>
              <w:rPr>
                <w:rFonts w:hint="eastAsia"/>
                <w:strike w:val="0"/>
                <w:dstrike w:val="0"/>
                <w:color w:val="auto"/>
                <w:kern w:val="0"/>
                <w:szCs w:val="21"/>
                <w:highlight w:val="none"/>
              </w:rPr>
              <w:t>#居民点</w:t>
            </w:r>
          </w:p>
        </w:tc>
        <w:tc>
          <w:tcPr>
            <w:tcW w:w="1350" w:type="dxa"/>
            <w:shd w:val="clear" w:color="auto" w:fill="auto"/>
            <w:vAlign w:val="center"/>
          </w:tcPr>
          <w:p w14:paraId="5F548754">
            <w:pPr>
              <w:jc w:val="center"/>
              <w:rPr>
                <w:strike w:val="0"/>
                <w:dstrike w:val="0"/>
                <w:color w:val="auto"/>
                <w:szCs w:val="21"/>
                <w:highlight w:val="none"/>
              </w:rPr>
            </w:pPr>
            <w:r>
              <w:rPr>
                <w:rFonts w:hint="eastAsia"/>
                <w:strike w:val="0"/>
                <w:dstrike w:val="0"/>
                <w:color w:val="auto"/>
                <w:szCs w:val="21"/>
                <w:highlight w:val="none"/>
              </w:rPr>
              <w:t>SE</w:t>
            </w:r>
          </w:p>
        </w:tc>
        <w:tc>
          <w:tcPr>
            <w:tcW w:w="945" w:type="dxa"/>
            <w:shd w:val="clear" w:color="auto" w:fill="auto"/>
            <w:vAlign w:val="center"/>
          </w:tcPr>
          <w:p w14:paraId="47668821">
            <w:pPr>
              <w:jc w:val="center"/>
              <w:rPr>
                <w:strike w:val="0"/>
                <w:dstrike w:val="0"/>
                <w:color w:val="auto"/>
                <w:szCs w:val="21"/>
                <w:highlight w:val="none"/>
              </w:rPr>
            </w:pPr>
            <w:r>
              <w:rPr>
                <w:rFonts w:hint="eastAsia"/>
                <w:strike w:val="0"/>
                <w:dstrike w:val="0"/>
                <w:color w:val="auto"/>
                <w:szCs w:val="21"/>
                <w:highlight w:val="none"/>
              </w:rPr>
              <w:t>1200</w:t>
            </w:r>
          </w:p>
        </w:tc>
        <w:tc>
          <w:tcPr>
            <w:tcW w:w="1290" w:type="dxa"/>
            <w:shd w:val="clear" w:color="auto" w:fill="auto"/>
            <w:vAlign w:val="center"/>
          </w:tcPr>
          <w:p w14:paraId="56CFAEAA">
            <w:pPr>
              <w:jc w:val="center"/>
              <w:rPr>
                <w:strike w:val="0"/>
                <w:dstrike w:val="0"/>
                <w:color w:val="auto"/>
                <w:szCs w:val="21"/>
                <w:highlight w:val="none"/>
              </w:rPr>
            </w:pPr>
            <w:r>
              <w:rPr>
                <w:strike w:val="0"/>
                <w:dstrike w:val="0"/>
                <w:color w:val="auto"/>
                <w:kern w:val="0"/>
                <w:szCs w:val="21"/>
                <w:highlight w:val="none"/>
              </w:rPr>
              <w:t>居民点</w:t>
            </w:r>
          </w:p>
        </w:tc>
        <w:tc>
          <w:tcPr>
            <w:tcW w:w="1746" w:type="dxa"/>
            <w:shd w:val="clear" w:color="auto" w:fill="auto"/>
            <w:vAlign w:val="center"/>
          </w:tcPr>
          <w:p w14:paraId="37D6590B">
            <w:pPr>
              <w:jc w:val="center"/>
              <w:rPr>
                <w:strike w:val="0"/>
                <w:dstrike w:val="0"/>
                <w:color w:val="auto"/>
                <w:szCs w:val="21"/>
                <w:highlight w:val="none"/>
              </w:rPr>
            </w:pPr>
            <w:r>
              <w:rPr>
                <w:rFonts w:hint="eastAsia"/>
                <w:strike w:val="0"/>
                <w:dstrike w:val="0"/>
                <w:color w:val="auto"/>
                <w:szCs w:val="21"/>
                <w:highlight w:val="none"/>
              </w:rPr>
              <w:t>约16000人</w:t>
            </w:r>
          </w:p>
        </w:tc>
      </w:tr>
      <w:tr w14:paraId="29EB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0DE0C59F">
            <w:pPr>
              <w:jc w:val="center"/>
              <w:rPr>
                <w:strike w:val="0"/>
                <w:dstrike w:val="0"/>
                <w:color w:val="auto"/>
                <w:szCs w:val="21"/>
                <w:highlight w:val="none"/>
              </w:rPr>
            </w:pPr>
          </w:p>
        </w:tc>
        <w:tc>
          <w:tcPr>
            <w:tcW w:w="818" w:type="dxa"/>
            <w:shd w:val="clear" w:color="auto" w:fill="auto"/>
            <w:vAlign w:val="center"/>
          </w:tcPr>
          <w:p w14:paraId="3C16C98A">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15</w:t>
            </w:r>
          </w:p>
        </w:tc>
        <w:tc>
          <w:tcPr>
            <w:tcW w:w="1617" w:type="dxa"/>
            <w:shd w:val="clear" w:color="auto" w:fill="auto"/>
            <w:vAlign w:val="center"/>
          </w:tcPr>
          <w:p w14:paraId="30CF11D1">
            <w:pPr>
              <w:jc w:val="center"/>
              <w:rPr>
                <w:strike w:val="0"/>
                <w:dstrike w:val="0"/>
                <w:color w:val="auto"/>
                <w:szCs w:val="21"/>
                <w:highlight w:val="none"/>
              </w:rPr>
            </w:pPr>
            <w:r>
              <w:rPr>
                <w:rFonts w:hint="eastAsia"/>
                <w:strike w:val="0"/>
                <w:dstrike w:val="0"/>
                <w:color w:val="auto"/>
                <w:szCs w:val="21"/>
                <w:highlight w:val="none"/>
              </w:rPr>
              <w:t>14</w:t>
            </w:r>
            <w:r>
              <w:rPr>
                <w:rFonts w:hint="eastAsia"/>
                <w:strike w:val="0"/>
                <w:dstrike w:val="0"/>
                <w:color w:val="auto"/>
                <w:kern w:val="0"/>
                <w:szCs w:val="21"/>
                <w:highlight w:val="none"/>
              </w:rPr>
              <w:t>#居民点</w:t>
            </w:r>
          </w:p>
        </w:tc>
        <w:tc>
          <w:tcPr>
            <w:tcW w:w="1350" w:type="dxa"/>
            <w:shd w:val="clear" w:color="auto" w:fill="auto"/>
            <w:vAlign w:val="center"/>
          </w:tcPr>
          <w:p w14:paraId="50ED55CC">
            <w:pPr>
              <w:jc w:val="center"/>
              <w:rPr>
                <w:strike w:val="0"/>
                <w:dstrike w:val="0"/>
                <w:color w:val="auto"/>
                <w:szCs w:val="21"/>
                <w:highlight w:val="none"/>
              </w:rPr>
            </w:pPr>
            <w:r>
              <w:rPr>
                <w:rFonts w:hint="eastAsia"/>
                <w:strike w:val="0"/>
                <w:dstrike w:val="0"/>
                <w:color w:val="auto"/>
                <w:szCs w:val="21"/>
                <w:highlight w:val="none"/>
              </w:rPr>
              <w:t>SE</w:t>
            </w:r>
          </w:p>
        </w:tc>
        <w:tc>
          <w:tcPr>
            <w:tcW w:w="945" w:type="dxa"/>
            <w:shd w:val="clear" w:color="auto" w:fill="auto"/>
            <w:vAlign w:val="center"/>
          </w:tcPr>
          <w:p w14:paraId="7283E614">
            <w:pPr>
              <w:jc w:val="center"/>
              <w:rPr>
                <w:strike w:val="0"/>
                <w:dstrike w:val="0"/>
                <w:color w:val="auto"/>
                <w:szCs w:val="21"/>
                <w:highlight w:val="none"/>
              </w:rPr>
            </w:pPr>
            <w:r>
              <w:rPr>
                <w:rFonts w:hint="eastAsia"/>
                <w:strike w:val="0"/>
                <w:dstrike w:val="0"/>
                <w:color w:val="auto"/>
                <w:szCs w:val="21"/>
                <w:highlight w:val="none"/>
              </w:rPr>
              <w:t>1820</w:t>
            </w:r>
          </w:p>
        </w:tc>
        <w:tc>
          <w:tcPr>
            <w:tcW w:w="1290" w:type="dxa"/>
            <w:shd w:val="clear" w:color="auto" w:fill="auto"/>
            <w:vAlign w:val="center"/>
          </w:tcPr>
          <w:p w14:paraId="739358B5">
            <w:pPr>
              <w:jc w:val="center"/>
              <w:rPr>
                <w:strike w:val="0"/>
                <w:dstrike w:val="0"/>
                <w:color w:val="auto"/>
                <w:szCs w:val="21"/>
                <w:highlight w:val="none"/>
              </w:rPr>
            </w:pPr>
            <w:r>
              <w:rPr>
                <w:strike w:val="0"/>
                <w:dstrike w:val="0"/>
                <w:color w:val="auto"/>
                <w:kern w:val="0"/>
                <w:szCs w:val="21"/>
                <w:highlight w:val="none"/>
              </w:rPr>
              <w:t>居民点</w:t>
            </w:r>
          </w:p>
        </w:tc>
        <w:tc>
          <w:tcPr>
            <w:tcW w:w="1746" w:type="dxa"/>
            <w:shd w:val="clear" w:color="auto" w:fill="auto"/>
            <w:vAlign w:val="center"/>
          </w:tcPr>
          <w:p w14:paraId="17E6EEDC">
            <w:pPr>
              <w:jc w:val="center"/>
              <w:rPr>
                <w:strike w:val="0"/>
                <w:dstrike w:val="0"/>
                <w:color w:val="auto"/>
                <w:szCs w:val="21"/>
                <w:highlight w:val="none"/>
              </w:rPr>
            </w:pPr>
            <w:r>
              <w:rPr>
                <w:rFonts w:hint="eastAsia"/>
                <w:strike w:val="0"/>
                <w:dstrike w:val="0"/>
                <w:color w:val="auto"/>
                <w:szCs w:val="21"/>
                <w:highlight w:val="none"/>
              </w:rPr>
              <w:t>60</w:t>
            </w:r>
            <w:r>
              <w:rPr>
                <w:rFonts w:hint="eastAsia"/>
                <w:strike w:val="0"/>
                <w:dstrike w:val="0"/>
                <w:color w:val="auto"/>
                <w:kern w:val="0"/>
                <w:szCs w:val="21"/>
                <w:highlight w:val="none"/>
              </w:rPr>
              <w:t>户，约180人</w:t>
            </w:r>
          </w:p>
        </w:tc>
      </w:tr>
      <w:tr w14:paraId="0714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00EF9F82">
            <w:pPr>
              <w:jc w:val="center"/>
              <w:rPr>
                <w:strike w:val="0"/>
                <w:dstrike w:val="0"/>
                <w:color w:val="auto"/>
                <w:szCs w:val="21"/>
                <w:highlight w:val="none"/>
              </w:rPr>
            </w:pPr>
          </w:p>
        </w:tc>
        <w:tc>
          <w:tcPr>
            <w:tcW w:w="818" w:type="dxa"/>
            <w:shd w:val="clear" w:color="auto" w:fill="auto"/>
            <w:vAlign w:val="center"/>
          </w:tcPr>
          <w:p w14:paraId="6E67123D">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16</w:t>
            </w:r>
          </w:p>
        </w:tc>
        <w:tc>
          <w:tcPr>
            <w:tcW w:w="1617" w:type="dxa"/>
            <w:shd w:val="clear" w:color="auto" w:fill="auto"/>
            <w:vAlign w:val="center"/>
          </w:tcPr>
          <w:p w14:paraId="29432088">
            <w:pPr>
              <w:jc w:val="center"/>
              <w:rPr>
                <w:strike w:val="0"/>
                <w:dstrike w:val="0"/>
                <w:color w:val="auto"/>
                <w:szCs w:val="21"/>
                <w:highlight w:val="none"/>
              </w:rPr>
            </w:pPr>
            <w:r>
              <w:rPr>
                <w:rFonts w:hint="eastAsia"/>
                <w:strike w:val="0"/>
                <w:dstrike w:val="0"/>
                <w:color w:val="auto"/>
                <w:szCs w:val="21"/>
                <w:highlight w:val="none"/>
              </w:rPr>
              <w:t>15</w:t>
            </w:r>
            <w:r>
              <w:rPr>
                <w:rFonts w:hint="eastAsia"/>
                <w:strike w:val="0"/>
                <w:dstrike w:val="0"/>
                <w:color w:val="auto"/>
                <w:kern w:val="0"/>
                <w:szCs w:val="21"/>
                <w:highlight w:val="none"/>
              </w:rPr>
              <w:t>#居民点</w:t>
            </w:r>
          </w:p>
        </w:tc>
        <w:tc>
          <w:tcPr>
            <w:tcW w:w="1350" w:type="dxa"/>
            <w:shd w:val="clear" w:color="auto" w:fill="auto"/>
            <w:vAlign w:val="center"/>
          </w:tcPr>
          <w:p w14:paraId="6D6FDC55">
            <w:pPr>
              <w:jc w:val="center"/>
              <w:rPr>
                <w:strike w:val="0"/>
                <w:dstrike w:val="0"/>
                <w:color w:val="auto"/>
                <w:szCs w:val="21"/>
                <w:highlight w:val="none"/>
              </w:rPr>
            </w:pPr>
            <w:r>
              <w:rPr>
                <w:rFonts w:hint="eastAsia"/>
                <w:strike w:val="0"/>
                <w:dstrike w:val="0"/>
                <w:color w:val="auto"/>
                <w:szCs w:val="21"/>
                <w:highlight w:val="none"/>
              </w:rPr>
              <w:t>SE</w:t>
            </w:r>
          </w:p>
        </w:tc>
        <w:tc>
          <w:tcPr>
            <w:tcW w:w="945" w:type="dxa"/>
            <w:shd w:val="clear" w:color="auto" w:fill="auto"/>
            <w:vAlign w:val="center"/>
          </w:tcPr>
          <w:p w14:paraId="0F9BED34">
            <w:pPr>
              <w:jc w:val="center"/>
              <w:rPr>
                <w:strike w:val="0"/>
                <w:dstrike w:val="0"/>
                <w:color w:val="auto"/>
                <w:szCs w:val="21"/>
                <w:highlight w:val="none"/>
              </w:rPr>
            </w:pPr>
            <w:r>
              <w:rPr>
                <w:rFonts w:hint="eastAsia"/>
                <w:strike w:val="0"/>
                <w:dstrike w:val="0"/>
                <w:color w:val="auto"/>
                <w:szCs w:val="21"/>
                <w:highlight w:val="none"/>
              </w:rPr>
              <w:t>1350</w:t>
            </w:r>
          </w:p>
        </w:tc>
        <w:tc>
          <w:tcPr>
            <w:tcW w:w="1290" w:type="dxa"/>
            <w:shd w:val="clear" w:color="auto" w:fill="auto"/>
            <w:vAlign w:val="center"/>
          </w:tcPr>
          <w:p w14:paraId="4654E95E">
            <w:pPr>
              <w:jc w:val="center"/>
              <w:rPr>
                <w:strike w:val="0"/>
                <w:dstrike w:val="0"/>
                <w:color w:val="auto"/>
                <w:szCs w:val="21"/>
                <w:highlight w:val="none"/>
              </w:rPr>
            </w:pPr>
            <w:r>
              <w:rPr>
                <w:strike w:val="0"/>
                <w:dstrike w:val="0"/>
                <w:color w:val="auto"/>
                <w:kern w:val="0"/>
                <w:szCs w:val="21"/>
                <w:highlight w:val="none"/>
              </w:rPr>
              <w:t>居民点</w:t>
            </w:r>
          </w:p>
        </w:tc>
        <w:tc>
          <w:tcPr>
            <w:tcW w:w="1746" w:type="dxa"/>
            <w:shd w:val="clear" w:color="auto" w:fill="auto"/>
            <w:vAlign w:val="center"/>
          </w:tcPr>
          <w:p w14:paraId="6D53C106">
            <w:pPr>
              <w:jc w:val="center"/>
              <w:rPr>
                <w:strike w:val="0"/>
                <w:dstrike w:val="0"/>
                <w:color w:val="auto"/>
                <w:szCs w:val="21"/>
                <w:highlight w:val="none"/>
              </w:rPr>
            </w:pPr>
            <w:r>
              <w:rPr>
                <w:rFonts w:hint="eastAsia"/>
                <w:strike w:val="0"/>
                <w:dstrike w:val="0"/>
                <w:color w:val="auto"/>
                <w:szCs w:val="21"/>
                <w:highlight w:val="none"/>
              </w:rPr>
              <w:t>80</w:t>
            </w:r>
            <w:r>
              <w:rPr>
                <w:rFonts w:hint="eastAsia"/>
                <w:strike w:val="0"/>
                <w:dstrike w:val="0"/>
                <w:color w:val="auto"/>
                <w:kern w:val="0"/>
                <w:szCs w:val="21"/>
                <w:highlight w:val="none"/>
              </w:rPr>
              <w:t>户，约240人</w:t>
            </w:r>
          </w:p>
        </w:tc>
      </w:tr>
      <w:tr w14:paraId="490B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1294" w:type="dxa"/>
            <w:vMerge w:val="continue"/>
            <w:vAlign w:val="center"/>
          </w:tcPr>
          <w:p w14:paraId="6B5E7441">
            <w:pPr>
              <w:jc w:val="center"/>
              <w:rPr>
                <w:strike w:val="0"/>
                <w:dstrike w:val="0"/>
                <w:color w:val="auto"/>
                <w:szCs w:val="21"/>
                <w:highlight w:val="none"/>
              </w:rPr>
            </w:pPr>
          </w:p>
        </w:tc>
        <w:tc>
          <w:tcPr>
            <w:tcW w:w="818" w:type="dxa"/>
            <w:shd w:val="clear" w:color="auto" w:fill="auto"/>
            <w:vAlign w:val="center"/>
          </w:tcPr>
          <w:p w14:paraId="5F4C6352">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17</w:t>
            </w:r>
          </w:p>
        </w:tc>
        <w:tc>
          <w:tcPr>
            <w:tcW w:w="1617" w:type="dxa"/>
            <w:shd w:val="clear" w:color="auto" w:fill="auto"/>
            <w:vAlign w:val="center"/>
          </w:tcPr>
          <w:p w14:paraId="07B8834C">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16</w:t>
            </w:r>
            <w:r>
              <w:rPr>
                <w:rFonts w:hint="eastAsia"/>
                <w:strike w:val="0"/>
                <w:dstrike w:val="0"/>
                <w:color w:val="auto"/>
                <w:kern w:val="0"/>
                <w:szCs w:val="21"/>
                <w:highlight w:val="none"/>
              </w:rPr>
              <w:t>#居民点</w:t>
            </w:r>
          </w:p>
        </w:tc>
        <w:tc>
          <w:tcPr>
            <w:tcW w:w="1350" w:type="dxa"/>
            <w:shd w:val="clear" w:color="auto" w:fill="auto"/>
            <w:vAlign w:val="center"/>
          </w:tcPr>
          <w:p w14:paraId="633CC010">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N</w:t>
            </w:r>
          </w:p>
        </w:tc>
        <w:tc>
          <w:tcPr>
            <w:tcW w:w="945" w:type="dxa"/>
            <w:shd w:val="clear" w:color="auto" w:fill="auto"/>
            <w:vAlign w:val="center"/>
          </w:tcPr>
          <w:p w14:paraId="506187B7">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600</w:t>
            </w:r>
          </w:p>
        </w:tc>
        <w:tc>
          <w:tcPr>
            <w:tcW w:w="1290" w:type="dxa"/>
            <w:shd w:val="clear" w:color="auto" w:fill="auto"/>
            <w:vAlign w:val="center"/>
          </w:tcPr>
          <w:p w14:paraId="4E58A04E">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746" w:type="dxa"/>
            <w:shd w:val="clear" w:color="auto" w:fill="auto"/>
            <w:vAlign w:val="center"/>
          </w:tcPr>
          <w:p w14:paraId="7A1C7761">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10</w:t>
            </w:r>
            <w:r>
              <w:rPr>
                <w:rFonts w:hint="eastAsia"/>
                <w:strike w:val="0"/>
                <w:dstrike w:val="0"/>
                <w:color w:val="auto"/>
                <w:kern w:val="0"/>
                <w:szCs w:val="21"/>
                <w:highlight w:val="none"/>
              </w:rPr>
              <w:t>户，约30人</w:t>
            </w:r>
          </w:p>
        </w:tc>
      </w:tr>
      <w:tr w14:paraId="5D89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621253A8">
            <w:pPr>
              <w:jc w:val="center"/>
              <w:rPr>
                <w:strike w:val="0"/>
                <w:dstrike w:val="0"/>
                <w:color w:val="auto"/>
                <w:szCs w:val="21"/>
                <w:highlight w:val="none"/>
              </w:rPr>
            </w:pPr>
          </w:p>
        </w:tc>
        <w:tc>
          <w:tcPr>
            <w:tcW w:w="6020" w:type="dxa"/>
            <w:gridSpan w:val="5"/>
            <w:vAlign w:val="center"/>
          </w:tcPr>
          <w:p w14:paraId="0D6202BA">
            <w:pPr>
              <w:jc w:val="center"/>
              <w:rPr>
                <w:strike w:val="0"/>
                <w:dstrike w:val="0"/>
                <w:color w:val="auto"/>
                <w:szCs w:val="21"/>
                <w:highlight w:val="none"/>
              </w:rPr>
            </w:pPr>
            <w:r>
              <w:rPr>
                <w:strike w:val="0"/>
                <w:dstrike w:val="0"/>
                <w:color w:val="auto"/>
                <w:szCs w:val="21"/>
                <w:highlight w:val="none"/>
              </w:rPr>
              <w:t>厂址周边5</w:t>
            </w:r>
            <w:r>
              <w:rPr>
                <w:rFonts w:hint="eastAsia"/>
                <w:strike w:val="0"/>
                <w:dstrike w:val="0"/>
                <w:color w:val="auto"/>
                <w:szCs w:val="21"/>
                <w:highlight w:val="none"/>
                <w:lang w:val="en-US" w:eastAsia="zh-CN"/>
              </w:rPr>
              <w:t>3</w:t>
            </w:r>
            <w:r>
              <w:rPr>
                <w:strike w:val="0"/>
                <w:dstrike w:val="0"/>
                <w:color w:val="auto"/>
                <w:szCs w:val="21"/>
                <w:highlight w:val="none"/>
              </w:rPr>
              <w:t>km范围内人口数小计</w:t>
            </w:r>
          </w:p>
        </w:tc>
        <w:tc>
          <w:tcPr>
            <w:tcW w:w="1746" w:type="dxa"/>
            <w:vAlign w:val="center"/>
          </w:tcPr>
          <w:p w14:paraId="5BF19620">
            <w:pPr>
              <w:jc w:val="center"/>
              <w:rPr>
                <w:rFonts w:hint="eastAsia" w:eastAsia="宋体"/>
                <w:strike w:val="0"/>
                <w:dstrike w:val="0"/>
                <w:color w:val="auto"/>
                <w:szCs w:val="21"/>
                <w:highlight w:val="none"/>
                <w:lang w:eastAsia="zh-CN"/>
              </w:rPr>
            </w:pPr>
            <w:r>
              <w:rPr>
                <w:rFonts w:hint="eastAsia"/>
                <w:strike w:val="0"/>
                <w:dstrike w:val="0"/>
                <w:color w:val="auto"/>
                <w:szCs w:val="21"/>
                <w:highlight w:val="none"/>
                <w:lang w:eastAsia="zh-CN"/>
              </w:rPr>
              <w:t>17300</w:t>
            </w:r>
          </w:p>
        </w:tc>
      </w:tr>
      <w:tr w14:paraId="4CF7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516FBCD5">
            <w:pPr>
              <w:jc w:val="center"/>
              <w:rPr>
                <w:strike w:val="0"/>
                <w:dstrike w:val="0"/>
                <w:color w:val="auto"/>
                <w:szCs w:val="21"/>
                <w:highlight w:val="none"/>
              </w:rPr>
            </w:pPr>
          </w:p>
        </w:tc>
        <w:tc>
          <w:tcPr>
            <w:tcW w:w="6020" w:type="dxa"/>
            <w:gridSpan w:val="5"/>
            <w:vAlign w:val="center"/>
          </w:tcPr>
          <w:p w14:paraId="6DC9AAEC">
            <w:pPr>
              <w:jc w:val="center"/>
              <w:rPr>
                <w:strike w:val="0"/>
                <w:dstrike w:val="0"/>
                <w:color w:val="auto"/>
                <w:szCs w:val="21"/>
                <w:highlight w:val="none"/>
              </w:rPr>
            </w:pPr>
            <w:r>
              <w:rPr>
                <w:strike w:val="0"/>
                <w:dstrike w:val="0"/>
                <w:color w:val="auto"/>
                <w:szCs w:val="21"/>
                <w:highlight w:val="none"/>
              </w:rPr>
              <w:t>厂址周边500m范围内人口数小计</w:t>
            </w:r>
          </w:p>
        </w:tc>
        <w:tc>
          <w:tcPr>
            <w:tcW w:w="1746" w:type="dxa"/>
            <w:vAlign w:val="center"/>
          </w:tcPr>
          <w:p w14:paraId="6380B7C7">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460</w:t>
            </w:r>
          </w:p>
        </w:tc>
      </w:tr>
      <w:tr w14:paraId="58CA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4B7792B4">
            <w:pPr>
              <w:jc w:val="center"/>
              <w:rPr>
                <w:strike w:val="0"/>
                <w:dstrike w:val="0"/>
                <w:color w:val="auto"/>
                <w:szCs w:val="21"/>
                <w:highlight w:val="none"/>
              </w:rPr>
            </w:pPr>
          </w:p>
        </w:tc>
        <w:tc>
          <w:tcPr>
            <w:tcW w:w="6020" w:type="dxa"/>
            <w:gridSpan w:val="5"/>
            <w:vAlign w:val="center"/>
          </w:tcPr>
          <w:p w14:paraId="11F1386C">
            <w:pPr>
              <w:jc w:val="center"/>
              <w:rPr>
                <w:strike w:val="0"/>
                <w:dstrike w:val="0"/>
                <w:color w:val="auto"/>
                <w:szCs w:val="21"/>
                <w:highlight w:val="none"/>
              </w:rPr>
            </w:pPr>
            <w:r>
              <w:rPr>
                <w:strike w:val="0"/>
                <w:dstrike w:val="0"/>
                <w:color w:val="auto"/>
                <w:szCs w:val="21"/>
                <w:highlight w:val="none"/>
              </w:rPr>
              <w:t>大气环境敏感程度E值</w:t>
            </w:r>
          </w:p>
        </w:tc>
        <w:tc>
          <w:tcPr>
            <w:tcW w:w="1746" w:type="dxa"/>
            <w:vAlign w:val="center"/>
          </w:tcPr>
          <w:p w14:paraId="365BFD9A">
            <w:pPr>
              <w:jc w:val="center"/>
              <w:rPr>
                <w:strike w:val="0"/>
                <w:dstrike w:val="0"/>
                <w:color w:val="auto"/>
                <w:szCs w:val="21"/>
                <w:highlight w:val="none"/>
              </w:rPr>
            </w:pPr>
            <w:r>
              <w:rPr>
                <w:strike w:val="0"/>
                <w:dstrike w:val="0"/>
                <w:color w:val="auto"/>
                <w:szCs w:val="21"/>
                <w:highlight w:val="none"/>
              </w:rPr>
              <w:t>E</w:t>
            </w:r>
            <w:r>
              <w:rPr>
                <w:rFonts w:hint="eastAsia"/>
                <w:strike w:val="0"/>
                <w:dstrike w:val="0"/>
                <w:color w:val="auto"/>
                <w:szCs w:val="21"/>
                <w:highlight w:val="none"/>
              </w:rPr>
              <w:t>2</w:t>
            </w:r>
          </w:p>
        </w:tc>
      </w:tr>
      <w:tr w14:paraId="6F95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restart"/>
            <w:vAlign w:val="center"/>
          </w:tcPr>
          <w:p w14:paraId="61B52369">
            <w:pPr>
              <w:jc w:val="center"/>
              <w:rPr>
                <w:strike w:val="0"/>
                <w:dstrike w:val="0"/>
                <w:color w:val="auto"/>
                <w:szCs w:val="21"/>
                <w:highlight w:val="none"/>
              </w:rPr>
            </w:pPr>
            <w:r>
              <w:rPr>
                <w:strike w:val="0"/>
                <w:dstrike w:val="0"/>
                <w:color w:val="auto"/>
                <w:szCs w:val="21"/>
                <w:highlight w:val="none"/>
              </w:rPr>
              <w:t>地表水</w:t>
            </w:r>
          </w:p>
        </w:tc>
        <w:tc>
          <w:tcPr>
            <w:tcW w:w="7766" w:type="dxa"/>
            <w:gridSpan w:val="6"/>
            <w:vAlign w:val="center"/>
          </w:tcPr>
          <w:p w14:paraId="4C494B20">
            <w:pPr>
              <w:jc w:val="center"/>
              <w:rPr>
                <w:strike w:val="0"/>
                <w:dstrike w:val="0"/>
                <w:color w:val="auto"/>
                <w:szCs w:val="21"/>
                <w:highlight w:val="none"/>
              </w:rPr>
            </w:pPr>
            <w:r>
              <w:rPr>
                <w:strike w:val="0"/>
                <w:dstrike w:val="0"/>
                <w:color w:val="auto"/>
                <w:szCs w:val="21"/>
                <w:highlight w:val="none"/>
              </w:rPr>
              <w:t>受纳水体</w:t>
            </w:r>
          </w:p>
        </w:tc>
      </w:tr>
      <w:tr w14:paraId="4588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70013FAA">
            <w:pPr>
              <w:jc w:val="center"/>
              <w:rPr>
                <w:strike w:val="0"/>
                <w:dstrike w:val="0"/>
                <w:color w:val="auto"/>
                <w:szCs w:val="21"/>
                <w:highlight w:val="none"/>
              </w:rPr>
            </w:pPr>
          </w:p>
        </w:tc>
        <w:tc>
          <w:tcPr>
            <w:tcW w:w="818" w:type="dxa"/>
            <w:shd w:val="clear" w:color="auto" w:fill="auto"/>
            <w:vAlign w:val="center"/>
          </w:tcPr>
          <w:p w14:paraId="366311D0">
            <w:pPr>
              <w:jc w:val="center"/>
              <w:rPr>
                <w:strike w:val="0"/>
                <w:dstrike w:val="0"/>
                <w:color w:val="auto"/>
                <w:szCs w:val="21"/>
                <w:highlight w:val="none"/>
              </w:rPr>
            </w:pPr>
            <w:r>
              <w:rPr>
                <w:strike w:val="0"/>
                <w:dstrike w:val="0"/>
                <w:color w:val="auto"/>
                <w:szCs w:val="21"/>
                <w:highlight w:val="none"/>
              </w:rPr>
              <w:t>序号</w:t>
            </w:r>
          </w:p>
        </w:tc>
        <w:tc>
          <w:tcPr>
            <w:tcW w:w="1617" w:type="dxa"/>
            <w:shd w:val="clear" w:color="auto" w:fill="auto"/>
            <w:vAlign w:val="center"/>
          </w:tcPr>
          <w:p w14:paraId="5AFA4FCB">
            <w:pPr>
              <w:jc w:val="center"/>
              <w:rPr>
                <w:strike w:val="0"/>
                <w:dstrike w:val="0"/>
                <w:color w:val="auto"/>
                <w:szCs w:val="21"/>
                <w:highlight w:val="none"/>
              </w:rPr>
            </w:pPr>
            <w:r>
              <w:rPr>
                <w:strike w:val="0"/>
                <w:dstrike w:val="0"/>
                <w:color w:val="auto"/>
                <w:szCs w:val="21"/>
                <w:highlight w:val="none"/>
              </w:rPr>
              <w:t>受纳水体名称</w:t>
            </w:r>
          </w:p>
        </w:tc>
        <w:tc>
          <w:tcPr>
            <w:tcW w:w="2295" w:type="dxa"/>
            <w:gridSpan w:val="2"/>
            <w:shd w:val="clear" w:color="auto" w:fill="auto"/>
            <w:vAlign w:val="center"/>
          </w:tcPr>
          <w:p w14:paraId="2F0FDBE5">
            <w:pPr>
              <w:jc w:val="center"/>
              <w:rPr>
                <w:strike w:val="0"/>
                <w:dstrike w:val="0"/>
                <w:color w:val="auto"/>
                <w:szCs w:val="21"/>
                <w:highlight w:val="none"/>
              </w:rPr>
            </w:pPr>
            <w:r>
              <w:rPr>
                <w:strike w:val="0"/>
                <w:dstrike w:val="0"/>
                <w:color w:val="auto"/>
                <w:szCs w:val="21"/>
                <w:highlight w:val="none"/>
              </w:rPr>
              <w:t>排放点水域环境功能</w:t>
            </w:r>
          </w:p>
        </w:tc>
        <w:tc>
          <w:tcPr>
            <w:tcW w:w="3036" w:type="dxa"/>
            <w:gridSpan w:val="2"/>
            <w:shd w:val="clear" w:color="auto" w:fill="auto"/>
            <w:vAlign w:val="center"/>
          </w:tcPr>
          <w:p w14:paraId="583439CB">
            <w:pPr>
              <w:jc w:val="center"/>
              <w:rPr>
                <w:strike w:val="0"/>
                <w:dstrike w:val="0"/>
                <w:color w:val="auto"/>
                <w:szCs w:val="21"/>
                <w:highlight w:val="none"/>
              </w:rPr>
            </w:pPr>
            <w:r>
              <w:rPr>
                <w:strike w:val="0"/>
                <w:dstrike w:val="0"/>
                <w:color w:val="auto"/>
                <w:szCs w:val="21"/>
                <w:highlight w:val="none"/>
              </w:rPr>
              <w:t>24h内流经范围/km</w:t>
            </w:r>
          </w:p>
        </w:tc>
      </w:tr>
      <w:tr w14:paraId="78AD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0DFDC88A">
            <w:pPr>
              <w:jc w:val="center"/>
              <w:rPr>
                <w:strike w:val="0"/>
                <w:dstrike w:val="0"/>
                <w:color w:val="auto"/>
                <w:szCs w:val="21"/>
                <w:highlight w:val="none"/>
              </w:rPr>
            </w:pPr>
          </w:p>
        </w:tc>
        <w:tc>
          <w:tcPr>
            <w:tcW w:w="818" w:type="dxa"/>
            <w:shd w:val="clear" w:color="auto" w:fill="auto"/>
            <w:vAlign w:val="center"/>
          </w:tcPr>
          <w:p w14:paraId="526A5D5A">
            <w:pPr>
              <w:jc w:val="center"/>
              <w:rPr>
                <w:strike w:val="0"/>
                <w:dstrike w:val="0"/>
                <w:color w:val="auto"/>
                <w:szCs w:val="21"/>
                <w:highlight w:val="none"/>
              </w:rPr>
            </w:pPr>
            <w:r>
              <w:rPr>
                <w:strike w:val="0"/>
                <w:dstrike w:val="0"/>
                <w:color w:val="auto"/>
                <w:szCs w:val="21"/>
                <w:highlight w:val="none"/>
              </w:rPr>
              <w:t>1</w:t>
            </w:r>
          </w:p>
        </w:tc>
        <w:tc>
          <w:tcPr>
            <w:tcW w:w="1617" w:type="dxa"/>
            <w:shd w:val="clear" w:color="auto" w:fill="auto"/>
            <w:vAlign w:val="center"/>
          </w:tcPr>
          <w:p w14:paraId="12D21B0D">
            <w:pPr>
              <w:jc w:val="center"/>
              <w:rPr>
                <w:strike w:val="0"/>
                <w:dstrike w:val="0"/>
                <w:color w:val="auto"/>
                <w:szCs w:val="21"/>
                <w:highlight w:val="none"/>
              </w:rPr>
            </w:pPr>
            <w:r>
              <w:rPr>
                <w:rFonts w:hint="eastAsia"/>
                <w:strike w:val="0"/>
                <w:dstrike w:val="0"/>
                <w:color w:val="auto"/>
                <w:szCs w:val="21"/>
                <w:highlight w:val="none"/>
              </w:rPr>
              <w:t>柏水溪</w:t>
            </w:r>
          </w:p>
        </w:tc>
        <w:tc>
          <w:tcPr>
            <w:tcW w:w="2295" w:type="dxa"/>
            <w:gridSpan w:val="2"/>
            <w:shd w:val="clear" w:color="auto" w:fill="auto"/>
            <w:vAlign w:val="center"/>
          </w:tcPr>
          <w:p w14:paraId="733BDE38">
            <w:pPr>
              <w:jc w:val="center"/>
              <w:rPr>
                <w:strike w:val="0"/>
                <w:dstrike w:val="0"/>
                <w:color w:val="auto"/>
                <w:szCs w:val="21"/>
                <w:highlight w:val="none"/>
              </w:rPr>
            </w:pPr>
            <w:r>
              <w:rPr>
                <w:strike w:val="0"/>
                <w:dstrike w:val="0"/>
                <w:color w:val="auto"/>
                <w:szCs w:val="21"/>
                <w:highlight w:val="none"/>
              </w:rPr>
              <w:t>Ⅲ</w:t>
            </w:r>
            <w:r>
              <w:rPr>
                <w:rFonts w:hint="eastAsia"/>
                <w:strike w:val="0"/>
                <w:dstrike w:val="0"/>
                <w:color w:val="auto"/>
                <w:szCs w:val="21"/>
                <w:highlight w:val="none"/>
              </w:rPr>
              <w:t>类</w:t>
            </w:r>
          </w:p>
        </w:tc>
        <w:tc>
          <w:tcPr>
            <w:tcW w:w="3036" w:type="dxa"/>
            <w:gridSpan w:val="2"/>
            <w:shd w:val="clear" w:color="auto" w:fill="auto"/>
            <w:vAlign w:val="center"/>
          </w:tcPr>
          <w:p w14:paraId="570AD2F3">
            <w:pPr>
              <w:jc w:val="center"/>
              <w:rPr>
                <w:strike w:val="0"/>
                <w:dstrike w:val="0"/>
                <w:color w:val="auto"/>
                <w:szCs w:val="21"/>
                <w:highlight w:val="none"/>
              </w:rPr>
            </w:pPr>
            <w:r>
              <w:rPr>
                <w:strike w:val="0"/>
                <w:dstrike w:val="0"/>
                <w:color w:val="auto"/>
                <w:szCs w:val="21"/>
                <w:highlight w:val="none"/>
              </w:rPr>
              <w:t>/</w:t>
            </w:r>
          </w:p>
        </w:tc>
      </w:tr>
      <w:tr w14:paraId="3C40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0450E0C5">
            <w:pPr>
              <w:jc w:val="center"/>
              <w:rPr>
                <w:strike w:val="0"/>
                <w:dstrike w:val="0"/>
                <w:color w:val="auto"/>
                <w:szCs w:val="21"/>
                <w:highlight w:val="none"/>
              </w:rPr>
            </w:pPr>
          </w:p>
        </w:tc>
        <w:tc>
          <w:tcPr>
            <w:tcW w:w="7766" w:type="dxa"/>
            <w:gridSpan w:val="6"/>
            <w:shd w:val="clear" w:color="auto" w:fill="auto"/>
            <w:vAlign w:val="center"/>
          </w:tcPr>
          <w:p w14:paraId="59874FFB">
            <w:pPr>
              <w:jc w:val="center"/>
              <w:rPr>
                <w:strike w:val="0"/>
                <w:dstrike w:val="0"/>
                <w:color w:val="auto"/>
                <w:szCs w:val="21"/>
                <w:highlight w:val="none"/>
              </w:rPr>
            </w:pPr>
            <w:r>
              <w:rPr>
                <w:strike w:val="0"/>
                <w:dstrike w:val="0"/>
                <w:color w:val="auto"/>
                <w:szCs w:val="21"/>
                <w:highlight w:val="none"/>
              </w:rPr>
              <w:t>内陆水体排放点下游 10km（近岸海域一个潮周期最大水平距离两倍）范围内敏感目标</w:t>
            </w:r>
          </w:p>
        </w:tc>
      </w:tr>
      <w:tr w14:paraId="7989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1FFC367F">
            <w:pPr>
              <w:jc w:val="center"/>
              <w:rPr>
                <w:strike w:val="0"/>
                <w:dstrike w:val="0"/>
                <w:color w:val="auto"/>
                <w:szCs w:val="21"/>
                <w:highlight w:val="none"/>
              </w:rPr>
            </w:pPr>
          </w:p>
        </w:tc>
        <w:tc>
          <w:tcPr>
            <w:tcW w:w="818" w:type="dxa"/>
            <w:shd w:val="clear" w:color="auto" w:fill="auto"/>
            <w:vAlign w:val="center"/>
          </w:tcPr>
          <w:p w14:paraId="0A9C6D47">
            <w:pPr>
              <w:jc w:val="center"/>
              <w:rPr>
                <w:strike w:val="0"/>
                <w:dstrike w:val="0"/>
                <w:color w:val="auto"/>
                <w:szCs w:val="21"/>
                <w:highlight w:val="none"/>
              </w:rPr>
            </w:pPr>
            <w:r>
              <w:rPr>
                <w:strike w:val="0"/>
                <w:dstrike w:val="0"/>
                <w:color w:val="auto"/>
                <w:szCs w:val="21"/>
                <w:highlight w:val="none"/>
              </w:rPr>
              <w:t>序号</w:t>
            </w:r>
          </w:p>
        </w:tc>
        <w:tc>
          <w:tcPr>
            <w:tcW w:w="1617" w:type="dxa"/>
            <w:shd w:val="clear" w:color="auto" w:fill="auto"/>
            <w:vAlign w:val="center"/>
          </w:tcPr>
          <w:p w14:paraId="4C781407">
            <w:pPr>
              <w:jc w:val="center"/>
              <w:rPr>
                <w:strike w:val="0"/>
                <w:dstrike w:val="0"/>
                <w:color w:val="auto"/>
                <w:szCs w:val="21"/>
                <w:highlight w:val="none"/>
              </w:rPr>
            </w:pPr>
            <w:r>
              <w:rPr>
                <w:strike w:val="0"/>
                <w:dstrike w:val="0"/>
                <w:color w:val="auto"/>
                <w:szCs w:val="21"/>
                <w:highlight w:val="none"/>
              </w:rPr>
              <w:t>敏感目标名称</w:t>
            </w:r>
          </w:p>
        </w:tc>
        <w:tc>
          <w:tcPr>
            <w:tcW w:w="1350" w:type="dxa"/>
            <w:shd w:val="clear" w:color="auto" w:fill="auto"/>
            <w:vAlign w:val="center"/>
          </w:tcPr>
          <w:p w14:paraId="6612FFC1">
            <w:pPr>
              <w:jc w:val="center"/>
              <w:rPr>
                <w:strike w:val="0"/>
                <w:dstrike w:val="0"/>
                <w:color w:val="auto"/>
                <w:szCs w:val="21"/>
                <w:highlight w:val="none"/>
              </w:rPr>
            </w:pPr>
            <w:r>
              <w:rPr>
                <w:strike w:val="0"/>
                <w:dstrike w:val="0"/>
                <w:color w:val="auto"/>
                <w:szCs w:val="21"/>
                <w:highlight w:val="none"/>
              </w:rPr>
              <w:t>环境敏感特征</w:t>
            </w:r>
          </w:p>
        </w:tc>
        <w:tc>
          <w:tcPr>
            <w:tcW w:w="945" w:type="dxa"/>
            <w:shd w:val="clear" w:color="auto" w:fill="auto"/>
            <w:vAlign w:val="center"/>
          </w:tcPr>
          <w:p w14:paraId="74DA9E19">
            <w:pPr>
              <w:jc w:val="center"/>
              <w:rPr>
                <w:strike w:val="0"/>
                <w:dstrike w:val="0"/>
                <w:color w:val="auto"/>
                <w:szCs w:val="21"/>
                <w:highlight w:val="none"/>
              </w:rPr>
            </w:pPr>
            <w:r>
              <w:rPr>
                <w:strike w:val="0"/>
                <w:dstrike w:val="0"/>
                <w:color w:val="auto"/>
                <w:szCs w:val="21"/>
                <w:highlight w:val="none"/>
              </w:rPr>
              <w:t>水质目标</w:t>
            </w:r>
          </w:p>
        </w:tc>
        <w:tc>
          <w:tcPr>
            <w:tcW w:w="3036" w:type="dxa"/>
            <w:gridSpan w:val="2"/>
            <w:shd w:val="clear" w:color="auto" w:fill="auto"/>
            <w:vAlign w:val="center"/>
          </w:tcPr>
          <w:p w14:paraId="2DC253F0">
            <w:pPr>
              <w:jc w:val="center"/>
              <w:rPr>
                <w:strike w:val="0"/>
                <w:dstrike w:val="0"/>
                <w:color w:val="auto"/>
                <w:szCs w:val="21"/>
                <w:highlight w:val="none"/>
              </w:rPr>
            </w:pPr>
            <w:r>
              <w:rPr>
                <w:strike w:val="0"/>
                <w:dstrike w:val="0"/>
                <w:color w:val="auto"/>
                <w:szCs w:val="21"/>
                <w:highlight w:val="none"/>
              </w:rPr>
              <w:t>与排放点距离/m</w:t>
            </w:r>
          </w:p>
        </w:tc>
      </w:tr>
      <w:tr w14:paraId="0DA8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5E2BFEBD">
            <w:pPr>
              <w:jc w:val="center"/>
              <w:rPr>
                <w:strike w:val="0"/>
                <w:dstrike w:val="0"/>
                <w:color w:val="auto"/>
                <w:szCs w:val="21"/>
                <w:highlight w:val="none"/>
              </w:rPr>
            </w:pPr>
          </w:p>
        </w:tc>
        <w:tc>
          <w:tcPr>
            <w:tcW w:w="818" w:type="dxa"/>
            <w:shd w:val="clear" w:color="auto" w:fill="auto"/>
            <w:vAlign w:val="center"/>
          </w:tcPr>
          <w:p w14:paraId="420BF6B5">
            <w:pPr>
              <w:jc w:val="center"/>
              <w:rPr>
                <w:strike w:val="0"/>
                <w:dstrike w:val="0"/>
                <w:color w:val="auto"/>
                <w:szCs w:val="21"/>
                <w:highlight w:val="none"/>
              </w:rPr>
            </w:pPr>
            <w:r>
              <w:rPr>
                <w:strike w:val="0"/>
                <w:dstrike w:val="0"/>
                <w:color w:val="auto"/>
                <w:szCs w:val="21"/>
                <w:highlight w:val="none"/>
              </w:rPr>
              <w:t>1</w:t>
            </w:r>
          </w:p>
        </w:tc>
        <w:tc>
          <w:tcPr>
            <w:tcW w:w="1617" w:type="dxa"/>
            <w:shd w:val="clear" w:color="auto" w:fill="auto"/>
            <w:vAlign w:val="center"/>
          </w:tcPr>
          <w:p w14:paraId="0C9DAB16">
            <w:pPr>
              <w:jc w:val="center"/>
              <w:rPr>
                <w:strike w:val="0"/>
                <w:dstrike w:val="0"/>
                <w:color w:val="auto"/>
                <w:szCs w:val="21"/>
                <w:highlight w:val="none"/>
              </w:rPr>
            </w:pPr>
            <w:r>
              <w:rPr>
                <w:rFonts w:hint="eastAsia"/>
                <w:strike w:val="0"/>
                <w:dstrike w:val="0"/>
                <w:color w:val="auto"/>
                <w:szCs w:val="21"/>
                <w:highlight w:val="none"/>
              </w:rPr>
              <w:t>柏水溪</w:t>
            </w:r>
          </w:p>
        </w:tc>
        <w:tc>
          <w:tcPr>
            <w:tcW w:w="1350" w:type="dxa"/>
            <w:shd w:val="clear" w:color="auto" w:fill="auto"/>
            <w:vAlign w:val="center"/>
          </w:tcPr>
          <w:p w14:paraId="27137285">
            <w:pPr>
              <w:jc w:val="center"/>
              <w:rPr>
                <w:strike w:val="0"/>
                <w:dstrike w:val="0"/>
                <w:color w:val="auto"/>
                <w:szCs w:val="21"/>
                <w:highlight w:val="none"/>
              </w:rPr>
            </w:pPr>
            <w:r>
              <w:rPr>
                <w:rFonts w:hint="eastAsia"/>
                <w:strike w:val="0"/>
                <w:dstrike w:val="0"/>
                <w:color w:val="auto"/>
                <w:szCs w:val="21"/>
                <w:highlight w:val="none"/>
              </w:rPr>
              <w:t>较敏感</w:t>
            </w:r>
          </w:p>
        </w:tc>
        <w:tc>
          <w:tcPr>
            <w:tcW w:w="945" w:type="dxa"/>
            <w:shd w:val="clear" w:color="auto" w:fill="auto"/>
            <w:vAlign w:val="center"/>
          </w:tcPr>
          <w:p w14:paraId="050D66AC">
            <w:pPr>
              <w:jc w:val="center"/>
              <w:rPr>
                <w:strike w:val="0"/>
                <w:dstrike w:val="0"/>
                <w:color w:val="auto"/>
                <w:szCs w:val="21"/>
                <w:highlight w:val="none"/>
              </w:rPr>
            </w:pPr>
            <w:r>
              <w:rPr>
                <w:strike w:val="0"/>
                <w:dstrike w:val="0"/>
                <w:color w:val="auto"/>
                <w:szCs w:val="21"/>
                <w:highlight w:val="none"/>
              </w:rPr>
              <w:t>Ⅲ</w:t>
            </w:r>
            <w:r>
              <w:rPr>
                <w:rFonts w:hint="eastAsia"/>
                <w:strike w:val="0"/>
                <w:dstrike w:val="0"/>
                <w:color w:val="auto"/>
                <w:szCs w:val="21"/>
                <w:highlight w:val="none"/>
              </w:rPr>
              <w:t>类</w:t>
            </w:r>
          </w:p>
        </w:tc>
        <w:tc>
          <w:tcPr>
            <w:tcW w:w="1290" w:type="dxa"/>
            <w:shd w:val="clear" w:color="auto" w:fill="auto"/>
            <w:vAlign w:val="center"/>
          </w:tcPr>
          <w:p w14:paraId="5BBDCC19">
            <w:pPr>
              <w:jc w:val="center"/>
              <w:rPr>
                <w:strike w:val="0"/>
                <w:dstrike w:val="0"/>
                <w:color w:val="auto"/>
                <w:szCs w:val="21"/>
                <w:highlight w:val="none"/>
              </w:rPr>
            </w:pPr>
            <w:r>
              <w:rPr>
                <w:rFonts w:hint="eastAsia"/>
                <w:strike w:val="0"/>
                <w:dstrike w:val="0"/>
                <w:color w:val="auto"/>
                <w:szCs w:val="21"/>
                <w:highlight w:val="none"/>
              </w:rPr>
              <w:t>SE</w:t>
            </w:r>
          </w:p>
        </w:tc>
        <w:tc>
          <w:tcPr>
            <w:tcW w:w="1746" w:type="dxa"/>
            <w:shd w:val="clear" w:color="auto" w:fill="auto"/>
            <w:vAlign w:val="center"/>
          </w:tcPr>
          <w:p w14:paraId="1E527639">
            <w:pPr>
              <w:jc w:val="center"/>
              <w:rPr>
                <w:strike w:val="0"/>
                <w:dstrike w:val="0"/>
                <w:color w:val="auto"/>
                <w:szCs w:val="21"/>
                <w:highlight w:val="none"/>
              </w:rPr>
            </w:pPr>
            <w:r>
              <w:rPr>
                <w:rFonts w:hint="eastAsia"/>
                <w:strike w:val="0"/>
                <w:dstrike w:val="0"/>
                <w:color w:val="auto"/>
                <w:szCs w:val="21"/>
                <w:highlight w:val="none"/>
              </w:rPr>
              <w:t>350</w:t>
            </w:r>
          </w:p>
        </w:tc>
      </w:tr>
      <w:tr w14:paraId="4439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66B433BD">
            <w:pPr>
              <w:jc w:val="center"/>
              <w:rPr>
                <w:strike w:val="0"/>
                <w:dstrike w:val="0"/>
                <w:color w:val="auto"/>
                <w:szCs w:val="21"/>
                <w:highlight w:val="none"/>
              </w:rPr>
            </w:pPr>
          </w:p>
        </w:tc>
        <w:tc>
          <w:tcPr>
            <w:tcW w:w="6020" w:type="dxa"/>
            <w:gridSpan w:val="5"/>
            <w:shd w:val="clear" w:color="auto" w:fill="auto"/>
            <w:vAlign w:val="center"/>
          </w:tcPr>
          <w:p w14:paraId="084C2CD8">
            <w:pPr>
              <w:jc w:val="center"/>
              <w:rPr>
                <w:strike w:val="0"/>
                <w:dstrike w:val="0"/>
                <w:color w:val="auto"/>
                <w:szCs w:val="21"/>
                <w:highlight w:val="none"/>
              </w:rPr>
            </w:pPr>
            <w:r>
              <w:rPr>
                <w:strike w:val="0"/>
                <w:dstrike w:val="0"/>
                <w:color w:val="auto"/>
                <w:szCs w:val="21"/>
                <w:highlight w:val="none"/>
              </w:rPr>
              <w:t>地表水环境敏感程度E值</w:t>
            </w:r>
          </w:p>
        </w:tc>
        <w:tc>
          <w:tcPr>
            <w:tcW w:w="1746" w:type="dxa"/>
            <w:shd w:val="clear" w:color="auto" w:fill="auto"/>
            <w:vAlign w:val="center"/>
          </w:tcPr>
          <w:p w14:paraId="372B879E">
            <w:pPr>
              <w:jc w:val="center"/>
              <w:rPr>
                <w:strike w:val="0"/>
                <w:dstrike w:val="0"/>
                <w:color w:val="auto"/>
                <w:szCs w:val="21"/>
                <w:highlight w:val="none"/>
              </w:rPr>
            </w:pPr>
            <w:r>
              <w:rPr>
                <w:strike w:val="0"/>
                <w:dstrike w:val="0"/>
                <w:color w:val="auto"/>
                <w:szCs w:val="21"/>
                <w:highlight w:val="none"/>
              </w:rPr>
              <w:t>E3</w:t>
            </w:r>
          </w:p>
        </w:tc>
      </w:tr>
      <w:tr w14:paraId="4D42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restart"/>
            <w:vAlign w:val="center"/>
          </w:tcPr>
          <w:p w14:paraId="0889482F">
            <w:pPr>
              <w:jc w:val="center"/>
              <w:rPr>
                <w:strike w:val="0"/>
                <w:dstrike w:val="0"/>
                <w:color w:val="auto"/>
                <w:szCs w:val="21"/>
                <w:highlight w:val="none"/>
              </w:rPr>
            </w:pPr>
            <w:r>
              <w:rPr>
                <w:strike w:val="0"/>
                <w:dstrike w:val="0"/>
                <w:color w:val="auto"/>
                <w:szCs w:val="21"/>
                <w:highlight w:val="none"/>
              </w:rPr>
              <w:t>地下水</w:t>
            </w:r>
          </w:p>
        </w:tc>
        <w:tc>
          <w:tcPr>
            <w:tcW w:w="818" w:type="dxa"/>
            <w:shd w:val="clear" w:color="auto" w:fill="auto"/>
            <w:vAlign w:val="center"/>
          </w:tcPr>
          <w:p w14:paraId="7678BDD1">
            <w:pPr>
              <w:jc w:val="center"/>
              <w:rPr>
                <w:strike w:val="0"/>
                <w:dstrike w:val="0"/>
                <w:color w:val="auto"/>
                <w:szCs w:val="21"/>
                <w:highlight w:val="none"/>
              </w:rPr>
            </w:pPr>
            <w:r>
              <w:rPr>
                <w:strike w:val="0"/>
                <w:dstrike w:val="0"/>
                <w:color w:val="auto"/>
                <w:szCs w:val="21"/>
                <w:highlight w:val="none"/>
              </w:rPr>
              <w:t>序号</w:t>
            </w:r>
          </w:p>
        </w:tc>
        <w:tc>
          <w:tcPr>
            <w:tcW w:w="1617" w:type="dxa"/>
            <w:shd w:val="clear" w:color="auto" w:fill="auto"/>
            <w:vAlign w:val="center"/>
          </w:tcPr>
          <w:p w14:paraId="7B5D0D6C">
            <w:pPr>
              <w:jc w:val="center"/>
              <w:rPr>
                <w:strike w:val="0"/>
                <w:dstrike w:val="0"/>
                <w:color w:val="auto"/>
                <w:szCs w:val="21"/>
                <w:highlight w:val="none"/>
              </w:rPr>
            </w:pPr>
            <w:r>
              <w:rPr>
                <w:strike w:val="0"/>
                <w:dstrike w:val="0"/>
                <w:color w:val="auto"/>
                <w:szCs w:val="21"/>
                <w:highlight w:val="none"/>
              </w:rPr>
              <w:t>环境敏感区名称</w:t>
            </w:r>
          </w:p>
        </w:tc>
        <w:tc>
          <w:tcPr>
            <w:tcW w:w="1350" w:type="dxa"/>
            <w:shd w:val="clear" w:color="auto" w:fill="auto"/>
            <w:vAlign w:val="center"/>
          </w:tcPr>
          <w:p w14:paraId="737BD483">
            <w:pPr>
              <w:jc w:val="center"/>
              <w:rPr>
                <w:strike w:val="0"/>
                <w:dstrike w:val="0"/>
                <w:color w:val="auto"/>
                <w:szCs w:val="21"/>
                <w:highlight w:val="none"/>
              </w:rPr>
            </w:pPr>
            <w:r>
              <w:rPr>
                <w:strike w:val="0"/>
                <w:dstrike w:val="0"/>
                <w:color w:val="auto"/>
                <w:szCs w:val="21"/>
                <w:highlight w:val="none"/>
              </w:rPr>
              <w:t>环境敏感特征</w:t>
            </w:r>
          </w:p>
        </w:tc>
        <w:tc>
          <w:tcPr>
            <w:tcW w:w="945" w:type="dxa"/>
            <w:shd w:val="clear" w:color="auto" w:fill="auto"/>
            <w:vAlign w:val="center"/>
          </w:tcPr>
          <w:p w14:paraId="4EF623FD">
            <w:pPr>
              <w:jc w:val="center"/>
              <w:rPr>
                <w:strike w:val="0"/>
                <w:dstrike w:val="0"/>
                <w:color w:val="auto"/>
                <w:szCs w:val="21"/>
                <w:highlight w:val="none"/>
              </w:rPr>
            </w:pPr>
            <w:r>
              <w:rPr>
                <w:strike w:val="0"/>
                <w:dstrike w:val="0"/>
                <w:color w:val="auto"/>
                <w:szCs w:val="21"/>
                <w:highlight w:val="none"/>
              </w:rPr>
              <w:t>水质目标</w:t>
            </w:r>
          </w:p>
        </w:tc>
        <w:tc>
          <w:tcPr>
            <w:tcW w:w="1290" w:type="dxa"/>
            <w:shd w:val="clear" w:color="auto" w:fill="auto"/>
            <w:vAlign w:val="center"/>
          </w:tcPr>
          <w:p w14:paraId="7BFDA314">
            <w:pPr>
              <w:jc w:val="center"/>
              <w:rPr>
                <w:strike w:val="0"/>
                <w:dstrike w:val="0"/>
                <w:color w:val="auto"/>
                <w:szCs w:val="21"/>
                <w:highlight w:val="none"/>
              </w:rPr>
            </w:pPr>
            <w:r>
              <w:rPr>
                <w:strike w:val="0"/>
                <w:dstrike w:val="0"/>
                <w:color w:val="auto"/>
                <w:szCs w:val="21"/>
                <w:highlight w:val="none"/>
              </w:rPr>
              <w:t>包气带防污性能</w:t>
            </w:r>
          </w:p>
        </w:tc>
        <w:tc>
          <w:tcPr>
            <w:tcW w:w="1746" w:type="dxa"/>
            <w:shd w:val="clear" w:color="auto" w:fill="auto"/>
            <w:vAlign w:val="center"/>
          </w:tcPr>
          <w:p w14:paraId="29C4E9DA">
            <w:pPr>
              <w:jc w:val="center"/>
              <w:rPr>
                <w:strike w:val="0"/>
                <w:dstrike w:val="0"/>
                <w:color w:val="auto"/>
                <w:szCs w:val="21"/>
                <w:highlight w:val="none"/>
              </w:rPr>
            </w:pPr>
            <w:r>
              <w:rPr>
                <w:strike w:val="0"/>
                <w:dstrike w:val="0"/>
                <w:color w:val="auto"/>
                <w:szCs w:val="21"/>
                <w:highlight w:val="none"/>
              </w:rPr>
              <w:t>与下游厂界距离/m</w:t>
            </w:r>
          </w:p>
        </w:tc>
      </w:tr>
      <w:tr w14:paraId="7B59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4" w:type="dxa"/>
            <w:vMerge w:val="continue"/>
            <w:vAlign w:val="center"/>
          </w:tcPr>
          <w:p w14:paraId="77F990E0">
            <w:pPr>
              <w:jc w:val="center"/>
              <w:rPr>
                <w:strike w:val="0"/>
                <w:dstrike w:val="0"/>
                <w:color w:val="auto"/>
                <w:szCs w:val="21"/>
                <w:highlight w:val="none"/>
              </w:rPr>
            </w:pPr>
          </w:p>
        </w:tc>
        <w:tc>
          <w:tcPr>
            <w:tcW w:w="818" w:type="dxa"/>
            <w:shd w:val="clear" w:color="auto" w:fill="auto"/>
            <w:vAlign w:val="center"/>
          </w:tcPr>
          <w:p w14:paraId="587F0FBE">
            <w:pPr>
              <w:jc w:val="center"/>
              <w:rPr>
                <w:strike w:val="0"/>
                <w:dstrike w:val="0"/>
                <w:color w:val="auto"/>
                <w:szCs w:val="21"/>
                <w:highlight w:val="none"/>
              </w:rPr>
            </w:pPr>
            <w:r>
              <w:rPr>
                <w:strike w:val="0"/>
                <w:dstrike w:val="0"/>
                <w:color w:val="auto"/>
                <w:szCs w:val="21"/>
                <w:highlight w:val="none"/>
              </w:rPr>
              <w:t>1</w:t>
            </w:r>
          </w:p>
        </w:tc>
        <w:tc>
          <w:tcPr>
            <w:tcW w:w="1617" w:type="dxa"/>
            <w:shd w:val="clear" w:color="auto" w:fill="auto"/>
            <w:vAlign w:val="center"/>
          </w:tcPr>
          <w:p w14:paraId="3E4D323C">
            <w:pPr>
              <w:jc w:val="center"/>
              <w:rPr>
                <w:strike w:val="0"/>
                <w:dstrike w:val="0"/>
                <w:color w:val="auto"/>
                <w:szCs w:val="21"/>
                <w:highlight w:val="none"/>
              </w:rPr>
            </w:pPr>
            <w:r>
              <w:rPr>
                <w:strike w:val="0"/>
                <w:dstrike w:val="0"/>
                <w:color w:val="auto"/>
                <w:szCs w:val="21"/>
                <w:highlight w:val="none"/>
              </w:rPr>
              <w:t>/</w:t>
            </w:r>
          </w:p>
        </w:tc>
        <w:tc>
          <w:tcPr>
            <w:tcW w:w="1350" w:type="dxa"/>
            <w:shd w:val="clear" w:color="auto" w:fill="auto"/>
            <w:vAlign w:val="center"/>
          </w:tcPr>
          <w:p w14:paraId="4C39056E">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w:t>
            </w:r>
          </w:p>
        </w:tc>
        <w:tc>
          <w:tcPr>
            <w:tcW w:w="945" w:type="dxa"/>
            <w:shd w:val="clear" w:color="auto" w:fill="auto"/>
            <w:vAlign w:val="center"/>
          </w:tcPr>
          <w:p w14:paraId="1F637353">
            <w:pPr>
              <w:jc w:val="center"/>
              <w:rPr>
                <w:strike w:val="0"/>
                <w:dstrike w:val="0"/>
                <w:color w:val="auto"/>
                <w:szCs w:val="21"/>
                <w:highlight w:val="none"/>
              </w:rPr>
            </w:pPr>
            <w:r>
              <w:rPr>
                <w:strike w:val="0"/>
                <w:dstrike w:val="0"/>
                <w:color w:val="auto"/>
                <w:szCs w:val="21"/>
                <w:highlight w:val="none"/>
              </w:rPr>
              <w:t>/</w:t>
            </w:r>
          </w:p>
        </w:tc>
        <w:tc>
          <w:tcPr>
            <w:tcW w:w="1290" w:type="dxa"/>
            <w:shd w:val="clear" w:color="auto" w:fill="auto"/>
            <w:vAlign w:val="center"/>
          </w:tcPr>
          <w:p w14:paraId="0CF8EEED">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w:t>
            </w:r>
          </w:p>
        </w:tc>
        <w:tc>
          <w:tcPr>
            <w:tcW w:w="1746" w:type="dxa"/>
            <w:shd w:val="clear" w:color="auto" w:fill="auto"/>
            <w:vAlign w:val="center"/>
          </w:tcPr>
          <w:p w14:paraId="435E094B">
            <w:pPr>
              <w:jc w:val="center"/>
              <w:rPr>
                <w:strike w:val="0"/>
                <w:dstrike w:val="0"/>
                <w:color w:val="auto"/>
                <w:szCs w:val="21"/>
                <w:highlight w:val="none"/>
              </w:rPr>
            </w:pPr>
            <w:r>
              <w:rPr>
                <w:strike w:val="0"/>
                <w:dstrike w:val="0"/>
                <w:color w:val="auto"/>
                <w:szCs w:val="21"/>
                <w:highlight w:val="none"/>
              </w:rPr>
              <w:t>/</w:t>
            </w:r>
          </w:p>
        </w:tc>
      </w:tr>
      <w:tr w14:paraId="1900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14:paraId="626FFD44">
            <w:pPr>
              <w:jc w:val="center"/>
              <w:rPr>
                <w:strike w:val="0"/>
                <w:dstrike w:val="0"/>
                <w:color w:val="auto"/>
                <w:szCs w:val="21"/>
                <w:highlight w:val="none"/>
              </w:rPr>
            </w:pPr>
          </w:p>
        </w:tc>
        <w:tc>
          <w:tcPr>
            <w:tcW w:w="6020" w:type="dxa"/>
            <w:gridSpan w:val="5"/>
            <w:shd w:val="clear" w:color="auto" w:fill="auto"/>
            <w:vAlign w:val="center"/>
          </w:tcPr>
          <w:p w14:paraId="7917A318">
            <w:pPr>
              <w:jc w:val="center"/>
              <w:rPr>
                <w:strike w:val="0"/>
                <w:dstrike w:val="0"/>
                <w:color w:val="auto"/>
                <w:szCs w:val="21"/>
                <w:highlight w:val="none"/>
              </w:rPr>
            </w:pPr>
            <w:r>
              <w:rPr>
                <w:strike w:val="0"/>
                <w:dstrike w:val="0"/>
                <w:color w:val="auto"/>
                <w:szCs w:val="21"/>
                <w:highlight w:val="none"/>
              </w:rPr>
              <w:t>地下水环境敏感程度E值</w:t>
            </w:r>
          </w:p>
        </w:tc>
        <w:tc>
          <w:tcPr>
            <w:tcW w:w="1746" w:type="dxa"/>
            <w:shd w:val="clear" w:color="auto" w:fill="auto"/>
            <w:vAlign w:val="center"/>
          </w:tcPr>
          <w:p w14:paraId="0E6512FB">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w:t>
            </w:r>
          </w:p>
        </w:tc>
      </w:tr>
    </w:tbl>
    <w:p w14:paraId="247F07EA">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综上所述，本项目危险物质及工艺危险性为P4；大气环境敏感程度为E2，地表水环境敏感程度为E3</w:t>
      </w:r>
      <w:r>
        <w:rPr>
          <w:rFonts w:hint="eastAsia"/>
          <w:strike w:val="0"/>
          <w:dstrike w:val="0"/>
          <w:color w:val="auto"/>
          <w:sz w:val="24"/>
          <w:szCs w:val="32"/>
          <w:highlight w:val="none"/>
          <w:lang w:eastAsia="zh-CN"/>
        </w:rPr>
        <w:t>，</w:t>
      </w:r>
      <w:r>
        <w:rPr>
          <w:strike w:val="0"/>
          <w:dstrike w:val="0"/>
          <w:color w:val="auto"/>
          <w:sz w:val="24"/>
          <w:szCs w:val="32"/>
          <w:highlight w:val="none"/>
        </w:rPr>
        <w:t>地下水环境</w:t>
      </w:r>
      <w:r>
        <w:rPr>
          <w:rFonts w:hint="eastAsia"/>
          <w:strike w:val="0"/>
          <w:dstrike w:val="0"/>
          <w:color w:val="auto"/>
          <w:sz w:val="24"/>
          <w:szCs w:val="32"/>
          <w:highlight w:val="none"/>
          <w:lang w:val="en-US" w:eastAsia="zh-CN"/>
        </w:rPr>
        <w:t>无</w:t>
      </w:r>
      <w:r>
        <w:rPr>
          <w:strike w:val="0"/>
          <w:dstrike w:val="0"/>
          <w:color w:val="auto"/>
          <w:sz w:val="24"/>
          <w:szCs w:val="32"/>
          <w:highlight w:val="none"/>
        </w:rPr>
        <w:t>敏感程度</w:t>
      </w:r>
      <w:r>
        <w:rPr>
          <w:rFonts w:hint="eastAsia"/>
          <w:strike w:val="0"/>
          <w:dstrike w:val="0"/>
          <w:color w:val="auto"/>
          <w:sz w:val="24"/>
          <w:szCs w:val="32"/>
          <w:highlight w:val="none"/>
          <w:lang w:val="en-US" w:eastAsia="zh-CN"/>
        </w:rPr>
        <w:t>分级</w:t>
      </w:r>
      <w:r>
        <w:rPr>
          <w:strike w:val="0"/>
          <w:dstrike w:val="0"/>
          <w:color w:val="auto"/>
          <w:sz w:val="24"/>
          <w:szCs w:val="32"/>
          <w:highlight w:val="none"/>
        </w:rPr>
        <w:t>；由此判定项目地表水风险潜势为Ⅰ、大气风险潜势为II。</w:t>
      </w:r>
    </w:p>
    <w:p w14:paraId="1A910F80">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rPr>
        <w:t>3</w:t>
      </w:r>
      <w:r>
        <w:rPr>
          <w:rFonts w:ascii="Times New Roman" w:hAnsi="Times New Roman" w:eastAsia="宋体"/>
          <w:strike w:val="0"/>
          <w:dstrike w:val="0"/>
          <w:color w:val="auto"/>
          <w:highlight w:val="none"/>
        </w:rPr>
        <w:t>.2环境风险评价等级的确定</w:t>
      </w:r>
    </w:p>
    <w:p w14:paraId="26255EA4">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环境风险评价工作等级划分为一级、二级、三级。根据建设项目涉及的物质及工艺系统危险性和所在地的环境敏感性确定环境风险潜势，按照表1确定评价工作等级。风险潜势为Ⅳ及以上，进行一级评价；风险潜势为Ⅲ，进行二级评价；风险潜势为Ⅱ，进行三级评价；风险潜势为Ⅰ，可开展简单分析。详细确定方法见下表。</w:t>
      </w:r>
    </w:p>
    <w:p w14:paraId="7255E7BA">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 xml:space="preserve">表3.2-1 </w:t>
      </w:r>
      <w:r>
        <w:rPr>
          <w:b/>
          <w:bCs/>
          <w:strike w:val="0"/>
          <w:dstrike w:val="0"/>
          <w:color w:val="auto"/>
          <w:sz w:val="24"/>
          <w:szCs w:val="32"/>
          <w:highlight w:val="none"/>
        </w:rPr>
        <w:t xml:space="preserve"> 风险评价等级划分表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14:paraId="13EF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14:paraId="223BCDFF">
            <w:pPr>
              <w:jc w:val="center"/>
              <w:rPr>
                <w:strike w:val="0"/>
                <w:dstrike w:val="0"/>
                <w:color w:val="auto"/>
                <w:szCs w:val="21"/>
                <w:highlight w:val="none"/>
              </w:rPr>
            </w:pPr>
            <w:r>
              <w:rPr>
                <w:strike w:val="0"/>
                <w:dstrike w:val="0"/>
                <w:color w:val="auto"/>
                <w:szCs w:val="21"/>
                <w:highlight w:val="none"/>
              </w:rPr>
              <w:t>环境风险潜势</w:t>
            </w:r>
          </w:p>
        </w:tc>
        <w:tc>
          <w:tcPr>
            <w:tcW w:w="1812" w:type="dxa"/>
            <w:vAlign w:val="center"/>
          </w:tcPr>
          <w:p w14:paraId="1519EE95">
            <w:pPr>
              <w:jc w:val="center"/>
              <w:rPr>
                <w:strike w:val="0"/>
                <w:dstrike w:val="0"/>
                <w:color w:val="auto"/>
                <w:szCs w:val="21"/>
                <w:highlight w:val="none"/>
              </w:rPr>
            </w:pPr>
            <w:r>
              <w:rPr>
                <w:strike w:val="0"/>
                <w:dstrike w:val="0"/>
                <w:color w:val="auto"/>
                <w:szCs w:val="21"/>
                <w:highlight w:val="none"/>
              </w:rPr>
              <w:t>IV</w:t>
            </w:r>
            <w:r>
              <w:rPr>
                <w:rFonts w:hint="eastAsia"/>
                <w:strike w:val="0"/>
                <w:dstrike w:val="0"/>
                <w:color w:val="auto"/>
                <w:szCs w:val="21"/>
                <w:highlight w:val="none"/>
              </w:rPr>
              <w:t>、</w:t>
            </w:r>
            <w:r>
              <w:rPr>
                <w:strike w:val="0"/>
                <w:dstrike w:val="0"/>
                <w:color w:val="auto"/>
                <w:szCs w:val="21"/>
                <w:highlight w:val="none"/>
              </w:rPr>
              <w:t>IV</w:t>
            </w:r>
            <w:r>
              <w:rPr>
                <w:strike w:val="0"/>
                <w:dstrike w:val="0"/>
                <w:color w:val="auto"/>
                <w:szCs w:val="21"/>
                <w:highlight w:val="none"/>
                <w:vertAlign w:val="superscript"/>
              </w:rPr>
              <w:t>+</w:t>
            </w:r>
          </w:p>
        </w:tc>
        <w:tc>
          <w:tcPr>
            <w:tcW w:w="1812" w:type="dxa"/>
            <w:vAlign w:val="center"/>
          </w:tcPr>
          <w:p w14:paraId="625E7542">
            <w:pPr>
              <w:jc w:val="center"/>
              <w:rPr>
                <w:strike w:val="0"/>
                <w:dstrike w:val="0"/>
                <w:color w:val="auto"/>
                <w:szCs w:val="21"/>
                <w:highlight w:val="none"/>
              </w:rPr>
            </w:pPr>
            <w:r>
              <w:rPr>
                <w:strike w:val="0"/>
                <w:dstrike w:val="0"/>
                <w:color w:val="auto"/>
                <w:szCs w:val="21"/>
                <w:highlight w:val="none"/>
              </w:rPr>
              <w:t>III</w:t>
            </w:r>
          </w:p>
        </w:tc>
        <w:tc>
          <w:tcPr>
            <w:tcW w:w="1812" w:type="dxa"/>
            <w:vAlign w:val="center"/>
          </w:tcPr>
          <w:p w14:paraId="17D2D7A5">
            <w:pPr>
              <w:jc w:val="center"/>
              <w:rPr>
                <w:strike w:val="0"/>
                <w:dstrike w:val="0"/>
                <w:color w:val="auto"/>
                <w:szCs w:val="21"/>
                <w:highlight w:val="none"/>
              </w:rPr>
            </w:pPr>
            <w:r>
              <w:rPr>
                <w:strike w:val="0"/>
                <w:dstrike w:val="0"/>
                <w:color w:val="auto"/>
                <w:szCs w:val="21"/>
                <w:highlight w:val="none"/>
              </w:rPr>
              <w:t>II</w:t>
            </w:r>
          </w:p>
        </w:tc>
        <w:tc>
          <w:tcPr>
            <w:tcW w:w="1812" w:type="dxa"/>
            <w:vAlign w:val="center"/>
          </w:tcPr>
          <w:p w14:paraId="78480C50">
            <w:pPr>
              <w:jc w:val="center"/>
              <w:rPr>
                <w:strike w:val="0"/>
                <w:dstrike w:val="0"/>
                <w:color w:val="auto"/>
                <w:szCs w:val="21"/>
                <w:highlight w:val="none"/>
              </w:rPr>
            </w:pPr>
            <w:r>
              <w:rPr>
                <w:strike w:val="0"/>
                <w:dstrike w:val="0"/>
                <w:color w:val="auto"/>
                <w:szCs w:val="21"/>
                <w:highlight w:val="none"/>
              </w:rPr>
              <w:t>I</w:t>
            </w:r>
          </w:p>
        </w:tc>
      </w:tr>
      <w:tr w14:paraId="75B5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14:paraId="27DE2402">
            <w:pPr>
              <w:jc w:val="center"/>
              <w:rPr>
                <w:strike w:val="0"/>
                <w:dstrike w:val="0"/>
                <w:color w:val="auto"/>
                <w:szCs w:val="21"/>
                <w:highlight w:val="none"/>
              </w:rPr>
            </w:pPr>
            <w:r>
              <w:rPr>
                <w:strike w:val="0"/>
                <w:dstrike w:val="0"/>
                <w:color w:val="auto"/>
                <w:szCs w:val="21"/>
                <w:highlight w:val="none"/>
              </w:rPr>
              <w:t>评价等级</w:t>
            </w:r>
          </w:p>
        </w:tc>
        <w:tc>
          <w:tcPr>
            <w:tcW w:w="1812" w:type="dxa"/>
            <w:vAlign w:val="center"/>
          </w:tcPr>
          <w:p w14:paraId="485AAD44">
            <w:pPr>
              <w:jc w:val="center"/>
              <w:rPr>
                <w:strike w:val="0"/>
                <w:dstrike w:val="0"/>
                <w:color w:val="auto"/>
                <w:szCs w:val="21"/>
                <w:highlight w:val="none"/>
              </w:rPr>
            </w:pPr>
            <w:r>
              <w:rPr>
                <w:strike w:val="0"/>
                <w:dstrike w:val="0"/>
                <w:color w:val="auto"/>
                <w:szCs w:val="21"/>
                <w:highlight w:val="none"/>
              </w:rPr>
              <w:t>一</w:t>
            </w:r>
          </w:p>
        </w:tc>
        <w:tc>
          <w:tcPr>
            <w:tcW w:w="1812" w:type="dxa"/>
            <w:vAlign w:val="center"/>
          </w:tcPr>
          <w:p w14:paraId="6E30D43E">
            <w:pPr>
              <w:jc w:val="center"/>
              <w:rPr>
                <w:strike w:val="0"/>
                <w:dstrike w:val="0"/>
                <w:color w:val="auto"/>
                <w:szCs w:val="21"/>
                <w:highlight w:val="none"/>
              </w:rPr>
            </w:pPr>
            <w:r>
              <w:rPr>
                <w:strike w:val="0"/>
                <w:dstrike w:val="0"/>
                <w:color w:val="auto"/>
                <w:szCs w:val="21"/>
                <w:highlight w:val="none"/>
              </w:rPr>
              <w:t>二</w:t>
            </w:r>
          </w:p>
        </w:tc>
        <w:tc>
          <w:tcPr>
            <w:tcW w:w="1812" w:type="dxa"/>
            <w:vAlign w:val="center"/>
          </w:tcPr>
          <w:p w14:paraId="19E2AD45">
            <w:pPr>
              <w:jc w:val="center"/>
              <w:rPr>
                <w:strike w:val="0"/>
                <w:dstrike w:val="0"/>
                <w:color w:val="auto"/>
                <w:szCs w:val="21"/>
                <w:highlight w:val="none"/>
              </w:rPr>
            </w:pPr>
            <w:r>
              <w:rPr>
                <w:strike w:val="0"/>
                <w:dstrike w:val="0"/>
                <w:color w:val="auto"/>
                <w:szCs w:val="21"/>
                <w:highlight w:val="none"/>
              </w:rPr>
              <w:t>三</w:t>
            </w:r>
          </w:p>
        </w:tc>
        <w:tc>
          <w:tcPr>
            <w:tcW w:w="1812" w:type="dxa"/>
            <w:vAlign w:val="center"/>
          </w:tcPr>
          <w:p w14:paraId="1CDD2105">
            <w:pPr>
              <w:jc w:val="center"/>
              <w:rPr>
                <w:strike w:val="0"/>
                <w:dstrike w:val="0"/>
                <w:color w:val="auto"/>
                <w:szCs w:val="21"/>
                <w:highlight w:val="none"/>
              </w:rPr>
            </w:pPr>
            <w:r>
              <w:rPr>
                <w:strike w:val="0"/>
                <w:dstrike w:val="0"/>
                <w:color w:val="auto"/>
                <w:szCs w:val="21"/>
                <w:highlight w:val="none"/>
              </w:rPr>
              <w:t>简单分析</w:t>
            </w:r>
          </w:p>
        </w:tc>
      </w:tr>
    </w:tbl>
    <w:p w14:paraId="42580140">
      <w:pPr>
        <w:spacing w:line="360" w:lineRule="auto"/>
        <w:ind w:firstLine="480" w:firstLineChars="200"/>
        <w:rPr>
          <w:strike w:val="0"/>
          <w:dstrike w:val="0"/>
          <w:color w:val="auto"/>
          <w:sz w:val="24"/>
          <w:highlight w:val="none"/>
        </w:rPr>
      </w:pPr>
      <w:r>
        <w:rPr>
          <w:rFonts w:hint="eastAsia"/>
          <w:strike w:val="0"/>
          <w:dstrike w:val="0"/>
          <w:color w:val="auto"/>
          <w:sz w:val="24"/>
          <w:highlight w:val="none"/>
        </w:rPr>
        <w:t>因此，</w:t>
      </w:r>
      <w:r>
        <w:rPr>
          <w:strike w:val="0"/>
          <w:dstrike w:val="0"/>
          <w:color w:val="auto"/>
          <w:sz w:val="24"/>
          <w:highlight w:val="none"/>
        </w:rPr>
        <w:t>判定本项目地表水风险潜势为I，评价等级为简单分析，大气风险潜势为II</w:t>
      </w:r>
      <w:r>
        <w:rPr>
          <w:rFonts w:hint="eastAsia"/>
          <w:strike w:val="0"/>
          <w:dstrike w:val="0"/>
          <w:color w:val="auto"/>
          <w:sz w:val="24"/>
          <w:highlight w:val="none"/>
        </w:rPr>
        <w:t>，</w:t>
      </w:r>
      <w:r>
        <w:rPr>
          <w:strike w:val="0"/>
          <w:dstrike w:val="0"/>
          <w:color w:val="auto"/>
          <w:sz w:val="24"/>
          <w:highlight w:val="none"/>
        </w:rPr>
        <w:t>综合评价等级为三级评价。</w:t>
      </w:r>
    </w:p>
    <w:p w14:paraId="327FD0B1">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rPr>
        <w:t>3</w:t>
      </w:r>
      <w:r>
        <w:rPr>
          <w:rFonts w:ascii="Times New Roman" w:hAnsi="Times New Roman" w:eastAsia="宋体"/>
          <w:strike w:val="0"/>
          <w:dstrike w:val="0"/>
          <w:color w:val="auto"/>
          <w:highlight w:val="none"/>
        </w:rPr>
        <w:t>.3环境风险保护目标调查</w:t>
      </w:r>
    </w:p>
    <w:p w14:paraId="24DD2526">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根据现场调查，本项目最近的地表水为</w:t>
      </w:r>
      <w:r>
        <w:rPr>
          <w:rFonts w:hint="eastAsia"/>
          <w:strike w:val="0"/>
          <w:dstrike w:val="0"/>
          <w:color w:val="auto"/>
          <w:sz w:val="24"/>
          <w:szCs w:val="32"/>
          <w:highlight w:val="none"/>
        </w:rPr>
        <w:t>柏水溪</w:t>
      </w:r>
      <w:r>
        <w:rPr>
          <w:strike w:val="0"/>
          <w:dstrike w:val="0"/>
          <w:color w:val="auto"/>
          <w:sz w:val="24"/>
          <w:szCs w:val="32"/>
          <w:highlight w:val="none"/>
        </w:rPr>
        <w:t>，在项目</w:t>
      </w:r>
      <w:r>
        <w:rPr>
          <w:rFonts w:hint="eastAsia"/>
          <w:strike w:val="0"/>
          <w:dstrike w:val="0"/>
          <w:color w:val="auto"/>
          <w:sz w:val="24"/>
          <w:szCs w:val="32"/>
          <w:highlight w:val="none"/>
        </w:rPr>
        <w:t>东南</w:t>
      </w:r>
      <w:r>
        <w:rPr>
          <w:strike w:val="0"/>
          <w:dstrike w:val="0"/>
          <w:color w:val="auto"/>
          <w:sz w:val="24"/>
          <w:szCs w:val="32"/>
          <w:highlight w:val="none"/>
        </w:rPr>
        <w:t>侧</w:t>
      </w:r>
      <w:r>
        <w:rPr>
          <w:rFonts w:hint="eastAsia"/>
          <w:strike w:val="0"/>
          <w:dstrike w:val="0"/>
          <w:color w:val="auto"/>
          <w:sz w:val="24"/>
          <w:szCs w:val="32"/>
          <w:highlight w:val="none"/>
        </w:rPr>
        <w:t>350</w:t>
      </w:r>
      <w:r>
        <w:rPr>
          <w:strike w:val="0"/>
          <w:dstrike w:val="0"/>
          <w:color w:val="auto"/>
          <w:sz w:val="24"/>
          <w:szCs w:val="32"/>
          <w:highlight w:val="none"/>
        </w:rPr>
        <w:t>m，事故情况下，事故废水</w:t>
      </w:r>
      <w:r>
        <w:rPr>
          <w:rFonts w:hint="eastAsia"/>
          <w:strike w:val="0"/>
          <w:dstrike w:val="0"/>
          <w:color w:val="auto"/>
          <w:sz w:val="24"/>
          <w:szCs w:val="32"/>
          <w:highlight w:val="none"/>
        </w:rPr>
        <w:t>可能会</w:t>
      </w:r>
      <w:r>
        <w:rPr>
          <w:strike w:val="0"/>
          <w:dstrike w:val="0"/>
          <w:color w:val="auto"/>
          <w:sz w:val="24"/>
          <w:szCs w:val="32"/>
          <w:highlight w:val="none"/>
        </w:rPr>
        <w:t>流入</w:t>
      </w:r>
      <w:r>
        <w:rPr>
          <w:rFonts w:hint="eastAsia"/>
          <w:strike w:val="0"/>
          <w:dstrike w:val="0"/>
          <w:color w:val="auto"/>
          <w:sz w:val="24"/>
          <w:szCs w:val="32"/>
          <w:highlight w:val="none"/>
        </w:rPr>
        <w:t>柏水溪</w:t>
      </w:r>
      <w:r>
        <w:rPr>
          <w:strike w:val="0"/>
          <w:dstrike w:val="0"/>
          <w:color w:val="auto"/>
          <w:sz w:val="24"/>
          <w:szCs w:val="32"/>
          <w:highlight w:val="none"/>
        </w:rPr>
        <w:t>。地下水评价范围内无环境敏感目标。</w:t>
      </w:r>
    </w:p>
    <w:p w14:paraId="04AE43D5">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本项目敏感特征详见下表，大气、地表水、地下水环境风险敏感目标位置见下图。</w:t>
      </w:r>
    </w:p>
    <w:p w14:paraId="0EA05AF3">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rPr>
        <w:t xml:space="preserve">表3.3-1 </w:t>
      </w:r>
      <w:r>
        <w:rPr>
          <w:b/>
          <w:bCs/>
          <w:strike w:val="0"/>
          <w:dstrike w:val="0"/>
          <w:color w:val="auto"/>
          <w:sz w:val="24"/>
          <w:szCs w:val="32"/>
          <w:highlight w:val="none"/>
        </w:rPr>
        <w:t xml:space="preserve"> 建设项目敏感特征表</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43"/>
        <w:gridCol w:w="1550"/>
        <w:gridCol w:w="756"/>
        <w:gridCol w:w="694"/>
        <w:gridCol w:w="262"/>
        <w:gridCol w:w="1089"/>
        <w:gridCol w:w="74"/>
        <w:gridCol w:w="971"/>
        <w:gridCol w:w="281"/>
        <w:gridCol w:w="1818"/>
      </w:tblGrid>
      <w:tr w14:paraId="4FC1E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12" w:space="0"/>
              <w:left w:val="single" w:color="auto" w:sz="12" w:space="0"/>
              <w:bottom w:val="single" w:color="auto" w:sz="4" w:space="0"/>
              <w:right w:val="single" w:color="auto" w:sz="4" w:space="0"/>
            </w:tcBorders>
            <w:vAlign w:val="center"/>
          </w:tcPr>
          <w:p w14:paraId="4598B764">
            <w:pPr>
              <w:jc w:val="center"/>
              <w:rPr>
                <w:strike w:val="0"/>
                <w:dstrike w:val="0"/>
                <w:color w:val="auto"/>
                <w:szCs w:val="21"/>
                <w:highlight w:val="none"/>
              </w:rPr>
            </w:pPr>
            <w:r>
              <w:rPr>
                <w:strike w:val="0"/>
                <w:dstrike w:val="0"/>
                <w:color w:val="auto"/>
                <w:szCs w:val="21"/>
                <w:highlight w:val="none"/>
              </w:rPr>
              <w:t>类别</w:t>
            </w:r>
          </w:p>
        </w:tc>
        <w:tc>
          <w:tcPr>
            <w:tcW w:w="4548" w:type="pct"/>
            <w:gridSpan w:val="10"/>
            <w:tcBorders>
              <w:top w:val="single" w:color="auto" w:sz="12" w:space="0"/>
              <w:left w:val="single" w:color="auto" w:sz="4" w:space="0"/>
              <w:bottom w:val="single" w:color="auto" w:sz="4" w:space="0"/>
              <w:right w:val="single" w:color="auto" w:sz="12" w:space="0"/>
            </w:tcBorders>
            <w:vAlign w:val="center"/>
          </w:tcPr>
          <w:p w14:paraId="23EF3C37">
            <w:pPr>
              <w:jc w:val="center"/>
              <w:rPr>
                <w:strike w:val="0"/>
                <w:dstrike w:val="0"/>
                <w:color w:val="auto"/>
                <w:szCs w:val="21"/>
                <w:highlight w:val="none"/>
              </w:rPr>
            </w:pPr>
            <w:r>
              <w:rPr>
                <w:strike w:val="0"/>
                <w:dstrike w:val="0"/>
                <w:color w:val="auto"/>
                <w:szCs w:val="21"/>
                <w:highlight w:val="none"/>
              </w:rPr>
              <w:t>环境敏感特征</w:t>
            </w:r>
          </w:p>
        </w:tc>
      </w:tr>
      <w:tr w14:paraId="24E5C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tcBorders>
              <w:top w:val="single" w:color="auto" w:sz="4" w:space="0"/>
              <w:left w:val="single" w:color="auto" w:sz="12" w:space="0"/>
              <w:bottom w:val="single" w:color="auto" w:sz="4" w:space="0"/>
              <w:right w:val="single" w:color="auto" w:sz="4" w:space="0"/>
            </w:tcBorders>
            <w:vAlign w:val="center"/>
          </w:tcPr>
          <w:p w14:paraId="76F619D9">
            <w:pPr>
              <w:jc w:val="center"/>
              <w:rPr>
                <w:strike w:val="0"/>
                <w:dstrike w:val="0"/>
                <w:color w:val="auto"/>
                <w:szCs w:val="21"/>
                <w:highlight w:val="none"/>
              </w:rPr>
            </w:pPr>
            <w:r>
              <w:rPr>
                <w:strike w:val="0"/>
                <w:dstrike w:val="0"/>
                <w:color w:val="auto"/>
                <w:szCs w:val="21"/>
                <w:highlight w:val="none"/>
              </w:rPr>
              <w:t>环境空气</w:t>
            </w:r>
          </w:p>
        </w:tc>
        <w:tc>
          <w:tcPr>
            <w:tcW w:w="4548" w:type="pct"/>
            <w:gridSpan w:val="10"/>
            <w:tcBorders>
              <w:top w:val="single" w:color="auto" w:sz="4" w:space="0"/>
              <w:left w:val="single" w:color="auto" w:sz="4" w:space="0"/>
              <w:bottom w:val="single" w:color="auto" w:sz="4" w:space="0"/>
              <w:right w:val="single" w:color="auto" w:sz="12" w:space="0"/>
            </w:tcBorders>
            <w:vAlign w:val="center"/>
          </w:tcPr>
          <w:p w14:paraId="484D9AB2">
            <w:pPr>
              <w:jc w:val="center"/>
              <w:rPr>
                <w:strike w:val="0"/>
                <w:dstrike w:val="0"/>
                <w:color w:val="auto"/>
                <w:szCs w:val="21"/>
                <w:highlight w:val="none"/>
              </w:rPr>
            </w:pPr>
            <w:r>
              <w:rPr>
                <w:strike w:val="0"/>
                <w:dstrike w:val="0"/>
                <w:color w:val="auto"/>
                <w:szCs w:val="21"/>
                <w:highlight w:val="none"/>
              </w:rPr>
              <w:t>厂址周边</w:t>
            </w:r>
            <w:r>
              <w:rPr>
                <w:rFonts w:hint="eastAsia"/>
                <w:strike w:val="0"/>
                <w:dstrike w:val="0"/>
                <w:color w:val="auto"/>
                <w:szCs w:val="21"/>
                <w:highlight w:val="none"/>
                <w:lang w:val="en-US" w:eastAsia="zh-CN"/>
              </w:rPr>
              <w:t>3</w:t>
            </w:r>
            <w:r>
              <w:rPr>
                <w:strike w:val="0"/>
                <w:dstrike w:val="0"/>
                <w:color w:val="auto"/>
                <w:szCs w:val="21"/>
                <w:highlight w:val="none"/>
              </w:rPr>
              <w:t>km范围内</w:t>
            </w:r>
          </w:p>
        </w:tc>
      </w:tr>
      <w:tr w14:paraId="19B81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33C8EDD">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091E2C7A">
            <w:pPr>
              <w:jc w:val="center"/>
              <w:rPr>
                <w:strike w:val="0"/>
                <w:dstrike w:val="0"/>
                <w:color w:val="auto"/>
                <w:szCs w:val="21"/>
                <w:highlight w:val="none"/>
              </w:rPr>
            </w:pPr>
            <w:r>
              <w:rPr>
                <w:strike w:val="0"/>
                <w:dstrike w:val="0"/>
                <w:color w:val="auto"/>
                <w:szCs w:val="21"/>
                <w:highlight w:val="none"/>
              </w:rPr>
              <w:t>序号</w:t>
            </w:r>
          </w:p>
        </w:tc>
        <w:tc>
          <w:tcPr>
            <w:tcW w:w="855" w:type="pct"/>
            <w:tcBorders>
              <w:top w:val="single" w:color="auto" w:sz="4" w:space="0"/>
              <w:left w:val="single" w:color="auto" w:sz="4" w:space="0"/>
              <w:bottom w:val="single" w:color="auto" w:sz="4" w:space="0"/>
              <w:right w:val="single" w:color="auto" w:sz="4" w:space="0"/>
            </w:tcBorders>
            <w:vAlign w:val="center"/>
          </w:tcPr>
          <w:p w14:paraId="46177EAE">
            <w:pPr>
              <w:jc w:val="center"/>
              <w:rPr>
                <w:strike w:val="0"/>
                <w:dstrike w:val="0"/>
                <w:color w:val="auto"/>
                <w:szCs w:val="21"/>
                <w:highlight w:val="none"/>
              </w:rPr>
            </w:pPr>
            <w:r>
              <w:rPr>
                <w:strike w:val="0"/>
                <w:dstrike w:val="0"/>
                <w:color w:val="auto"/>
                <w:szCs w:val="21"/>
                <w:highlight w:val="none"/>
              </w:rPr>
              <w:t>敏感目标名称</w:t>
            </w:r>
          </w:p>
        </w:tc>
        <w:tc>
          <w:tcPr>
            <w:tcW w:w="800" w:type="pct"/>
            <w:gridSpan w:val="2"/>
            <w:tcBorders>
              <w:top w:val="single" w:color="auto" w:sz="4" w:space="0"/>
              <w:left w:val="single" w:color="auto" w:sz="4" w:space="0"/>
              <w:bottom w:val="single" w:color="auto" w:sz="4" w:space="0"/>
              <w:right w:val="single" w:color="auto" w:sz="4" w:space="0"/>
            </w:tcBorders>
            <w:vAlign w:val="center"/>
          </w:tcPr>
          <w:p w14:paraId="7236EB4D">
            <w:pPr>
              <w:jc w:val="center"/>
              <w:rPr>
                <w:strike w:val="0"/>
                <w:dstrike w:val="0"/>
                <w:color w:val="auto"/>
                <w:szCs w:val="21"/>
                <w:highlight w:val="none"/>
              </w:rPr>
            </w:pPr>
            <w:r>
              <w:rPr>
                <w:strike w:val="0"/>
                <w:dstrike w:val="0"/>
                <w:color w:val="auto"/>
                <w:szCs w:val="21"/>
                <w:highlight w:val="none"/>
              </w:rPr>
              <w:t>相对方位</w:t>
            </w:r>
          </w:p>
        </w:tc>
        <w:tc>
          <w:tcPr>
            <w:tcW w:w="786" w:type="pct"/>
            <w:gridSpan w:val="3"/>
            <w:tcBorders>
              <w:top w:val="single" w:color="auto" w:sz="4" w:space="0"/>
              <w:left w:val="single" w:color="auto" w:sz="4" w:space="0"/>
              <w:bottom w:val="single" w:color="auto" w:sz="4" w:space="0"/>
              <w:right w:val="single" w:color="auto" w:sz="4" w:space="0"/>
            </w:tcBorders>
            <w:vAlign w:val="center"/>
          </w:tcPr>
          <w:p w14:paraId="05945E59">
            <w:pPr>
              <w:jc w:val="center"/>
              <w:rPr>
                <w:strike w:val="0"/>
                <w:dstrike w:val="0"/>
                <w:color w:val="auto"/>
                <w:szCs w:val="21"/>
                <w:highlight w:val="none"/>
              </w:rPr>
            </w:pPr>
            <w:r>
              <w:rPr>
                <w:strike w:val="0"/>
                <w:dstrike w:val="0"/>
                <w:color w:val="auto"/>
                <w:szCs w:val="21"/>
                <w:highlight w:val="none"/>
              </w:rPr>
              <w:t>距离/m</w:t>
            </w:r>
          </w:p>
        </w:tc>
        <w:tc>
          <w:tcPr>
            <w:tcW w:w="691" w:type="pct"/>
            <w:gridSpan w:val="2"/>
            <w:tcBorders>
              <w:top w:val="single" w:color="auto" w:sz="4" w:space="0"/>
              <w:left w:val="single" w:color="auto" w:sz="4" w:space="0"/>
              <w:bottom w:val="single" w:color="auto" w:sz="4" w:space="0"/>
              <w:right w:val="single" w:color="auto" w:sz="4" w:space="0"/>
            </w:tcBorders>
            <w:vAlign w:val="center"/>
          </w:tcPr>
          <w:p w14:paraId="2E30A9CC">
            <w:pPr>
              <w:jc w:val="center"/>
              <w:rPr>
                <w:strike w:val="0"/>
                <w:dstrike w:val="0"/>
                <w:color w:val="auto"/>
                <w:szCs w:val="21"/>
                <w:highlight w:val="none"/>
              </w:rPr>
            </w:pPr>
            <w:r>
              <w:rPr>
                <w:strike w:val="0"/>
                <w:dstrike w:val="0"/>
                <w:color w:val="auto"/>
                <w:szCs w:val="21"/>
                <w:highlight w:val="none"/>
              </w:rPr>
              <w:t>属性</w:t>
            </w:r>
          </w:p>
        </w:tc>
        <w:tc>
          <w:tcPr>
            <w:tcW w:w="1003" w:type="pct"/>
            <w:tcBorders>
              <w:top w:val="single" w:color="auto" w:sz="4" w:space="0"/>
              <w:left w:val="single" w:color="auto" w:sz="4" w:space="0"/>
              <w:bottom w:val="single" w:color="auto" w:sz="4" w:space="0"/>
              <w:right w:val="single" w:color="auto" w:sz="12" w:space="0"/>
            </w:tcBorders>
            <w:vAlign w:val="center"/>
          </w:tcPr>
          <w:p w14:paraId="7C0B23EA">
            <w:pPr>
              <w:jc w:val="center"/>
              <w:rPr>
                <w:strike w:val="0"/>
                <w:dstrike w:val="0"/>
                <w:color w:val="auto"/>
                <w:szCs w:val="21"/>
                <w:highlight w:val="none"/>
              </w:rPr>
            </w:pPr>
            <w:r>
              <w:rPr>
                <w:strike w:val="0"/>
                <w:dstrike w:val="0"/>
                <w:color w:val="auto"/>
                <w:szCs w:val="21"/>
                <w:highlight w:val="none"/>
              </w:rPr>
              <w:t>人口数</w:t>
            </w:r>
          </w:p>
        </w:tc>
      </w:tr>
      <w:tr w14:paraId="77ECE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3DC558F3">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3926FD92">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1</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2C320A14">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飞岚垭</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435617">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SW</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1C1414">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280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CCD0AC">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25681A18">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约400人</w:t>
            </w:r>
          </w:p>
        </w:tc>
      </w:tr>
      <w:tr w14:paraId="05D90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78A070A4">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58B6A779">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2</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7854D436">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1#居民点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44D015">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SW</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08AE244">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160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3E4047">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77B060B3">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5户，约15人</w:t>
            </w:r>
          </w:p>
        </w:tc>
      </w:tr>
      <w:tr w14:paraId="27C88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54C2136E">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4CD7F65D">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3</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6329EBD2">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2#居民点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E7EDBF">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NW</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6254697">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159</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1A85D6">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29C62BE4">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1户，约3人</w:t>
            </w:r>
          </w:p>
        </w:tc>
      </w:tr>
      <w:tr w14:paraId="22C10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3187981A">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3932A98E">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4</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0E70A88D">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3#居民点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B925BE">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NW</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ECA4B89">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234</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54A33B">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05BFE236">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3户，约9人</w:t>
            </w:r>
          </w:p>
        </w:tc>
      </w:tr>
      <w:tr w14:paraId="69E7F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35714025">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29BE110B">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5</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3185E7FA">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4#居民点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B47431">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NW</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B99E766">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410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86634A">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614BE51C">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1户，约3人</w:t>
            </w:r>
          </w:p>
        </w:tc>
      </w:tr>
      <w:tr w14:paraId="2A637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753CC67C">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15BEF98A">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6</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0D6A0CEB">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5#居民点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71A8F3">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W</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2ACA39D">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460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B8D8CE">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26EE5D40">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1户，约3人</w:t>
            </w:r>
          </w:p>
        </w:tc>
      </w:tr>
      <w:tr w14:paraId="75FED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15808F99">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3EED3865">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7</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349DC983">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6#居民点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EF9849">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S</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E78EDF">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490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FE8A87">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52C8590B">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1户，约3人</w:t>
            </w:r>
          </w:p>
        </w:tc>
      </w:tr>
      <w:tr w14:paraId="28045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AD35E78">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708605FB">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8</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3ECE760D">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7</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BEDC34">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SE</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E59D71A">
            <w:pPr>
              <w:jc w:val="center"/>
              <w:rPr>
                <w:rFonts w:hint="default"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lang w:val="en-US" w:eastAsia="zh-CN"/>
              </w:rPr>
              <w:t>542</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6A0310">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1828535E">
            <w:pPr>
              <w:jc w:val="center"/>
              <w:rPr>
                <w:rFonts w:hint="eastAsia"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lang w:val="en-US" w:eastAsia="zh-CN"/>
              </w:rPr>
              <w:t>8</w:t>
            </w:r>
            <w:r>
              <w:rPr>
                <w:rFonts w:hint="eastAsia"/>
                <w:strike w:val="0"/>
                <w:dstrike w:val="0"/>
                <w:color w:val="auto"/>
                <w:kern w:val="0"/>
                <w:szCs w:val="21"/>
                <w:highlight w:val="none"/>
              </w:rPr>
              <w:t>户，约</w:t>
            </w:r>
            <w:r>
              <w:rPr>
                <w:rFonts w:hint="eastAsia"/>
                <w:strike w:val="0"/>
                <w:dstrike w:val="0"/>
                <w:color w:val="auto"/>
                <w:kern w:val="0"/>
                <w:szCs w:val="21"/>
                <w:highlight w:val="none"/>
                <w:lang w:val="en-US" w:eastAsia="zh-CN"/>
              </w:rPr>
              <w:t>24</w:t>
            </w:r>
            <w:r>
              <w:rPr>
                <w:rFonts w:hint="eastAsia"/>
                <w:strike w:val="0"/>
                <w:dstrike w:val="0"/>
                <w:color w:val="auto"/>
                <w:kern w:val="0"/>
                <w:szCs w:val="21"/>
                <w:highlight w:val="none"/>
              </w:rPr>
              <w:t>人</w:t>
            </w:r>
          </w:p>
        </w:tc>
      </w:tr>
      <w:tr w14:paraId="48EB0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53F1260F">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4B722334">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9</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32924A86">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8</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D56EE6">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NE</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E0B31B5">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750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22F7F8">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25EC5140">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5</w:t>
            </w:r>
            <w:r>
              <w:rPr>
                <w:rFonts w:hint="eastAsia"/>
                <w:strike w:val="0"/>
                <w:dstrike w:val="0"/>
                <w:color w:val="auto"/>
                <w:kern w:val="0"/>
                <w:szCs w:val="21"/>
                <w:highlight w:val="none"/>
              </w:rPr>
              <w:t>户，约15人</w:t>
            </w:r>
          </w:p>
        </w:tc>
      </w:tr>
      <w:tr w14:paraId="0FABB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32C05E9">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7F500367">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10</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07CCDB80">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9</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A58927">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N</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64320A5">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1135</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CE142B">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7872B5D0">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10</w:t>
            </w:r>
            <w:r>
              <w:rPr>
                <w:rFonts w:hint="eastAsia"/>
                <w:strike w:val="0"/>
                <w:dstrike w:val="0"/>
                <w:color w:val="auto"/>
                <w:kern w:val="0"/>
                <w:szCs w:val="21"/>
                <w:highlight w:val="none"/>
              </w:rPr>
              <w:t>户，约30人</w:t>
            </w:r>
          </w:p>
        </w:tc>
      </w:tr>
      <w:tr w14:paraId="01BD2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30BE9336">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6CC0DB1D">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11</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0917118D">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10</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8E4BFB">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NE</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DB5AF2">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1080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1F6A7E">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52E5963B">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15</w:t>
            </w:r>
            <w:r>
              <w:rPr>
                <w:rFonts w:hint="eastAsia"/>
                <w:strike w:val="0"/>
                <w:dstrike w:val="0"/>
                <w:color w:val="auto"/>
                <w:kern w:val="0"/>
                <w:szCs w:val="21"/>
                <w:highlight w:val="none"/>
              </w:rPr>
              <w:t>户，约45人</w:t>
            </w:r>
          </w:p>
        </w:tc>
      </w:tr>
      <w:tr w14:paraId="3CE1D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65B6F9B">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63FA005A">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12</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26583756">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11</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B31189">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NE</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B8F78E9">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1450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68B9D8">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41674AF1">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50</w:t>
            </w:r>
            <w:r>
              <w:rPr>
                <w:rFonts w:hint="eastAsia"/>
                <w:strike w:val="0"/>
                <w:dstrike w:val="0"/>
                <w:color w:val="auto"/>
                <w:kern w:val="0"/>
                <w:szCs w:val="21"/>
                <w:highlight w:val="none"/>
              </w:rPr>
              <w:t>户，约150人</w:t>
            </w:r>
          </w:p>
        </w:tc>
      </w:tr>
      <w:tr w14:paraId="6B761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5D699B53">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3804819A">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13</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33787D6D">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12</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493D77">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E</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A70031B">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1450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C5D523">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3AF2750F">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50</w:t>
            </w:r>
            <w:r>
              <w:rPr>
                <w:rFonts w:hint="eastAsia"/>
                <w:strike w:val="0"/>
                <w:dstrike w:val="0"/>
                <w:color w:val="auto"/>
                <w:kern w:val="0"/>
                <w:szCs w:val="21"/>
                <w:highlight w:val="none"/>
              </w:rPr>
              <w:t>户，约150人</w:t>
            </w:r>
          </w:p>
        </w:tc>
      </w:tr>
      <w:tr w14:paraId="226FD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4E214D1B">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5BFE4866">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14</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0B7F18BA">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13</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1968DD">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SE</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BC9927B">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1200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3C6336">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13F0BB69">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约16000人</w:t>
            </w:r>
          </w:p>
        </w:tc>
      </w:tr>
      <w:tr w14:paraId="1E337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303C1B78">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10548EC4">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15</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0A5A510C">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14</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761C6C">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SE</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2A2BA28">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1820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617461">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0B14F154">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60</w:t>
            </w:r>
            <w:r>
              <w:rPr>
                <w:rFonts w:hint="eastAsia"/>
                <w:strike w:val="0"/>
                <w:dstrike w:val="0"/>
                <w:color w:val="auto"/>
                <w:kern w:val="0"/>
                <w:szCs w:val="21"/>
                <w:highlight w:val="none"/>
              </w:rPr>
              <w:t>户，约180人</w:t>
            </w:r>
          </w:p>
        </w:tc>
      </w:tr>
      <w:tr w14:paraId="455AE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A294D36">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0017461A">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16</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1E1C0E81">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15</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0C0C32">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SE</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9CCC972">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1350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F6BDBF">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3D502F6E">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80</w:t>
            </w:r>
            <w:r>
              <w:rPr>
                <w:rFonts w:hint="eastAsia"/>
                <w:strike w:val="0"/>
                <w:dstrike w:val="0"/>
                <w:color w:val="auto"/>
                <w:kern w:val="0"/>
                <w:szCs w:val="21"/>
                <w:highlight w:val="none"/>
              </w:rPr>
              <w:t>户，约240人</w:t>
            </w:r>
          </w:p>
        </w:tc>
      </w:tr>
      <w:tr w14:paraId="60E38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3143956E">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38BF975E">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17</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0D55F888">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16</w:t>
            </w:r>
            <w:r>
              <w:rPr>
                <w:rFonts w:hint="eastAsia"/>
                <w:strike w:val="0"/>
                <w:dstrike w:val="0"/>
                <w:color w:val="auto"/>
                <w:kern w:val="0"/>
                <w:szCs w:val="21"/>
                <w:highlight w:val="none"/>
              </w:rPr>
              <w:t>#居民点</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1759DE">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N</w:t>
            </w:r>
          </w:p>
        </w:tc>
        <w:tc>
          <w:tcPr>
            <w:tcW w:w="7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258567">
            <w:pPr>
              <w:jc w:val="center"/>
              <w:rPr>
                <w:rFonts w:ascii="Times New Roman" w:hAnsi="Times New Roman" w:eastAsia="宋体" w:cs="Times New Roman"/>
                <w:strike w:val="0"/>
                <w:dstrike w:val="0"/>
                <w:color w:val="auto"/>
                <w:kern w:val="0"/>
                <w:sz w:val="21"/>
                <w:szCs w:val="21"/>
                <w:highlight w:val="none"/>
                <w:lang w:val="en-US" w:eastAsia="zh-CN" w:bidi="ar-SA"/>
              </w:rPr>
            </w:pPr>
            <w:r>
              <w:rPr>
                <w:rFonts w:hint="eastAsia"/>
                <w:strike w:val="0"/>
                <w:dstrike w:val="0"/>
                <w:color w:val="auto"/>
                <w:kern w:val="0"/>
                <w:szCs w:val="21"/>
                <w:highlight w:val="none"/>
              </w:rPr>
              <w:t>600</w:t>
            </w:r>
          </w:p>
        </w:tc>
        <w:tc>
          <w:tcPr>
            <w:tcW w:w="6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9D1E6C">
            <w:pPr>
              <w:jc w:val="center"/>
              <w:rPr>
                <w:rFonts w:ascii="Times New Roman" w:hAnsi="Times New Roman" w:eastAsia="宋体" w:cs="Times New Roman"/>
                <w:strike w:val="0"/>
                <w:dstrike w:val="0"/>
                <w:color w:val="auto"/>
                <w:kern w:val="0"/>
                <w:sz w:val="21"/>
                <w:szCs w:val="21"/>
                <w:highlight w:val="none"/>
                <w:lang w:val="en-US" w:eastAsia="zh-CN" w:bidi="ar-SA"/>
              </w:rPr>
            </w:pPr>
            <w:r>
              <w:rPr>
                <w:strike w:val="0"/>
                <w:dstrike w:val="0"/>
                <w:color w:val="auto"/>
                <w:kern w:val="0"/>
                <w:szCs w:val="21"/>
                <w:highlight w:val="none"/>
              </w:rPr>
              <w:t>居民点</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0BBCAC7B">
            <w:pPr>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10</w:t>
            </w:r>
            <w:r>
              <w:rPr>
                <w:rFonts w:hint="eastAsia"/>
                <w:strike w:val="0"/>
                <w:dstrike w:val="0"/>
                <w:color w:val="auto"/>
                <w:kern w:val="0"/>
                <w:szCs w:val="21"/>
                <w:highlight w:val="none"/>
              </w:rPr>
              <w:t>户，约30人</w:t>
            </w:r>
          </w:p>
        </w:tc>
      </w:tr>
      <w:tr w14:paraId="5C8AF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4A14238E">
            <w:pPr>
              <w:jc w:val="center"/>
              <w:rPr>
                <w:strike w:val="0"/>
                <w:dstrike w:val="0"/>
                <w:color w:val="auto"/>
                <w:szCs w:val="21"/>
                <w:highlight w:val="none"/>
              </w:rPr>
            </w:pPr>
            <w:r>
              <w:rPr>
                <w:rFonts w:hint="eastAsia"/>
                <w:strike w:val="0"/>
                <w:dstrike w:val="0"/>
                <w:color w:val="auto"/>
                <w:szCs w:val="21"/>
                <w:highlight w:val="none"/>
              </w:rPr>
              <w:t>4</w:t>
            </w:r>
          </w:p>
        </w:tc>
        <w:tc>
          <w:tcPr>
            <w:tcW w:w="3545" w:type="pct"/>
            <w:gridSpan w:val="9"/>
            <w:tcBorders>
              <w:top w:val="single" w:color="auto" w:sz="4" w:space="0"/>
              <w:left w:val="single" w:color="auto" w:sz="4" w:space="0"/>
              <w:bottom w:val="single" w:color="auto" w:sz="4" w:space="0"/>
              <w:right w:val="single" w:color="auto" w:sz="4" w:space="0"/>
            </w:tcBorders>
            <w:vAlign w:val="center"/>
          </w:tcPr>
          <w:p w14:paraId="27C5D8CE">
            <w:pPr>
              <w:jc w:val="center"/>
              <w:rPr>
                <w:strike w:val="0"/>
                <w:dstrike w:val="0"/>
                <w:color w:val="auto"/>
                <w:szCs w:val="21"/>
                <w:highlight w:val="none"/>
              </w:rPr>
            </w:pPr>
            <w:r>
              <w:rPr>
                <w:strike w:val="0"/>
                <w:dstrike w:val="0"/>
                <w:color w:val="auto"/>
                <w:szCs w:val="21"/>
                <w:highlight w:val="none"/>
              </w:rPr>
              <w:t>厂址周边500m范围内人口数小计</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74CBF57F">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460</w:t>
            </w:r>
          </w:p>
        </w:tc>
      </w:tr>
      <w:tr w14:paraId="5D5BB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6B12858D">
            <w:pPr>
              <w:jc w:val="center"/>
              <w:rPr>
                <w:strike w:val="0"/>
                <w:dstrike w:val="0"/>
                <w:color w:val="auto"/>
                <w:szCs w:val="21"/>
                <w:highlight w:val="none"/>
              </w:rPr>
            </w:pPr>
          </w:p>
        </w:tc>
        <w:tc>
          <w:tcPr>
            <w:tcW w:w="3545" w:type="pct"/>
            <w:gridSpan w:val="9"/>
            <w:tcBorders>
              <w:top w:val="single" w:color="auto" w:sz="4" w:space="0"/>
              <w:left w:val="single" w:color="auto" w:sz="4" w:space="0"/>
              <w:bottom w:val="single" w:color="auto" w:sz="4" w:space="0"/>
              <w:right w:val="single" w:color="auto" w:sz="4" w:space="0"/>
            </w:tcBorders>
            <w:vAlign w:val="center"/>
          </w:tcPr>
          <w:p w14:paraId="1433E05A">
            <w:pPr>
              <w:jc w:val="center"/>
              <w:rPr>
                <w:strike w:val="0"/>
                <w:dstrike w:val="0"/>
                <w:color w:val="auto"/>
                <w:szCs w:val="21"/>
                <w:highlight w:val="none"/>
              </w:rPr>
            </w:pPr>
            <w:r>
              <w:rPr>
                <w:strike w:val="0"/>
                <w:dstrike w:val="0"/>
                <w:color w:val="auto"/>
                <w:szCs w:val="21"/>
                <w:highlight w:val="none"/>
              </w:rPr>
              <w:t>厂址周边</w:t>
            </w:r>
            <w:r>
              <w:rPr>
                <w:rFonts w:hint="eastAsia"/>
                <w:strike w:val="0"/>
                <w:dstrike w:val="0"/>
                <w:color w:val="auto"/>
                <w:szCs w:val="21"/>
                <w:highlight w:val="none"/>
                <w:lang w:val="en-US" w:eastAsia="zh-CN"/>
              </w:rPr>
              <w:t>3</w:t>
            </w:r>
            <w:r>
              <w:rPr>
                <w:strike w:val="0"/>
                <w:dstrike w:val="0"/>
                <w:color w:val="auto"/>
                <w:szCs w:val="21"/>
                <w:highlight w:val="none"/>
              </w:rPr>
              <w:t>km范围内人口数小计</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40812C69">
            <w:pPr>
              <w:jc w:val="center"/>
              <w:rPr>
                <w:rFonts w:hint="eastAsia" w:eastAsia="宋体"/>
                <w:strike w:val="0"/>
                <w:dstrike w:val="0"/>
                <w:color w:val="auto"/>
                <w:szCs w:val="21"/>
                <w:highlight w:val="none"/>
                <w:lang w:eastAsia="zh-CN"/>
              </w:rPr>
            </w:pPr>
            <w:r>
              <w:rPr>
                <w:rFonts w:hint="eastAsia"/>
                <w:strike w:val="0"/>
                <w:dstrike w:val="0"/>
                <w:color w:val="auto"/>
                <w:szCs w:val="21"/>
                <w:highlight w:val="none"/>
                <w:lang w:eastAsia="zh-CN"/>
              </w:rPr>
              <w:t>17300</w:t>
            </w:r>
          </w:p>
        </w:tc>
      </w:tr>
      <w:tr w14:paraId="1803C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05BE5F8D">
            <w:pPr>
              <w:jc w:val="center"/>
              <w:rPr>
                <w:strike w:val="0"/>
                <w:dstrike w:val="0"/>
                <w:color w:val="auto"/>
                <w:szCs w:val="21"/>
                <w:highlight w:val="none"/>
              </w:rPr>
            </w:pPr>
          </w:p>
        </w:tc>
        <w:tc>
          <w:tcPr>
            <w:tcW w:w="3545" w:type="pct"/>
            <w:gridSpan w:val="9"/>
            <w:tcBorders>
              <w:top w:val="single" w:color="auto" w:sz="4" w:space="0"/>
              <w:left w:val="single" w:color="auto" w:sz="4" w:space="0"/>
              <w:bottom w:val="single" w:color="auto" w:sz="4" w:space="0"/>
              <w:right w:val="single" w:color="auto" w:sz="4" w:space="0"/>
            </w:tcBorders>
            <w:vAlign w:val="center"/>
          </w:tcPr>
          <w:p w14:paraId="5692D460">
            <w:pPr>
              <w:jc w:val="center"/>
              <w:rPr>
                <w:strike w:val="0"/>
                <w:dstrike w:val="0"/>
                <w:color w:val="auto"/>
                <w:szCs w:val="21"/>
                <w:highlight w:val="none"/>
              </w:rPr>
            </w:pPr>
            <w:r>
              <w:rPr>
                <w:strike w:val="0"/>
                <w:dstrike w:val="0"/>
                <w:color w:val="auto"/>
                <w:szCs w:val="21"/>
                <w:highlight w:val="none"/>
              </w:rPr>
              <w:t>大气环境敏感程度E值</w:t>
            </w:r>
          </w:p>
        </w:tc>
        <w:tc>
          <w:tcPr>
            <w:tcW w:w="1003" w:type="pct"/>
            <w:tcBorders>
              <w:top w:val="single" w:color="auto" w:sz="4" w:space="0"/>
              <w:left w:val="single" w:color="auto" w:sz="4" w:space="0"/>
              <w:bottom w:val="single" w:color="auto" w:sz="4" w:space="0"/>
              <w:right w:val="single" w:color="auto" w:sz="12" w:space="0"/>
            </w:tcBorders>
            <w:vAlign w:val="center"/>
          </w:tcPr>
          <w:p w14:paraId="5C382D30">
            <w:pPr>
              <w:jc w:val="center"/>
              <w:rPr>
                <w:strike w:val="0"/>
                <w:dstrike w:val="0"/>
                <w:color w:val="auto"/>
                <w:szCs w:val="21"/>
                <w:highlight w:val="none"/>
              </w:rPr>
            </w:pPr>
            <w:r>
              <w:rPr>
                <w:strike w:val="0"/>
                <w:dstrike w:val="0"/>
                <w:color w:val="auto"/>
                <w:szCs w:val="21"/>
                <w:highlight w:val="none"/>
              </w:rPr>
              <w:t>E2</w:t>
            </w:r>
          </w:p>
        </w:tc>
      </w:tr>
      <w:tr w14:paraId="57B36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tcBorders>
              <w:top w:val="single" w:color="auto" w:sz="4" w:space="0"/>
              <w:left w:val="single" w:color="auto" w:sz="12" w:space="0"/>
              <w:bottom w:val="single" w:color="auto" w:sz="4" w:space="0"/>
              <w:right w:val="single" w:color="auto" w:sz="4" w:space="0"/>
            </w:tcBorders>
            <w:vAlign w:val="center"/>
          </w:tcPr>
          <w:p w14:paraId="1C76391B">
            <w:pPr>
              <w:jc w:val="center"/>
              <w:rPr>
                <w:strike w:val="0"/>
                <w:dstrike w:val="0"/>
                <w:color w:val="auto"/>
                <w:szCs w:val="21"/>
                <w:highlight w:val="none"/>
              </w:rPr>
            </w:pPr>
            <w:r>
              <w:rPr>
                <w:strike w:val="0"/>
                <w:dstrike w:val="0"/>
                <w:color w:val="auto"/>
                <w:szCs w:val="21"/>
                <w:highlight w:val="none"/>
              </w:rPr>
              <w:t>地表水</w:t>
            </w:r>
          </w:p>
        </w:tc>
        <w:tc>
          <w:tcPr>
            <w:tcW w:w="4548" w:type="pct"/>
            <w:gridSpan w:val="10"/>
            <w:tcBorders>
              <w:top w:val="single" w:color="auto" w:sz="4" w:space="0"/>
              <w:left w:val="single" w:color="auto" w:sz="4" w:space="0"/>
              <w:bottom w:val="single" w:color="auto" w:sz="4" w:space="0"/>
              <w:right w:val="single" w:color="auto" w:sz="12" w:space="0"/>
            </w:tcBorders>
            <w:vAlign w:val="center"/>
          </w:tcPr>
          <w:p w14:paraId="406BAF36">
            <w:pPr>
              <w:jc w:val="center"/>
              <w:rPr>
                <w:strike w:val="0"/>
                <w:dstrike w:val="0"/>
                <w:color w:val="auto"/>
                <w:szCs w:val="21"/>
                <w:highlight w:val="none"/>
              </w:rPr>
            </w:pPr>
            <w:r>
              <w:rPr>
                <w:strike w:val="0"/>
                <w:dstrike w:val="0"/>
                <w:color w:val="auto"/>
                <w:szCs w:val="21"/>
                <w:highlight w:val="none"/>
              </w:rPr>
              <w:t>受纳水体</w:t>
            </w:r>
          </w:p>
        </w:tc>
      </w:tr>
      <w:tr w14:paraId="499DF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62881661">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1D16E082">
            <w:pPr>
              <w:jc w:val="center"/>
              <w:rPr>
                <w:strike w:val="0"/>
                <w:dstrike w:val="0"/>
                <w:color w:val="auto"/>
                <w:szCs w:val="21"/>
                <w:highlight w:val="none"/>
              </w:rPr>
            </w:pPr>
            <w:r>
              <w:rPr>
                <w:strike w:val="0"/>
                <w:dstrike w:val="0"/>
                <w:color w:val="auto"/>
                <w:szCs w:val="21"/>
                <w:highlight w:val="none"/>
              </w:rPr>
              <w:t>序号</w:t>
            </w:r>
          </w:p>
        </w:tc>
        <w:tc>
          <w:tcPr>
            <w:tcW w:w="1273" w:type="pct"/>
            <w:gridSpan w:val="2"/>
            <w:tcBorders>
              <w:top w:val="single" w:color="auto" w:sz="4" w:space="0"/>
              <w:left w:val="single" w:color="auto" w:sz="4" w:space="0"/>
              <w:bottom w:val="single" w:color="auto" w:sz="4" w:space="0"/>
              <w:right w:val="single" w:color="auto" w:sz="4" w:space="0"/>
            </w:tcBorders>
            <w:vAlign w:val="center"/>
          </w:tcPr>
          <w:p w14:paraId="1AAD8B50">
            <w:pPr>
              <w:jc w:val="center"/>
              <w:rPr>
                <w:strike w:val="0"/>
                <w:dstrike w:val="0"/>
                <w:color w:val="auto"/>
                <w:szCs w:val="21"/>
                <w:highlight w:val="none"/>
              </w:rPr>
            </w:pPr>
            <w:r>
              <w:rPr>
                <w:strike w:val="0"/>
                <w:dstrike w:val="0"/>
                <w:color w:val="auto"/>
                <w:szCs w:val="21"/>
                <w:highlight w:val="none"/>
              </w:rPr>
              <w:t>受纳水体名称</w:t>
            </w:r>
          </w:p>
        </w:tc>
        <w:tc>
          <w:tcPr>
            <w:tcW w:w="1170" w:type="pct"/>
            <w:gridSpan w:val="4"/>
            <w:tcBorders>
              <w:top w:val="single" w:color="auto" w:sz="4" w:space="0"/>
              <w:left w:val="single" w:color="auto" w:sz="4" w:space="0"/>
              <w:bottom w:val="single" w:color="auto" w:sz="4" w:space="0"/>
              <w:right w:val="single" w:color="auto" w:sz="4" w:space="0"/>
            </w:tcBorders>
            <w:vAlign w:val="center"/>
          </w:tcPr>
          <w:p w14:paraId="6400DA93">
            <w:pPr>
              <w:jc w:val="center"/>
              <w:rPr>
                <w:strike w:val="0"/>
                <w:dstrike w:val="0"/>
                <w:color w:val="auto"/>
                <w:szCs w:val="21"/>
                <w:highlight w:val="none"/>
              </w:rPr>
            </w:pPr>
            <w:r>
              <w:rPr>
                <w:strike w:val="0"/>
                <w:dstrike w:val="0"/>
                <w:color w:val="auto"/>
                <w:szCs w:val="21"/>
                <w:highlight w:val="none"/>
              </w:rPr>
              <w:t>排放点水域环境功能</w:t>
            </w:r>
          </w:p>
        </w:tc>
        <w:tc>
          <w:tcPr>
            <w:tcW w:w="1695" w:type="pct"/>
            <w:gridSpan w:val="3"/>
            <w:tcBorders>
              <w:top w:val="single" w:color="auto" w:sz="4" w:space="0"/>
              <w:left w:val="single" w:color="auto" w:sz="4" w:space="0"/>
              <w:bottom w:val="single" w:color="auto" w:sz="4" w:space="0"/>
              <w:right w:val="single" w:color="auto" w:sz="12" w:space="0"/>
            </w:tcBorders>
            <w:vAlign w:val="center"/>
          </w:tcPr>
          <w:p w14:paraId="15632564">
            <w:pPr>
              <w:jc w:val="center"/>
              <w:rPr>
                <w:strike w:val="0"/>
                <w:dstrike w:val="0"/>
                <w:color w:val="auto"/>
                <w:szCs w:val="21"/>
                <w:highlight w:val="none"/>
              </w:rPr>
            </w:pPr>
            <w:r>
              <w:rPr>
                <w:strike w:val="0"/>
                <w:dstrike w:val="0"/>
                <w:color w:val="auto"/>
                <w:szCs w:val="21"/>
                <w:highlight w:val="none"/>
              </w:rPr>
              <w:t>24h内流经范围/km</w:t>
            </w:r>
          </w:p>
        </w:tc>
      </w:tr>
      <w:tr w14:paraId="5EFA2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170A82C8">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510E516E">
            <w:pPr>
              <w:jc w:val="center"/>
              <w:rPr>
                <w:strike w:val="0"/>
                <w:dstrike w:val="0"/>
                <w:color w:val="auto"/>
                <w:szCs w:val="21"/>
                <w:highlight w:val="none"/>
              </w:rPr>
            </w:pPr>
            <w:r>
              <w:rPr>
                <w:strike w:val="0"/>
                <w:dstrike w:val="0"/>
                <w:color w:val="auto"/>
                <w:szCs w:val="21"/>
                <w:highlight w:val="none"/>
              </w:rPr>
              <w:t>1</w:t>
            </w:r>
          </w:p>
        </w:tc>
        <w:tc>
          <w:tcPr>
            <w:tcW w:w="1273" w:type="pct"/>
            <w:gridSpan w:val="2"/>
            <w:tcBorders>
              <w:top w:val="single" w:color="auto" w:sz="4" w:space="0"/>
              <w:left w:val="single" w:color="auto" w:sz="4" w:space="0"/>
              <w:bottom w:val="single" w:color="auto" w:sz="4" w:space="0"/>
              <w:right w:val="single" w:color="auto" w:sz="4" w:space="0"/>
            </w:tcBorders>
            <w:vAlign w:val="center"/>
          </w:tcPr>
          <w:p w14:paraId="6F459F98">
            <w:pPr>
              <w:jc w:val="center"/>
              <w:rPr>
                <w:strike w:val="0"/>
                <w:dstrike w:val="0"/>
                <w:color w:val="auto"/>
                <w:szCs w:val="21"/>
                <w:highlight w:val="none"/>
              </w:rPr>
            </w:pPr>
            <w:r>
              <w:rPr>
                <w:rFonts w:hint="eastAsia"/>
                <w:strike w:val="0"/>
                <w:dstrike w:val="0"/>
                <w:color w:val="auto"/>
                <w:szCs w:val="21"/>
                <w:highlight w:val="none"/>
              </w:rPr>
              <w:t>柏水溪</w:t>
            </w:r>
          </w:p>
        </w:tc>
        <w:tc>
          <w:tcPr>
            <w:tcW w:w="1170" w:type="pct"/>
            <w:gridSpan w:val="4"/>
            <w:tcBorders>
              <w:top w:val="single" w:color="auto" w:sz="4" w:space="0"/>
              <w:left w:val="single" w:color="auto" w:sz="4" w:space="0"/>
              <w:bottom w:val="single" w:color="auto" w:sz="4" w:space="0"/>
              <w:right w:val="single" w:color="auto" w:sz="4" w:space="0"/>
            </w:tcBorders>
            <w:vAlign w:val="center"/>
          </w:tcPr>
          <w:p w14:paraId="02C997B0">
            <w:pPr>
              <w:jc w:val="center"/>
              <w:rPr>
                <w:strike w:val="0"/>
                <w:dstrike w:val="0"/>
                <w:color w:val="auto"/>
                <w:szCs w:val="21"/>
                <w:highlight w:val="none"/>
              </w:rPr>
            </w:pPr>
            <w:r>
              <w:rPr>
                <w:strike w:val="0"/>
                <w:dstrike w:val="0"/>
                <w:color w:val="auto"/>
                <w:szCs w:val="21"/>
                <w:highlight w:val="none"/>
              </w:rPr>
              <w:t>Ⅲ类</w:t>
            </w:r>
          </w:p>
        </w:tc>
        <w:tc>
          <w:tcPr>
            <w:tcW w:w="1695" w:type="pct"/>
            <w:gridSpan w:val="3"/>
            <w:tcBorders>
              <w:top w:val="single" w:color="auto" w:sz="4" w:space="0"/>
              <w:left w:val="single" w:color="auto" w:sz="4" w:space="0"/>
              <w:bottom w:val="single" w:color="auto" w:sz="4" w:space="0"/>
              <w:right w:val="single" w:color="auto" w:sz="12" w:space="0"/>
            </w:tcBorders>
            <w:vAlign w:val="center"/>
          </w:tcPr>
          <w:p w14:paraId="2416C03D">
            <w:pPr>
              <w:jc w:val="center"/>
              <w:rPr>
                <w:strike w:val="0"/>
                <w:dstrike w:val="0"/>
                <w:color w:val="auto"/>
                <w:szCs w:val="21"/>
                <w:highlight w:val="none"/>
              </w:rPr>
            </w:pPr>
            <w:r>
              <w:rPr>
                <w:strike w:val="0"/>
                <w:dstrike w:val="0"/>
                <w:color w:val="auto"/>
                <w:szCs w:val="21"/>
                <w:highlight w:val="none"/>
              </w:rPr>
              <w:t>/</w:t>
            </w:r>
          </w:p>
        </w:tc>
      </w:tr>
      <w:tr w14:paraId="75DD7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0047F086">
            <w:pPr>
              <w:jc w:val="center"/>
              <w:rPr>
                <w:strike w:val="0"/>
                <w:dstrike w:val="0"/>
                <w:color w:val="auto"/>
                <w:szCs w:val="21"/>
                <w:highlight w:val="none"/>
              </w:rPr>
            </w:pPr>
          </w:p>
        </w:tc>
        <w:tc>
          <w:tcPr>
            <w:tcW w:w="4548" w:type="pct"/>
            <w:gridSpan w:val="10"/>
            <w:tcBorders>
              <w:top w:val="single" w:color="auto" w:sz="4" w:space="0"/>
              <w:left w:val="single" w:color="auto" w:sz="4" w:space="0"/>
              <w:bottom w:val="single" w:color="auto" w:sz="4" w:space="0"/>
              <w:right w:val="single" w:color="auto" w:sz="12" w:space="0"/>
            </w:tcBorders>
            <w:vAlign w:val="center"/>
          </w:tcPr>
          <w:p w14:paraId="02F8E795">
            <w:pPr>
              <w:jc w:val="center"/>
              <w:rPr>
                <w:strike w:val="0"/>
                <w:dstrike w:val="0"/>
                <w:color w:val="auto"/>
                <w:szCs w:val="21"/>
                <w:highlight w:val="none"/>
              </w:rPr>
            </w:pPr>
            <w:r>
              <w:rPr>
                <w:strike w:val="0"/>
                <w:dstrike w:val="0"/>
                <w:color w:val="auto"/>
                <w:szCs w:val="21"/>
                <w:highlight w:val="none"/>
              </w:rPr>
              <w:t>内陆水体排放点下游10 km（近岸海域一个潮周期最大水平距离两倍）范围内敏感目标</w:t>
            </w:r>
          </w:p>
        </w:tc>
      </w:tr>
      <w:tr w14:paraId="27B53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F6AE793">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06AF5B3B">
            <w:pPr>
              <w:jc w:val="center"/>
              <w:rPr>
                <w:strike w:val="0"/>
                <w:dstrike w:val="0"/>
                <w:color w:val="auto"/>
                <w:szCs w:val="21"/>
                <w:highlight w:val="none"/>
              </w:rPr>
            </w:pPr>
            <w:r>
              <w:rPr>
                <w:strike w:val="0"/>
                <w:dstrike w:val="0"/>
                <w:color w:val="auto"/>
                <w:szCs w:val="21"/>
                <w:highlight w:val="none"/>
              </w:rPr>
              <w:t>序号</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6ACF95FD">
            <w:pPr>
              <w:jc w:val="center"/>
              <w:rPr>
                <w:strike w:val="0"/>
                <w:dstrike w:val="0"/>
                <w:color w:val="auto"/>
                <w:szCs w:val="21"/>
                <w:highlight w:val="none"/>
              </w:rPr>
            </w:pPr>
            <w:r>
              <w:rPr>
                <w:strike w:val="0"/>
                <w:dstrike w:val="0"/>
                <w:color w:val="auto"/>
                <w:szCs w:val="21"/>
                <w:highlight w:val="none"/>
              </w:rPr>
              <w:t>敏感目标名称</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FF56C8">
            <w:pPr>
              <w:jc w:val="center"/>
              <w:rPr>
                <w:strike w:val="0"/>
                <w:dstrike w:val="0"/>
                <w:color w:val="auto"/>
                <w:szCs w:val="21"/>
                <w:highlight w:val="none"/>
              </w:rPr>
            </w:pPr>
            <w:r>
              <w:rPr>
                <w:strike w:val="0"/>
                <w:dstrike w:val="0"/>
                <w:color w:val="auto"/>
                <w:szCs w:val="21"/>
                <w:highlight w:val="none"/>
              </w:rPr>
              <w:t>环境敏感特征</w:t>
            </w:r>
          </w:p>
        </w:tc>
        <w:tc>
          <w:tcPr>
            <w:tcW w:w="132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75F8654">
            <w:pPr>
              <w:jc w:val="center"/>
              <w:rPr>
                <w:strike w:val="0"/>
                <w:dstrike w:val="0"/>
                <w:color w:val="auto"/>
                <w:szCs w:val="21"/>
                <w:highlight w:val="none"/>
              </w:rPr>
            </w:pPr>
            <w:r>
              <w:rPr>
                <w:strike w:val="0"/>
                <w:dstrike w:val="0"/>
                <w:color w:val="auto"/>
                <w:szCs w:val="21"/>
                <w:highlight w:val="none"/>
              </w:rPr>
              <w:t>水质目标</w:t>
            </w:r>
          </w:p>
        </w:tc>
        <w:tc>
          <w:tcPr>
            <w:tcW w:w="1159" w:type="pct"/>
            <w:gridSpan w:val="2"/>
            <w:tcBorders>
              <w:top w:val="single" w:color="auto" w:sz="4" w:space="0"/>
              <w:left w:val="single" w:color="auto" w:sz="4" w:space="0"/>
              <w:bottom w:val="single" w:color="auto" w:sz="4" w:space="0"/>
              <w:right w:val="single" w:color="auto" w:sz="12" w:space="0"/>
            </w:tcBorders>
            <w:shd w:val="clear" w:color="auto" w:fill="auto"/>
            <w:vAlign w:val="center"/>
          </w:tcPr>
          <w:p w14:paraId="4F18AD12">
            <w:pPr>
              <w:jc w:val="center"/>
              <w:rPr>
                <w:strike w:val="0"/>
                <w:dstrike w:val="0"/>
                <w:color w:val="auto"/>
                <w:szCs w:val="21"/>
                <w:highlight w:val="none"/>
              </w:rPr>
            </w:pPr>
            <w:r>
              <w:rPr>
                <w:strike w:val="0"/>
                <w:dstrike w:val="0"/>
                <w:color w:val="auto"/>
                <w:szCs w:val="21"/>
                <w:highlight w:val="none"/>
              </w:rPr>
              <w:t>与排放点距离/m</w:t>
            </w:r>
          </w:p>
        </w:tc>
      </w:tr>
      <w:tr w14:paraId="26D76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5904F1C">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26B32F88">
            <w:pPr>
              <w:jc w:val="center"/>
              <w:rPr>
                <w:strike w:val="0"/>
                <w:dstrike w:val="0"/>
                <w:color w:val="auto"/>
                <w:szCs w:val="21"/>
                <w:highlight w:val="none"/>
              </w:rPr>
            </w:pPr>
            <w:r>
              <w:rPr>
                <w:strike w:val="0"/>
                <w:dstrike w:val="0"/>
                <w:color w:val="auto"/>
                <w:szCs w:val="21"/>
                <w:highlight w:val="none"/>
              </w:rPr>
              <w:t>1</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7F1C9127">
            <w:pPr>
              <w:jc w:val="center"/>
              <w:rPr>
                <w:strike w:val="0"/>
                <w:dstrike w:val="0"/>
                <w:color w:val="auto"/>
                <w:szCs w:val="21"/>
                <w:highlight w:val="none"/>
              </w:rPr>
            </w:pPr>
            <w:r>
              <w:rPr>
                <w:rFonts w:hint="eastAsia"/>
                <w:strike w:val="0"/>
                <w:dstrike w:val="0"/>
                <w:color w:val="auto"/>
                <w:szCs w:val="21"/>
                <w:highlight w:val="none"/>
              </w:rPr>
              <w:t>柏水溪</w:t>
            </w:r>
          </w:p>
        </w:tc>
        <w:tc>
          <w:tcPr>
            <w:tcW w:w="8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0597A5">
            <w:pPr>
              <w:jc w:val="center"/>
              <w:rPr>
                <w:strike w:val="0"/>
                <w:dstrike w:val="0"/>
                <w:color w:val="auto"/>
                <w:szCs w:val="21"/>
                <w:highlight w:val="none"/>
              </w:rPr>
            </w:pPr>
            <w:r>
              <w:rPr>
                <w:strike w:val="0"/>
                <w:dstrike w:val="0"/>
                <w:color w:val="auto"/>
                <w:szCs w:val="21"/>
                <w:highlight w:val="none"/>
              </w:rPr>
              <w:t>S</w:t>
            </w:r>
            <w:r>
              <w:rPr>
                <w:rFonts w:hint="eastAsia"/>
                <w:strike w:val="0"/>
                <w:dstrike w:val="0"/>
                <w:color w:val="auto"/>
                <w:szCs w:val="21"/>
                <w:highlight w:val="none"/>
              </w:rPr>
              <w:t>3</w:t>
            </w:r>
          </w:p>
        </w:tc>
        <w:tc>
          <w:tcPr>
            <w:tcW w:w="132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CBFC42F">
            <w:pPr>
              <w:jc w:val="center"/>
              <w:rPr>
                <w:strike w:val="0"/>
                <w:dstrike w:val="0"/>
                <w:color w:val="auto"/>
                <w:szCs w:val="21"/>
                <w:highlight w:val="none"/>
              </w:rPr>
            </w:pPr>
            <w:r>
              <w:rPr>
                <w:strike w:val="0"/>
                <w:dstrike w:val="0"/>
                <w:color w:val="auto"/>
                <w:szCs w:val="21"/>
                <w:highlight w:val="none"/>
              </w:rPr>
              <w:t>Ⅲ类（F</w:t>
            </w:r>
            <w:r>
              <w:rPr>
                <w:rFonts w:hint="eastAsia"/>
                <w:strike w:val="0"/>
                <w:dstrike w:val="0"/>
                <w:color w:val="auto"/>
                <w:szCs w:val="21"/>
                <w:highlight w:val="none"/>
              </w:rPr>
              <w:t>2</w:t>
            </w:r>
            <w:r>
              <w:rPr>
                <w:strike w:val="0"/>
                <w:dstrike w:val="0"/>
                <w:color w:val="auto"/>
                <w:szCs w:val="21"/>
                <w:highlight w:val="none"/>
              </w:rPr>
              <w:t>）</w:t>
            </w:r>
          </w:p>
        </w:tc>
        <w:tc>
          <w:tcPr>
            <w:tcW w:w="1159" w:type="pct"/>
            <w:gridSpan w:val="2"/>
            <w:tcBorders>
              <w:top w:val="single" w:color="auto" w:sz="4" w:space="0"/>
              <w:left w:val="single" w:color="auto" w:sz="4" w:space="0"/>
              <w:bottom w:val="single" w:color="auto" w:sz="4" w:space="0"/>
              <w:right w:val="single" w:color="auto" w:sz="12" w:space="0"/>
            </w:tcBorders>
            <w:shd w:val="clear" w:color="auto" w:fill="auto"/>
            <w:vAlign w:val="center"/>
          </w:tcPr>
          <w:p w14:paraId="0AA54C1A">
            <w:pPr>
              <w:jc w:val="center"/>
              <w:rPr>
                <w:strike w:val="0"/>
                <w:dstrike w:val="0"/>
                <w:color w:val="auto"/>
                <w:szCs w:val="21"/>
                <w:highlight w:val="none"/>
              </w:rPr>
            </w:pPr>
            <w:r>
              <w:rPr>
                <w:rFonts w:hint="eastAsia"/>
                <w:strike w:val="0"/>
                <w:dstrike w:val="0"/>
                <w:color w:val="auto"/>
                <w:szCs w:val="21"/>
                <w:highlight w:val="none"/>
              </w:rPr>
              <w:t>350</w:t>
            </w:r>
          </w:p>
        </w:tc>
      </w:tr>
      <w:tr w14:paraId="68999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245951D">
            <w:pPr>
              <w:jc w:val="center"/>
              <w:rPr>
                <w:strike w:val="0"/>
                <w:dstrike w:val="0"/>
                <w:color w:val="auto"/>
                <w:szCs w:val="21"/>
                <w:highlight w:val="none"/>
              </w:rPr>
            </w:pPr>
          </w:p>
        </w:tc>
        <w:tc>
          <w:tcPr>
            <w:tcW w:w="3545"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632CEFCA">
            <w:pPr>
              <w:jc w:val="center"/>
              <w:rPr>
                <w:strike w:val="0"/>
                <w:dstrike w:val="0"/>
                <w:color w:val="auto"/>
                <w:szCs w:val="21"/>
                <w:highlight w:val="none"/>
              </w:rPr>
            </w:pPr>
            <w:r>
              <w:rPr>
                <w:strike w:val="0"/>
                <w:dstrike w:val="0"/>
                <w:color w:val="auto"/>
                <w:szCs w:val="21"/>
                <w:highlight w:val="none"/>
              </w:rPr>
              <w:t>地表水环境敏感程度E值</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10473BB7">
            <w:pPr>
              <w:jc w:val="center"/>
              <w:rPr>
                <w:strike w:val="0"/>
                <w:dstrike w:val="0"/>
                <w:color w:val="auto"/>
                <w:szCs w:val="21"/>
                <w:highlight w:val="none"/>
              </w:rPr>
            </w:pPr>
            <w:r>
              <w:rPr>
                <w:strike w:val="0"/>
                <w:dstrike w:val="0"/>
                <w:color w:val="auto"/>
                <w:szCs w:val="21"/>
                <w:highlight w:val="none"/>
              </w:rPr>
              <w:t>E</w:t>
            </w:r>
            <w:r>
              <w:rPr>
                <w:rFonts w:hint="eastAsia"/>
                <w:strike w:val="0"/>
                <w:dstrike w:val="0"/>
                <w:color w:val="auto"/>
                <w:szCs w:val="21"/>
                <w:highlight w:val="none"/>
              </w:rPr>
              <w:t>3</w:t>
            </w:r>
          </w:p>
        </w:tc>
      </w:tr>
      <w:tr w14:paraId="2BAE9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tcBorders>
              <w:top w:val="single" w:color="auto" w:sz="4" w:space="0"/>
              <w:left w:val="single" w:color="auto" w:sz="12" w:space="0"/>
              <w:bottom w:val="single" w:color="auto" w:sz="4" w:space="0"/>
              <w:right w:val="single" w:color="auto" w:sz="4" w:space="0"/>
            </w:tcBorders>
            <w:vAlign w:val="center"/>
          </w:tcPr>
          <w:p w14:paraId="2EB4ACB3">
            <w:pPr>
              <w:jc w:val="center"/>
              <w:rPr>
                <w:strike w:val="0"/>
                <w:dstrike w:val="0"/>
                <w:color w:val="auto"/>
                <w:szCs w:val="21"/>
                <w:highlight w:val="none"/>
              </w:rPr>
            </w:pPr>
            <w:r>
              <w:rPr>
                <w:strike w:val="0"/>
                <w:dstrike w:val="0"/>
                <w:color w:val="auto"/>
                <w:szCs w:val="21"/>
                <w:highlight w:val="none"/>
              </w:rPr>
              <w:t>地下水</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771FDD69">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序号</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69D33CD8">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环境敏感区名称</w:t>
            </w:r>
          </w:p>
        </w:tc>
        <w:tc>
          <w:tcPr>
            <w:tcW w:w="94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D06CB90">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环境敏感特征</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6D0511AA">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水质目标</w:t>
            </w:r>
          </w:p>
        </w:tc>
        <w:tc>
          <w:tcPr>
            <w:tcW w:w="7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DDB2F9C">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包气带防污性能</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1D033CDF">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与下游厂界距离/m</w:t>
            </w:r>
          </w:p>
        </w:tc>
      </w:tr>
      <w:tr w14:paraId="0F4BB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4BAD300E">
            <w:pPr>
              <w:jc w:val="center"/>
              <w:rPr>
                <w:strike w:val="0"/>
                <w:dstrike w:val="0"/>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37B96379">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1</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423241F9">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w:t>
            </w:r>
          </w:p>
        </w:tc>
        <w:tc>
          <w:tcPr>
            <w:tcW w:w="94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F9B2817">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059A6AF8">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w:t>
            </w:r>
          </w:p>
        </w:tc>
        <w:tc>
          <w:tcPr>
            <w:tcW w:w="7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A99B013">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w:t>
            </w:r>
          </w:p>
        </w:tc>
        <w:tc>
          <w:tcPr>
            <w:tcW w:w="1003" w:type="pct"/>
            <w:tcBorders>
              <w:top w:val="single" w:color="auto" w:sz="4" w:space="0"/>
              <w:left w:val="single" w:color="auto" w:sz="4" w:space="0"/>
              <w:bottom w:val="single" w:color="auto" w:sz="4" w:space="0"/>
              <w:right w:val="single" w:color="auto" w:sz="12" w:space="0"/>
            </w:tcBorders>
            <w:shd w:val="clear" w:color="auto" w:fill="auto"/>
            <w:vAlign w:val="center"/>
          </w:tcPr>
          <w:p w14:paraId="2D19AAD4">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w:t>
            </w:r>
          </w:p>
        </w:tc>
      </w:tr>
      <w:tr w14:paraId="787FB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12" w:space="0"/>
              <w:bottom w:val="single" w:color="auto" w:sz="4" w:space="0"/>
              <w:right w:val="single" w:color="auto" w:sz="4" w:space="0"/>
            </w:tcBorders>
            <w:vAlign w:val="center"/>
          </w:tcPr>
          <w:p w14:paraId="2A0BB280">
            <w:pPr>
              <w:jc w:val="center"/>
              <w:rPr>
                <w:strike w:val="0"/>
                <w:dstrike w:val="0"/>
                <w:color w:val="auto"/>
                <w:szCs w:val="21"/>
                <w:highlight w:val="none"/>
              </w:rPr>
            </w:pPr>
          </w:p>
        </w:tc>
        <w:tc>
          <w:tcPr>
            <w:tcW w:w="3545" w:type="pct"/>
            <w:gridSpan w:val="9"/>
            <w:tcBorders>
              <w:top w:val="single" w:color="auto" w:sz="4" w:space="0"/>
              <w:left w:val="single" w:color="auto" w:sz="4" w:space="0"/>
              <w:bottom w:val="single" w:color="auto" w:sz="12" w:space="0"/>
              <w:right w:val="single" w:color="auto" w:sz="4" w:space="0"/>
            </w:tcBorders>
            <w:shd w:val="clear" w:color="auto" w:fill="auto"/>
            <w:vAlign w:val="center"/>
          </w:tcPr>
          <w:p w14:paraId="025DE9C3">
            <w:pPr>
              <w:jc w:val="center"/>
              <w:rPr>
                <w:rFonts w:ascii="Times New Roman" w:hAnsi="Times New Roman" w:eastAsia="宋体" w:cs="Times New Roman"/>
                <w:strike w:val="0"/>
                <w:dstrike w:val="0"/>
                <w:color w:val="auto"/>
                <w:kern w:val="2"/>
                <w:sz w:val="21"/>
                <w:szCs w:val="21"/>
                <w:highlight w:val="none"/>
                <w:lang w:val="en-US" w:eastAsia="zh-CN" w:bidi="ar-SA"/>
              </w:rPr>
            </w:pPr>
            <w:r>
              <w:rPr>
                <w:strike w:val="0"/>
                <w:dstrike w:val="0"/>
                <w:color w:val="auto"/>
                <w:szCs w:val="21"/>
                <w:highlight w:val="none"/>
              </w:rPr>
              <w:t>地下水环境敏感程度E值</w:t>
            </w:r>
          </w:p>
        </w:tc>
        <w:tc>
          <w:tcPr>
            <w:tcW w:w="1003" w:type="pct"/>
            <w:tcBorders>
              <w:top w:val="single" w:color="auto" w:sz="4" w:space="0"/>
              <w:left w:val="single" w:color="auto" w:sz="4" w:space="0"/>
              <w:bottom w:val="single" w:color="auto" w:sz="12" w:space="0"/>
              <w:right w:val="single" w:color="auto" w:sz="12" w:space="0"/>
            </w:tcBorders>
            <w:shd w:val="clear" w:color="auto" w:fill="auto"/>
            <w:vAlign w:val="center"/>
          </w:tcPr>
          <w:p w14:paraId="05513D5F">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w:t>
            </w:r>
          </w:p>
        </w:tc>
      </w:tr>
    </w:tbl>
    <w:p w14:paraId="4249A1B9">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由上表可知，本项目环境敏感程度分级中，大气环境为E2、地表水环境为E3、地下水环境</w:t>
      </w:r>
      <w:r>
        <w:rPr>
          <w:rFonts w:hint="eastAsia"/>
          <w:strike w:val="0"/>
          <w:dstrike w:val="0"/>
          <w:color w:val="auto"/>
          <w:sz w:val="24"/>
          <w:szCs w:val="32"/>
          <w:highlight w:val="none"/>
          <w:lang w:val="en-US" w:eastAsia="zh-CN"/>
        </w:rPr>
        <w:t>无</w:t>
      </w:r>
      <w:r>
        <w:rPr>
          <w:strike w:val="0"/>
          <w:dstrike w:val="0"/>
          <w:color w:val="auto"/>
          <w:sz w:val="24"/>
          <w:szCs w:val="32"/>
          <w:highlight w:val="none"/>
        </w:rPr>
        <w:t>敏感程度</w:t>
      </w:r>
      <w:r>
        <w:rPr>
          <w:rFonts w:hint="eastAsia"/>
          <w:strike w:val="0"/>
          <w:dstrike w:val="0"/>
          <w:color w:val="auto"/>
          <w:sz w:val="24"/>
          <w:szCs w:val="32"/>
          <w:highlight w:val="none"/>
          <w:lang w:val="en-US" w:eastAsia="zh-CN"/>
        </w:rPr>
        <w:t>分级</w:t>
      </w:r>
      <w:r>
        <w:rPr>
          <w:strike w:val="0"/>
          <w:dstrike w:val="0"/>
          <w:color w:val="auto"/>
          <w:sz w:val="24"/>
          <w:szCs w:val="32"/>
          <w:highlight w:val="none"/>
        </w:rPr>
        <w:t>。</w:t>
      </w:r>
    </w:p>
    <w:p w14:paraId="2DECB481">
      <w:pPr>
        <w:pStyle w:val="30"/>
        <w:rPr>
          <w:strike w:val="0"/>
          <w:dstrike w:val="0"/>
          <w:color w:val="auto"/>
          <w:highlight w:val="none"/>
        </w:rPr>
        <w:sectPr>
          <w:footerReference r:id="rId7" w:type="default"/>
          <w:pgSz w:w="11906" w:h="16838"/>
          <w:pgMar w:top="1701" w:right="1531" w:bottom="1701" w:left="1531" w:header="851" w:footer="851" w:gutter="0"/>
          <w:pgNumType w:fmt="numberInDash"/>
          <w:cols w:space="720" w:num="1"/>
          <w:docGrid w:linePitch="312" w:charSpace="0"/>
        </w:sectPr>
      </w:pPr>
    </w:p>
    <w:p w14:paraId="4FEAC56D">
      <w:pPr>
        <w:pStyle w:val="76"/>
        <w:jc w:val="center"/>
        <w:rPr>
          <w:strike w:val="0"/>
          <w:dstrike w:val="0"/>
          <w:color w:val="auto"/>
          <w:highlight w:val="none"/>
        </w:rPr>
      </w:pPr>
      <w:r>
        <w:rPr>
          <w:strike w:val="0"/>
          <w:dstrike w:val="0"/>
          <w:color w:val="auto"/>
          <w:highlight w:val="none"/>
        </w:rPr>
        <w:drawing>
          <wp:inline distT="0" distB="0" distL="114300" distR="114300">
            <wp:extent cx="7808595" cy="5376545"/>
            <wp:effectExtent l="0" t="0" r="1905" b="1460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39"/>
                    <a:stretch>
                      <a:fillRect/>
                    </a:stretch>
                  </pic:blipFill>
                  <pic:spPr>
                    <a:xfrm>
                      <a:off x="0" y="0"/>
                      <a:ext cx="7808595" cy="5376545"/>
                    </a:xfrm>
                    <a:prstGeom prst="rect">
                      <a:avLst/>
                    </a:prstGeom>
                    <a:noFill/>
                    <a:ln>
                      <a:noFill/>
                    </a:ln>
                  </pic:spPr>
                </pic:pic>
              </a:graphicData>
            </a:graphic>
          </wp:inline>
        </w:drawing>
      </w:r>
    </w:p>
    <w:p w14:paraId="1062C641">
      <w:pPr>
        <w:pStyle w:val="76"/>
        <w:jc w:val="center"/>
        <w:rPr>
          <w:rFonts w:ascii="Times New Roman"/>
          <w:strike w:val="0"/>
          <w:dstrike w:val="0"/>
          <w:color w:val="auto"/>
          <w:sz w:val="24"/>
          <w:szCs w:val="24"/>
          <w:highlight w:val="none"/>
        </w:rPr>
      </w:pPr>
      <w:r>
        <w:rPr>
          <w:rFonts w:hint="eastAsia" w:ascii="Times New Roman"/>
          <w:strike w:val="0"/>
          <w:dstrike w:val="0"/>
          <w:color w:val="auto"/>
          <w:sz w:val="24"/>
          <w:szCs w:val="24"/>
          <w:highlight w:val="none"/>
        </w:rPr>
        <w:t>图3.3</w:t>
      </w:r>
      <w:r>
        <w:rPr>
          <w:rFonts w:ascii="Times New Roman"/>
          <w:strike w:val="0"/>
          <w:dstrike w:val="0"/>
          <w:color w:val="auto"/>
          <w:sz w:val="24"/>
          <w:szCs w:val="24"/>
          <w:highlight w:val="none"/>
        </w:rPr>
        <w:t>-1  环境风险敏感目标位置图</w:t>
      </w:r>
    </w:p>
    <w:p w14:paraId="50823F94">
      <w:pPr>
        <w:pStyle w:val="3"/>
        <w:jc w:val="center"/>
        <w:rPr>
          <w:rFonts w:eastAsia="宋体"/>
          <w:strike w:val="0"/>
          <w:dstrike w:val="0"/>
          <w:color w:val="auto"/>
          <w:highlight w:val="none"/>
        </w:rPr>
        <w:sectPr>
          <w:pgSz w:w="16838" w:h="11906" w:orient="landscape"/>
          <w:pgMar w:top="1531" w:right="1701" w:bottom="1531" w:left="1701" w:header="851" w:footer="850" w:gutter="0"/>
          <w:pgNumType w:fmt="numberInDash"/>
          <w:cols w:space="0" w:num="1"/>
          <w:docGrid w:linePitch="312" w:charSpace="0"/>
        </w:sectPr>
      </w:pPr>
    </w:p>
    <w:p w14:paraId="1E0BDFD2">
      <w:pPr>
        <w:pStyle w:val="3"/>
        <w:jc w:val="center"/>
        <w:rPr>
          <w:rFonts w:eastAsia="宋体"/>
          <w:strike w:val="0"/>
          <w:dstrike w:val="0"/>
          <w:color w:val="auto"/>
          <w:highlight w:val="none"/>
        </w:rPr>
      </w:pPr>
      <w:r>
        <w:rPr>
          <w:rFonts w:hint="eastAsia" w:eastAsia="宋体"/>
          <w:strike w:val="0"/>
          <w:dstrike w:val="0"/>
          <w:color w:val="auto"/>
          <w:highlight w:val="none"/>
        </w:rPr>
        <w:t>4评价范围</w:t>
      </w:r>
    </w:p>
    <w:p w14:paraId="17638B6E">
      <w:pPr>
        <w:spacing w:line="360" w:lineRule="auto"/>
        <w:ind w:firstLine="480" w:firstLineChars="200"/>
        <w:jc w:val="left"/>
        <w:rPr>
          <w:strike w:val="0"/>
          <w:dstrike w:val="0"/>
          <w:color w:val="auto"/>
          <w:sz w:val="24"/>
          <w:highlight w:val="none"/>
        </w:rPr>
      </w:pPr>
      <w:r>
        <w:rPr>
          <w:rFonts w:hint="eastAsia"/>
          <w:strike w:val="0"/>
          <w:dstrike w:val="0"/>
          <w:snapToGrid w:val="0"/>
          <w:color w:val="auto"/>
          <w:sz w:val="24"/>
          <w:highlight w:val="none"/>
          <w:lang w:val="en-US" w:eastAsia="zh-CN"/>
        </w:rPr>
        <w:t>结合3.2节，</w:t>
      </w:r>
      <w:r>
        <w:rPr>
          <w:strike w:val="0"/>
          <w:dstrike w:val="0"/>
          <w:color w:val="auto"/>
          <w:sz w:val="24"/>
          <w:highlight w:val="none"/>
        </w:rPr>
        <w:t>判定本项目地表水风险潜势为I，评价等级为简单分析，大气风险潜势为II</w:t>
      </w:r>
      <w:r>
        <w:rPr>
          <w:rFonts w:hint="eastAsia"/>
          <w:strike w:val="0"/>
          <w:dstrike w:val="0"/>
          <w:color w:val="auto"/>
          <w:sz w:val="24"/>
          <w:highlight w:val="none"/>
        </w:rPr>
        <w:t>，</w:t>
      </w:r>
      <w:r>
        <w:rPr>
          <w:strike w:val="0"/>
          <w:dstrike w:val="0"/>
          <w:color w:val="auto"/>
          <w:sz w:val="24"/>
          <w:highlight w:val="none"/>
        </w:rPr>
        <w:t>综合评价等级为三级评价</w:t>
      </w:r>
      <w:r>
        <w:rPr>
          <w:rFonts w:hint="eastAsia"/>
          <w:strike w:val="0"/>
          <w:dstrike w:val="0"/>
          <w:color w:val="auto"/>
          <w:sz w:val="24"/>
          <w:highlight w:val="none"/>
          <w:lang w:eastAsia="zh-CN"/>
        </w:rPr>
        <w:t>。</w:t>
      </w:r>
      <w:r>
        <w:rPr>
          <w:rFonts w:hint="eastAsia"/>
          <w:strike w:val="0"/>
          <w:dstrike w:val="0"/>
          <w:color w:val="auto"/>
          <w:sz w:val="24"/>
          <w:highlight w:val="none"/>
          <w:lang w:val="en-US" w:eastAsia="zh-CN"/>
        </w:rPr>
        <w:t>故</w:t>
      </w:r>
      <w:r>
        <w:rPr>
          <w:rFonts w:hint="eastAsia"/>
          <w:strike w:val="0"/>
          <w:dstrike w:val="0"/>
          <w:snapToGrid w:val="0"/>
          <w:color w:val="auto"/>
          <w:sz w:val="24"/>
          <w:highlight w:val="none"/>
        </w:rPr>
        <w:t>本项目根据</w:t>
      </w:r>
      <w:r>
        <w:rPr>
          <w:strike w:val="0"/>
          <w:dstrike w:val="0"/>
          <w:color w:val="auto"/>
          <w:sz w:val="24"/>
          <w:highlight w:val="none"/>
        </w:rPr>
        <w:t>《建设项目环境风险评价技术导则》（HJ 169-2018）</w:t>
      </w:r>
      <w:r>
        <w:rPr>
          <w:rFonts w:hint="eastAsia"/>
          <w:strike w:val="0"/>
          <w:dstrike w:val="0"/>
          <w:color w:val="auto"/>
          <w:sz w:val="24"/>
          <w:highlight w:val="none"/>
        </w:rPr>
        <w:t>，评价范围详见表4-1。</w:t>
      </w:r>
    </w:p>
    <w:p w14:paraId="093DC0B3">
      <w:pPr>
        <w:jc w:val="center"/>
        <w:rPr>
          <w:b/>
          <w:strike w:val="0"/>
          <w:dstrike w:val="0"/>
          <w:color w:val="auto"/>
          <w:sz w:val="24"/>
          <w:highlight w:val="none"/>
        </w:rPr>
      </w:pPr>
      <w:r>
        <w:rPr>
          <w:rFonts w:hint="eastAsia"/>
          <w:b/>
          <w:strike w:val="0"/>
          <w:dstrike w:val="0"/>
          <w:color w:val="auto"/>
          <w:sz w:val="24"/>
          <w:highlight w:val="none"/>
        </w:rPr>
        <w:t>表4-1  评价范围一览表</w:t>
      </w:r>
    </w:p>
    <w:tbl>
      <w:tblPr>
        <w:tblStyle w:val="23"/>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751"/>
        <w:gridCol w:w="1219"/>
        <w:gridCol w:w="2087"/>
        <w:gridCol w:w="2651"/>
      </w:tblGrid>
      <w:tr w14:paraId="1DAD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10" w:type="dxa"/>
            <w:vAlign w:val="center"/>
          </w:tcPr>
          <w:p w14:paraId="0A2BF8EB">
            <w:pPr>
              <w:jc w:val="center"/>
              <w:rPr>
                <w:b/>
                <w:strike w:val="0"/>
                <w:dstrike w:val="0"/>
                <w:color w:val="auto"/>
                <w:szCs w:val="21"/>
                <w:highlight w:val="none"/>
              </w:rPr>
            </w:pPr>
            <w:r>
              <w:rPr>
                <w:rFonts w:hint="eastAsia"/>
                <w:b/>
                <w:strike w:val="0"/>
                <w:dstrike w:val="0"/>
                <w:color w:val="auto"/>
                <w:szCs w:val="21"/>
                <w:highlight w:val="none"/>
              </w:rPr>
              <w:t>序号</w:t>
            </w:r>
          </w:p>
        </w:tc>
        <w:tc>
          <w:tcPr>
            <w:tcW w:w="1751" w:type="dxa"/>
            <w:vAlign w:val="center"/>
          </w:tcPr>
          <w:p w14:paraId="41ED40D3">
            <w:pPr>
              <w:jc w:val="center"/>
              <w:rPr>
                <w:b/>
                <w:strike w:val="0"/>
                <w:dstrike w:val="0"/>
                <w:color w:val="auto"/>
                <w:szCs w:val="21"/>
                <w:highlight w:val="none"/>
              </w:rPr>
            </w:pPr>
            <w:r>
              <w:rPr>
                <w:rFonts w:hint="eastAsia"/>
                <w:b/>
                <w:strike w:val="0"/>
                <w:dstrike w:val="0"/>
                <w:color w:val="auto"/>
                <w:szCs w:val="21"/>
                <w:highlight w:val="none"/>
              </w:rPr>
              <w:t>环境因素</w:t>
            </w:r>
          </w:p>
        </w:tc>
        <w:tc>
          <w:tcPr>
            <w:tcW w:w="1219" w:type="dxa"/>
            <w:shd w:val="clear" w:color="auto" w:fill="auto"/>
            <w:vAlign w:val="center"/>
          </w:tcPr>
          <w:p w14:paraId="525D7F4D">
            <w:pPr>
              <w:jc w:val="center"/>
              <w:rPr>
                <w:rFonts w:hint="eastAsia" w:ascii="Times New Roman" w:hAnsi="Times New Roman" w:eastAsia="宋体" w:cs="Times New Roman"/>
                <w:b/>
                <w:strike w:val="0"/>
                <w:dstrike w:val="0"/>
                <w:color w:val="auto"/>
                <w:kern w:val="2"/>
                <w:sz w:val="21"/>
                <w:szCs w:val="21"/>
                <w:highlight w:val="none"/>
                <w:lang w:val="en-US" w:eastAsia="zh-CN" w:bidi="ar-SA"/>
              </w:rPr>
            </w:pPr>
            <w:r>
              <w:rPr>
                <w:rFonts w:hint="eastAsia"/>
                <w:b/>
                <w:strike w:val="0"/>
                <w:dstrike w:val="0"/>
                <w:color w:val="auto"/>
                <w:szCs w:val="21"/>
                <w:highlight w:val="none"/>
              </w:rPr>
              <w:t>敏感度</w:t>
            </w:r>
          </w:p>
        </w:tc>
        <w:tc>
          <w:tcPr>
            <w:tcW w:w="2087" w:type="dxa"/>
            <w:shd w:val="clear" w:color="auto" w:fill="auto"/>
            <w:vAlign w:val="center"/>
          </w:tcPr>
          <w:p w14:paraId="6646E12F">
            <w:pPr>
              <w:jc w:val="center"/>
              <w:rPr>
                <w:rFonts w:hint="eastAsia" w:ascii="Times New Roman" w:hAnsi="Times New Roman" w:eastAsia="宋体" w:cs="Times New Roman"/>
                <w:b/>
                <w:strike w:val="0"/>
                <w:dstrike w:val="0"/>
                <w:color w:val="auto"/>
                <w:kern w:val="2"/>
                <w:sz w:val="21"/>
                <w:szCs w:val="21"/>
                <w:highlight w:val="none"/>
                <w:lang w:val="en-US" w:eastAsia="zh-CN" w:bidi="ar-SA"/>
              </w:rPr>
            </w:pPr>
            <w:r>
              <w:rPr>
                <w:rFonts w:hint="eastAsia"/>
                <w:b/>
                <w:strike w:val="0"/>
                <w:dstrike w:val="0"/>
                <w:color w:val="auto"/>
                <w:szCs w:val="21"/>
                <w:highlight w:val="none"/>
              </w:rPr>
              <w:t>环境风险评价工作等级</w:t>
            </w:r>
          </w:p>
        </w:tc>
        <w:tc>
          <w:tcPr>
            <w:tcW w:w="2651" w:type="dxa"/>
            <w:vAlign w:val="center"/>
          </w:tcPr>
          <w:p w14:paraId="426DD918">
            <w:pPr>
              <w:jc w:val="center"/>
              <w:rPr>
                <w:b/>
                <w:strike w:val="0"/>
                <w:dstrike w:val="0"/>
                <w:color w:val="auto"/>
                <w:szCs w:val="21"/>
                <w:highlight w:val="none"/>
              </w:rPr>
            </w:pPr>
            <w:r>
              <w:rPr>
                <w:rFonts w:hint="eastAsia"/>
                <w:b/>
                <w:strike w:val="0"/>
                <w:dstrike w:val="0"/>
                <w:color w:val="auto"/>
                <w:szCs w:val="21"/>
                <w:highlight w:val="none"/>
              </w:rPr>
              <w:t>评价范围</w:t>
            </w:r>
          </w:p>
        </w:tc>
      </w:tr>
      <w:tr w14:paraId="402D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10" w:type="dxa"/>
            <w:vAlign w:val="center"/>
          </w:tcPr>
          <w:p w14:paraId="7A838147">
            <w:pPr>
              <w:jc w:val="center"/>
              <w:rPr>
                <w:strike w:val="0"/>
                <w:dstrike w:val="0"/>
                <w:color w:val="auto"/>
                <w:szCs w:val="21"/>
                <w:highlight w:val="none"/>
              </w:rPr>
            </w:pPr>
            <w:r>
              <w:rPr>
                <w:rFonts w:hint="eastAsia"/>
                <w:strike w:val="0"/>
                <w:dstrike w:val="0"/>
                <w:color w:val="auto"/>
                <w:szCs w:val="21"/>
                <w:highlight w:val="none"/>
              </w:rPr>
              <w:t>1</w:t>
            </w:r>
          </w:p>
        </w:tc>
        <w:tc>
          <w:tcPr>
            <w:tcW w:w="1751" w:type="dxa"/>
            <w:vAlign w:val="center"/>
          </w:tcPr>
          <w:p w14:paraId="19F3E80B">
            <w:pPr>
              <w:jc w:val="center"/>
              <w:rPr>
                <w:strike w:val="0"/>
                <w:dstrike w:val="0"/>
                <w:color w:val="auto"/>
                <w:szCs w:val="21"/>
                <w:highlight w:val="none"/>
              </w:rPr>
            </w:pPr>
            <w:r>
              <w:rPr>
                <w:rFonts w:hint="eastAsia"/>
                <w:strike w:val="0"/>
                <w:dstrike w:val="0"/>
                <w:color w:val="auto"/>
                <w:szCs w:val="21"/>
                <w:highlight w:val="none"/>
              </w:rPr>
              <w:t>大气环境</w:t>
            </w:r>
          </w:p>
        </w:tc>
        <w:tc>
          <w:tcPr>
            <w:tcW w:w="1219" w:type="dxa"/>
            <w:shd w:val="clear" w:color="auto" w:fill="auto"/>
            <w:vAlign w:val="center"/>
          </w:tcPr>
          <w:p w14:paraId="2B5E1C2C">
            <w:pPr>
              <w:jc w:val="center"/>
              <w:rPr>
                <w:rFonts w:hint="eastAsia" w:ascii="Times New Roman" w:hAnsi="Times New Roman" w:eastAsia="宋体" w:cs="Times New Roman"/>
                <w:b/>
                <w:strike w:val="0"/>
                <w:dstrike w:val="0"/>
                <w:color w:val="auto"/>
                <w:kern w:val="2"/>
                <w:sz w:val="21"/>
                <w:szCs w:val="21"/>
                <w:highlight w:val="none"/>
                <w:lang w:val="en-US" w:eastAsia="zh-CN" w:bidi="ar-SA"/>
              </w:rPr>
            </w:pPr>
            <w:r>
              <w:rPr>
                <w:strike w:val="0"/>
                <w:dstrike w:val="0"/>
                <w:color w:val="auto"/>
                <w:szCs w:val="21"/>
                <w:highlight w:val="none"/>
              </w:rPr>
              <w:t>E</w:t>
            </w:r>
            <w:r>
              <w:rPr>
                <w:rFonts w:hint="eastAsia"/>
                <w:strike w:val="0"/>
                <w:dstrike w:val="0"/>
                <w:color w:val="auto"/>
                <w:szCs w:val="21"/>
                <w:highlight w:val="none"/>
              </w:rPr>
              <w:t>2</w:t>
            </w:r>
          </w:p>
        </w:tc>
        <w:tc>
          <w:tcPr>
            <w:tcW w:w="2087" w:type="dxa"/>
            <w:shd w:val="clear" w:color="auto" w:fill="auto"/>
            <w:vAlign w:val="center"/>
          </w:tcPr>
          <w:p w14:paraId="63497564">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rPr>
              <w:t>三级</w:t>
            </w:r>
          </w:p>
        </w:tc>
        <w:tc>
          <w:tcPr>
            <w:tcW w:w="2651" w:type="dxa"/>
            <w:vAlign w:val="center"/>
          </w:tcPr>
          <w:p w14:paraId="18810B25">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rPr>
              <w:t>建设项目边界3km</w:t>
            </w:r>
            <w:r>
              <w:rPr>
                <w:rFonts w:hint="eastAsia"/>
                <w:strike w:val="0"/>
                <w:dstrike w:val="0"/>
                <w:color w:val="auto"/>
                <w:szCs w:val="21"/>
                <w:highlight w:val="none"/>
                <w:lang w:val="en-US" w:eastAsia="zh-CN"/>
              </w:rPr>
              <w:t>范围内</w:t>
            </w:r>
          </w:p>
        </w:tc>
      </w:tr>
      <w:tr w14:paraId="41C8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10" w:type="dxa"/>
            <w:vAlign w:val="center"/>
          </w:tcPr>
          <w:p w14:paraId="3645A677">
            <w:pPr>
              <w:jc w:val="center"/>
              <w:rPr>
                <w:strike w:val="0"/>
                <w:dstrike w:val="0"/>
                <w:color w:val="auto"/>
                <w:szCs w:val="21"/>
                <w:highlight w:val="none"/>
              </w:rPr>
            </w:pPr>
            <w:r>
              <w:rPr>
                <w:rFonts w:hint="eastAsia"/>
                <w:strike w:val="0"/>
                <w:dstrike w:val="0"/>
                <w:color w:val="auto"/>
                <w:szCs w:val="21"/>
                <w:highlight w:val="none"/>
              </w:rPr>
              <w:t>2</w:t>
            </w:r>
          </w:p>
        </w:tc>
        <w:tc>
          <w:tcPr>
            <w:tcW w:w="1751" w:type="dxa"/>
            <w:vAlign w:val="center"/>
          </w:tcPr>
          <w:p w14:paraId="73E73972">
            <w:pPr>
              <w:jc w:val="center"/>
              <w:rPr>
                <w:strike w:val="0"/>
                <w:dstrike w:val="0"/>
                <w:color w:val="auto"/>
                <w:szCs w:val="21"/>
                <w:highlight w:val="none"/>
              </w:rPr>
            </w:pPr>
            <w:r>
              <w:rPr>
                <w:rFonts w:hint="eastAsia"/>
                <w:strike w:val="0"/>
                <w:dstrike w:val="0"/>
                <w:color w:val="auto"/>
                <w:szCs w:val="21"/>
                <w:highlight w:val="none"/>
              </w:rPr>
              <w:t>地表水环境</w:t>
            </w:r>
          </w:p>
        </w:tc>
        <w:tc>
          <w:tcPr>
            <w:tcW w:w="1219" w:type="dxa"/>
            <w:shd w:val="clear" w:color="auto" w:fill="auto"/>
            <w:vAlign w:val="center"/>
          </w:tcPr>
          <w:p w14:paraId="3BA4FD33">
            <w:pPr>
              <w:jc w:val="center"/>
              <w:rPr>
                <w:rFonts w:hint="eastAsia" w:ascii="Times New Roman" w:hAnsi="Times New Roman" w:eastAsia="宋体" w:cs="Times New Roman"/>
                <w:b/>
                <w:strike w:val="0"/>
                <w:dstrike w:val="0"/>
                <w:color w:val="auto"/>
                <w:kern w:val="2"/>
                <w:sz w:val="21"/>
                <w:szCs w:val="21"/>
                <w:highlight w:val="none"/>
                <w:lang w:val="en-US" w:eastAsia="zh-CN" w:bidi="ar-SA"/>
              </w:rPr>
            </w:pPr>
            <w:r>
              <w:rPr>
                <w:strike w:val="0"/>
                <w:dstrike w:val="0"/>
                <w:color w:val="auto"/>
                <w:szCs w:val="21"/>
                <w:highlight w:val="none"/>
              </w:rPr>
              <w:t>E</w:t>
            </w:r>
            <w:r>
              <w:rPr>
                <w:rFonts w:hint="eastAsia"/>
                <w:strike w:val="0"/>
                <w:dstrike w:val="0"/>
                <w:color w:val="auto"/>
                <w:szCs w:val="21"/>
                <w:highlight w:val="none"/>
              </w:rPr>
              <w:t>3</w:t>
            </w:r>
          </w:p>
        </w:tc>
        <w:tc>
          <w:tcPr>
            <w:tcW w:w="2087" w:type="dxa"/>
            <w:shd w:val="clear" w:color="auto" w:fill="auto"/>
            <w:vAlign w:val="center"/>
          </w:tcPr>
          <w:p w14:paraId="2B06C162">
            <w:pPr>
              <w:jc w:val="center"/>
              <w:rPr>
                <w:rFonts w:hint="default"/>
                <w:strike w:val="0"/>
                <w:dstrike w:val="0"/>
                <w:color w:val="auto"/>
                <w:szCs w:val="21"/>
                <w:highlight w:val="none"/>
                <w:lang w:val="en-US" w:eastAsia="zh-CN"/>
              </w:rPr>
            </w:pPr>
            <w:r>
              <w:rPr>
                <w:rFonts w:hint="eastAsia"/>
                <w:strike w:val="0"/>
                <w:dstrike w:val="0"/>
                <w:color w:val="auto"/>
                <w:szCs w:val="21"/>
                <w:highlight w:val="none"/>
              </w:rPr>
              <w:t>简单分析</w:t>
            </w:r>
          </w:p>
        </w:tc>
        <w:tc>
          <w:tcPr>
            <w:tcW w:w="2651" w:type="dxa"/>
            <w:shd w:val="clear" w:color="auto" w:fill="auto"/>
            <w:vAlign w:val="center"/>
          </w:tcPr>
          <w:p w14:paraId="03805DB8">
            <w:pPr>
              <w:jc w:val="center"/>
              <w:rPr>
                <w:rFonts w:hint="eastAsia"/>
                <w:strike w:val="0"/>
                <w:dstrike w:val="0"/>
                <w:color w:val="auto"/>
                <w:szCs w:val="21"/>
                <w:highlight w:val="none"/>
              </w:rPr>
            </w:pPr>
            <w:r>
              <w:rPr>
                <w:rFonts w:hint="eastAsia"/>
                <w:strike w:val="0"/>
                <w:dstrike w:val="0"/>
                <w:color w:val="auto"/>
                <w:szCs w:val="21"/>
                <w:highlight w:val="none"/>
                <w:lang w:val="en-US" w:eastAsia="zh-CN"/>
              </w:rPr>
              <w:t>/</w:t>
            </w:r>
          </w:p>
        </w:tc>
      </w:tr>
      <w:tr w14:paraId="29CF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10" w:type="dxa"/>
            <w:vAlign w:val="center"/>
          </w:tcPr>
          <w:p w14:paraId="2EC07FDD">
            <w:pPr>
              <w:jc w:val="center"/>
              <w:rPr>
                <w:strike w:val="0"/>
                <w:dstrike w:val="0"/>
                <w:color w:val="auto"/>
                <w:szCs w:val="21"/>
                <w:highlight w:val="none"/>
              </w:rPr>
            </w:pPr>
            <w:r>
              <w:rPr>
                <w:rFonts w:hint="eastAsia"/>
                <w:strike w:val="0"/>
                <w:dstrike w:val="0"/>
                <w:color w:val="auto"/>
                <w:szCs w:val="21"/>
                <w:highlight w:val="none"/>
              </w:rPr>
              <w:t>3</w:t>
            </w:r>
          </w:p>
        </w:tc>
        <w:tc>
          <w:tcPr>
            <w:tcW w:w="1751" w:type="dxa"/>
            <w:vAlign w:val="center"/>
          </w:tcPr>
          <w:p w14:paraId="3BE06582">
            <w:pPr>
              <w:jc w:val="center"/>
              <w:rPr>
                <w:strike w:val="0"/>
                <w:dstrike w:val="0"/>
                <w:color w:val="auto"/>
                <w:szCs w:val="21"/>
                <w:highlight w:val="none"/>
              </w:rPr>
            </w:pPr>
            <w:r>
              <w:rPr>
                <w:rFonts w:hint="eastAsia"/>
                <w:strike w:val="0"/>
                <w:dstrike w:val="0"/>
                <w:color w:val="auto"/>
                <w:szCs w:val="21"/>
                <w:highlight w:val="none"/>
              </w:rPr>
              <w:t>地下水环境</w:t>
            </w:r>
          </w:p>
        </w:tc>
        <w:tc>
          <w:tcPr>
            <w:tcW w:w="1219" w:type="dxa"/>
            <w:shd w:val="clear" w:color="auto" w:fill="auto"/>
            <w:vAlign w:val="center"/>
          </w:tcPr>
          <w:p w14:paraId="7DD4B4D6">
            <w:pPr>
              <w:jc w:val="center"/>
              <w:rPr>
                <w:rFonts w:hint="eastAsia" w:ascii="Times New Roman" w:hAnsi="Times New Roman" w:eastAsia="宋体" w:cs="Times New Roman"/>
                <w:b/>
                <w:strike w:val="0"/>
                <w:dstrike w:val="0"/>
                <w:color w:val="auto"/>
                <w:kern w:val="2"/>
                <w:sz w:val="21"/>
                <w:szCs w:val="21"/>
                <w:highlight w:val="none"/>
                <w:lang w:val="en-US" w:eastAsia="zh-CN" w:bidi="ar-SA"/>
              </w:rPr>
            </w:pPr>
            <w:r>
              <w:rPr>
                <w:rFonts w:hint="eastAsia"/>
                <w:strike w:val="0"/>
                <w:dstrike w:val="0"/>
                <w:color w:val="auto"/>
                <w:szCs w:val="21"/>
                <w:highlight w:val="none"/>
              </w:rPr>
              <w:t>/</w:t>
            </w:r>
          </w:p>
        </w:tc>
        <w:tc>
          <w:tcPr>
            <w:tcW w:w="2087" w:type="dxa"/>
            <w:shd w:val="clear" w:color="auto" w:fill="auto"/>
            <w:vAlign w:val="center"/>
          </w:tcPr>
          <w:p w14:paraId="29F8FEAD">
            <w:pPr>
              <w:keepNext w:val="0"/>
              <w:keepLines w:val="0"/>
              <w:widowControl/>
              <w:suppressLineNumbers w:val="0"/>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ascii="宋体" w:hAnsi="宋体" w:eastAsia="宋体" w:cs="宋体"/>
                <w:strike w:val="0"/>
                <w:dstrike w:val="0"/>
                <w:color w:val="auto"/>
                <w:kern w:val="0"/>
                <w:sz w:val="21"/>
                <w:szCs w:val="21"/>
                <w:highlight w:val="none"/>
                <w:lang w:val="en-US" w:eastAsia="zh-CN" w:bidi="ar"/>
              </w:rPr>
              <w:t>不开展地下水环境影响评价</w:t>
            </w:r>
          </w:p>
        </w:tc>
        <w:tc>
          <w:tcPr>
            <w:tcW w:w="2651" w:type="dxa"/>
            <w:vAlign w:val="center"/>
          </w:tcPr>
          <w:p w14:paraId="00A68427">
            <w:pPr>
              <w:jc w:val="center"/>
              <w:rPr>
                <w:strike w:val="0"/>
                <w:dstrike w:val="0"/>
                <w:color w:val="auto"/>
                <w:szCs w:val="21"/>
                <w:highlight w:val="none"/>
              </w:rPr>
            </w:pPr>
            <w:r>
              <w:rPr>
                <w:rFonts w:hint="eastAsia"/>
                <w:strike w:val="0"/>
                <w:dstrike w:val="0"/>
                <w:color w:val="auto"/>
                <w:szCs w:val="21"/>
                <w:highlight w:val="none"/>
              </w:rPr>
              <w:t>/</w:t>
            </w:r>
          </w:p>
        </w:tc>
      </w:tr>
    </w:tbl>
    <w:p w14:paraId="69B32379">
      <w:pPr>
        <w:rPr>
          <w:strike w:val="0"/>
          <w:dstrike w:val="0"/>
          <w:color w:val="auto"/>
          <w:highlight w:val="none"/>
        </w:rPr>
      </w:pPr>
      <w:r>
        <w:rPr>
          <w:strike w:val="0"/>
          <w:dstrike w:val="0"/>
          <w:color w:val="auto"/>
          <w:highlight w:val="none"/>
        </w:rPr>
        <w:br w:type="page"/>
      </w:r>
    </w:p>
    <w:p w14:paraId="339599BD">
      <w:pPr>
        <w:pStyle w:val="3"/>
        <w:jc w:val="center"/>
        <w:rPr>
          <w:rFonts w:eastAsia="宋体"/>
          <w:strike w:val="0"/>
          <w:dstrike w:val="0"/>
          <w:color w:val="auto"/>
          <w:highlight w:val="none"/>
        </w:rPr>
      </w:pPr>
      <w:r>
        <w:rPr>
          <w:rFonts w:eastAsia="宋体"/>
          <w:strike w:val="0"/>
          <w:dstrike w:val="0"/>
          <w:color w:val="auto"/>
          <w:highlight w:val="none"/>
        </w:rPr>
        <w:t>5环境风险识别</w:t>
      </w:r>
    </w:p>
    <w:p w14:paraId="03C442A2">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风险识别范围包括生产设施风险识别和生产过程中所涉及的物质风险识别。</w:t>
      </w:r>
    </w:p>
    <w:p w14:paraId="65034EFE">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default" w:ascii="Times New Roman" w:hAnsi="Times New Roman" w:eastAsia="宋体"/>
          <w:strike w:val="0"/>
          <w:dstrike w:val="0"/>
          <w:color w:val="auto"/>
          <w:highlight w:val="none"/>
          <w:lang w:val="en-US" w:eastAsia="zh-CN"/>
        </w:rPr>
      </w:pPr>
      <w:r>
        <w:rPr>
          <w:rFonts w:ascii="Times New Roman" w:hAnsi="Times New Roman" w:eastAsia="宋体"/>
          <w:strike w:val="0"/>
          <w:dstrike w:val="0"/>
          <w:color w:val="auto"/>
          <w:highlight w:val="none"/>
        </w:rPr>
        <w:t>5.1</w:t>
      </w:r>
      <w:r>
        <w:rPr>
          <w:rFonts w:hint="eastAsia" w:ascii="Times New Roman" w:hAnsi="Times New Roman" w:eastAsia="宋体"/>
          <w:strike w:val="0"/>
          <w:dstrike w:val="0"/>
          <w:color w:val="auto"/>
          <w:highlight w:val="none"/>
          <w:lang w:val="en-US" w:eastAsia="zh-CN"/>
        </w:rPr>
        <w:t>环境风险识别</w:t>
      </w:r>
    </w:p>
    <w:p w14:paraId="4D6E660D">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2"/>
        <w:rPr>
          <w:rFonts w:ascii="Times New Roman" w:hAnsi="Times New Roman" w:eastAsia="宋体"/>
          <w:strike w:val="0"/>
          <w:dstrike w:val="0"/>
          <w:color w:val="auto"/>
          <w:sz w:val="24"/>
          <w:szCs w:val="32"/>
          <w:highlight w:val="none"/>
        </w:rPr>
      </w:pPr>
      <w:r>
        <w:rPr>
          <w:rFonts w:hint="eastAsia" w:ascii="Times New Roman" w:hAnsi="Times New Roman" w:eastAsia="宋体"/>
          <w:strike w:val="0"/>
          <w:dstrike w:val="0"/>
          <w:color w:val="auto"/>
          <w:sz w:val="24"/>
          <w:szCs w:val="32"/>
          <w:highlight w:val="none"/>
          <w:lang w:val="en-US" w:eastAsia="zh-CN"/>
        </w:rPr>
        <w:t>5.1.1物质危险性</w:t>
      </w:r>
      <w:r>
        <w:rPr>
          <w:rFonts w:ascii="Times New Roman" w:hAnsi="Times New Roman" w:eastAsia="宋体"/>
          <w:strike w:val="0"/>
          <w:dstrike w:val="0"/>
          <w:color w:val="auto"/>
          <w:sz w:val="24"/>
          <w:szCs w:val="32"/>
          <w:highlight w:val="none"/>
        </w:rPr>
        <w:t>识别</w:t>
      </w:r>
    </w:p>
    <w:p w14:paraId="5627EC1E">
      <w:pPr>
        <w:spacing w:line="360" w:lineRule="auto"/>
        <w:ind w:firstLine="480" w:firstLineChars="200"/>
        <w:rPr>
          <w:rFonts w:hint="eastAsia"/>
          <w:strike w:val="0"/>
          <w:dstrike w:val="0"/>
          <w:color w:val="auto"/>
          <w:sz w:val="24"/>
          <w:szCs w:val="32"/>
          <w:highlight w:val="none"/>
          <w:lang w:val="en-US" w:eastAsia="zh-CN"/>
        </w:rPr>
      </w:pPr>
      <w:r>
        <w:rPr>
          <w:strike w:val="0"/>
          <w:dstrike w:val="0"/>
          <w:color w:val="auto"/>
          <w:sz w:val="24"/>
          <w:szCs w:val="32"/>
          <w:highlight w:val="none"/>
        </w:rPr>
        <w:t>本项目所涉及</w:t>
      </w:r>
      <w:r>
        <w:rPr>
          <w:rFonts w:hint="eastAsia"/>
          <w:strike w:val="0"/>
          <w:dstrike w:val="0"/>
          <w:color w:val="auto"/>
          <w:sz w:val="24"/>
          <w:szCs w:val="32"/>
          <w:highlight w:val="none"/>
          <w:lang w:val="en-US" w:eastAsia="zh-CN"/>
        </w:rPr>
        <w:t>的</w:t>
      </w:r>
      <w:r>
        <w:rPr>
          <w:strike w:val="0"/>
          <w:dstrike w:val="0"/>
          <w:color w:val="auto"/>
          <w:sz w:val="24"/>
          <w:szCs w:val="32"/>
          <w:highlight w:val="none"/>
        </w:rPr>
        <w:t>汽油、柴油、</w:t>
      </w:r>
      <w:r>
        <w:rPr>
          <w:rFonts w:hint="eastAsia"/>
          <w:strike w:val="0"/>
          <w:dstrike w:val="0"/>
          <w:color w:val="auto"/>
          <w:sz w:val="24"/>
          <w:szCs w:val="32"/>
          <w:highlight w:val="none"/>
          <w:lang w:val="en-US" w:eastAsia="zh-CN"/>
        </w:rPr>
        <w:t>天然气（LNG）</w:t>
      </w:r>
      <w:r>
        <w:rPr>
          <w:strike w:val="0"/>
          <w:dstrike w:val="0"/>
          <w:color w:val="auto"/>
          <w:sz w:val="24"/>
          <w:szCs w:val="32"/>
          <w:highlight w:val="none"/>
        </w:rPr>
        <w:t>属于风险物</w:t>
      </w:r>
      <w:r>
        <w:rPr>
          <w:rFonts w:hint="eastAsia"/>
          <w:strike w:val="0"/>
          <w:dstrike w:val="0"/>
          <w:color w:val="auto"/>
          <w:sz w:val="24"/>
          <w:szCs w:val="32"/>
          <w:highlight w:val="none"/>
          <w:lang w:val="en-US" w:eastAsia="zh-CN"/>
        </w:rPr>
        <w:t>质。汽油、柴油、天然气的理化性质详见表2.1-1~表2.1-3。</w:t>
      </w:r>
    </w:p>
    <w:p w14:paraId="75F898BF">
      <w:pPr>
        <w:spacing w:line="360" w:lineRule="auto"/>
        <w:ind w:firstLine="480" w:firstLineChars="200"/>
        <w:rPr>
          <w:rFonts w:hint="default"/>
          <w:strike w:val="0"/>
          <w:dstrike w:val="0"/>
          <w:color w:val="auto"/>
          <w:sz w:val="24"/>
          <w:szCs w:val="32"/>
          <w:highlight w:val="none"/>
          <w:lang w:val="en-US" w:eastAsia="zh-CN"/>
        </w:rPr>
      </w:pPr>
      <w:r>
        <w:rPr>
          <w:rFonts w:hint="eastAsia"/>
          <w:strike w:val="0"/>
          <w:dstrike w:val="0"/>
          <w:color w:val="auto"/>
          <w:sz w:val="24"/>
          <w:szCs w:val="32"/>
          <w:highlight w:val="none"/>
          <w:lang w:val="en-US" w:eastAsia="zh-CN"/>
        </w:rPr>
        <w:t>本项目危险物质的火灾危险性类别、有害物质特性见表5.1-1、表5.1-2。</w:t>
      </w:r>
    </w:p>
    <w:p w14:paraId="7F19AE4F">
      <w:pPr>
        <w:spacing w:line="360" w:lineRule="auto"/>
        <w:jc w:val="center"/>
        <w:rPr>
          <w:rFonts w:hint="default"/>
          <w:b/>
          <w:bCs/>
          <w:strike w:val="0"/>
          <w:dstrike w:val="0"/>
          <w:color w:val="auto"/>
          <w:sz w:val="24"/>
          <w:szCs w:val="32"/>
          <w:highlight w:val="none"/>
          <w:lang w:val="en-US"/>
        </w:rPr>
      </w:pPr>
      <w:r>
        <w:rPr>
          <w:rFonts w:hint="eastAsia"/>
          <w:b/>
          <w:bCs/>
          <w:strike w:val="0"/>
          <w:dstrike w:val="0"/>
          <w:color w:val="auto"/>
          <w:sz w:val="24"/>
          <w:szCs w:val="32"/>
          <w:highlight w:val="none"/>
          <w:lang w:val="en-US" w:eastAsia="zh-CN"/>
        </w:rPr>
        <w:t>表5.1-1  本项目危险物质的火灾危险性类别</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3362"/>
        <w:gridCol w:w="3047"/>
      </w:tblGrid>
      <w:tr w14:paraId="5D01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70" w:type="dxa"/>
            <w:vAlign w:val="center"/>
          </w:tcPr>
          <w:p w14:paraId="01EA4979">
            <w:pPr>
              <w:spacing w:line="240" w:lineRule="auto"/>
              <w:jc w:val="center"/>
              <w:rPr>
                <w:rFonts w:hint="default" w:eastAsia="宋体"/>
                <w:b/>
                <w:bCs/>
                <w:strike w:val="0"/>
                <w:dstrike w:val="0"/>
                <w:color w:val="auto"/>
                <w:sz w:val="21"/>
                <w:szCs w:val="21"/>
                <w:highlight w:val="none"/>
                <w:vertAlign w:val="baseline"/>
                <w:lang w:val="en-US" w:eastAsia="zh-CN"/>
              </w:rPr>
            </w:pPr>
            <w:r>
              <w:rPr>
                <w:rFonts w:hint="eastAsia"/>
                <w:b/>
                <w:bCs/>
                <w:strike w:val="0"/>
                <w:dstrike w:val="0"/>
                <w:color w:val="auto"/>
                <w:sz w:val="21"/>
                <w:szCs w:val="21"/>
                <w:highlight w:val="none"/>
                <w:vertAlign w:val="baseline"/>
                <w:lang w:val="en-US" w:eastAsia="zh-CN"/>
              </w:rPr>
              <w:t>序号</w:t>
            </w:r>
          </w:p>
        </w:tc>
        <w:tc>
          <w:tcPr>
            <w:tcW w:w="3362" w:type="dxa"/>
            <w:vAlign w:val="center"/>
          </w:tcPr>
          <w:p w14:paraId="237A4E4F">
            <w:pPr>
              <w:spacing w:line="240" w:lineRule="auto"/>
              <w:jc w:val="center"/>
              <w:rPr>
                <w:rFonts w:hint="default" w:eastAsia="宋体"/>
                <w:b/>
                <w:bCs/>
                <w:strike w:val="0"/>
                <w:dstrike w:val="0"/>
                <w:color w:val="auto"/>
                <w:sz w:val="21"/>
                <w:szCs w:val="21"/>
                <w:highlight w:val="none"/>
                <w:vertAlign w:val="baseline"/>
                <w:lang w:val="en-US" w:eastAsia="zh-CN"/>
              </w:rPr>
            </w:pPr>
            <w:r>
              <w:rPr>
                <w:rFonts w:hint="eastAsia"/>
                <w:b/>
                <w:bCs/>
                <w:strike w:val="0"/>
                <w:dstrike w:val="0"/>
                <w:color w:val="auto"/>
                <w:sz w:val="21"/>
                <w:szCs w:val="21"/>
                <w:highlight w:val="none"/>
                <w:vertAlign w:val="baseline"/>
                <w:lang w:val="en-US" w:eastAsia="zh-CN"/>
              </w:rPr>
              <w:t>危险物质名称</w:t>
            </w:r>
          </w:p>
        </w:tc>
        <w:tc>
          <w:tcPr>
            <w:tcW w:w="3047" w:type="dxa"/>
            <w:vAlign w:val="center"/>
          </w:tcPr>
          <w:p w14:paraId="5D58452B">
            <w:pPr>
              <w:spacing w:line="240" w:lineRule="auto"/>
              <w:jc w:val="center"/>
              <w:rPr>
                <w:rFonts w:hint="default" w:eastAsia="宋体"/>
                <w:b/>
                <w:bCs/>
                <w:strike w:val="0"/>
                <w:dstrike w:val="0"/>
                <w:color w:val="auto"/>
                <w:sz w:val="21"/>
                <w:szCs w:val="21"/>
                <w:highlight w:val="none"/>
                <w:vertAlign w:val="baseline"/>
                <w:lang w:val="en-US" w:eastAsia="zh-CN"/>
              </w:rPr>
            </w:pPr>
            <w:r>
              <w:rPr>
                <w:rFonts w:hint="eastAsia"/>
                <w:b/>
                <w:bCs/>
                <w:strike w:val="0"/>
                <w:dstrike w:val="0"/>
                <w:color w:val="auto"/>
                <w:sz w:val="21"/>
                <w:szCs w:val="21"/>
                <w:highlight w:val="none"/>
                <w:vertAlign w:val="baseline"/>
                <w:lang w:val="en-US" w:eastAsia="zh-CN"/>
              </w:rPr>
              <w:t>火灾危险性类别</w:t>
            </w:r>
          </w:p>
        </w:tc>
      </w:tr>
      <w:tr w14:paraId="7800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70" w:type="dxa"/>
            <w:vAlign w:val="center"/>
          </w:tcPr>
          <w:p w14:paraId="356615DC">
            <w:pPr>
              <w:spacing w:line="240" w:lineRule="auto"/>
              <w:jc w:val="center"/>
              <w:rPr>
                <w:rFonts w:hint="default" w:eastAsia="宋体"/>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1</w:t>
            </w:r>
          </w:p>
        </w:tc>
        <w:tc>
          <w:tcPr>
            <w:tcW w:w="3362" w:type="dxa"/>
            <w:vAlign w:val="center"/>
          </w:tcPr>
          <w:p w14:paraId="23DDC4AA">
            <w:pPr>
              <w:spacing w:line="240" w:lineRule="auto"/>
              <w:jc w:val="center"/>
              <w:rPr>
                <w:rFonts w:hint="default" w:eastAsia="宋体"/>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汽油</w:t>
            </w:r>
          </w:p>
        </w:tc>
        <w:tc>
          <w:tcPr>
            <w:tcW w:w="3047" w:type="dxa"/>
            <w:vAlign w:val="center"/>
          </w:tcPr>
          <w:p w14:paraId="659D10F2">
            <w:pPr>
              <w:spacing w:line="240" w:lineRule="auto"/>
              <w:jc w:val="center"/>
              <w:rPr>
                <w:rFonts w:hint="default" w:eastAsia="宋体"/>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甲B</w:t>
            </w:r>
          </w:p>
        </w:tc>
      </w:tr>
      <w:tr w14:paraId="50F5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570" w:type="dxa"/>
            <w:vAlign w:val="center"/>
          </w:tcPr>
          <w:p w14:paraId="6429E643">
            <w:pPr>
              <w:spacing w:line="240" w:lineRule="auto"/>
              <w:jc w:val="center"/>
              <w:rPr>
                <w:rFonts w:hint="default" w:eastAsia="宋体"/>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2</w:t>
            </w:r>
          </w:p>
        </w:tc>
        <w:tc>
          <w:tcPr>
            <w:tcW w:w="3362" w:type="dxa"/>
            <w:vAlign w:val="center"/>
          </w:tcPr>
          <w:p w14:paraId="5A48371C">
            <w:pPr>
              <w:spacing w:line="240" w:lineRule="auto"/>
              <w:jc w:val="center"/>
              <w:rPr>
                <w:rFonts w:hint="default" w:eastAsia="宋体"/>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柴油</w:t>
            </w:r>
          </w:p>
        </w:tc>
        <w:tc>
          <w:tcPr>
            <w:tcW w:w="3047" w:type="dxa"/>
            <w:vAlign w:val="center"/>
          </w:tcPr>
          <w:p w14:paraId="5B7C5E02">
            <w:pPr>
              <w:spacing w:line="240" w:lineRule="auto"/>
              <w:jc w:val="center"/>
              <w:rPr>
                <w:rFonts w:hint="default" w:eastAsia="宋体"/>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丙A</w:t>
            </w:r>
          </w:p>
        </w:tc>
      </w:tr>
      <w:tr w14:paraId="4EC0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570" w:type="dxa"/>
            <w:vAlign w:val="center"/>
          </w:tcPr>
          <w:p w14:paraId="07A55B3B">
            <w:pPr>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3</w:t>
            </w:r>
          </w:p>
        </w:tc>
        <w:tc>
          <w:tcPr>
            <w:tcW w:w="3362" w:type="dxa"/>
            <w:vAlign w:val="center"/>
          </w:tcPr>
          <w:p w14:paraId="4C333E6F">
            <w:pPr>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天然气</w:t>
            </w:r>
          </w:p>
        </w:tc>
        <w:tc>
          <w:tcPr>
            <w:tcW w:w="3047" w:type="dxa"/>
            <w:vAlign w:val="center"/>
          </w:tcPr>
          <w:p w14:paraId="006701E5">
            <w:pPr>
              <w:spacing w:line="240" w:lineRule="auto"/>
              <w:jc w:val="center"/>
              <w:rPr>
                <w:rFonts w:hint="eastAsia"/>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甲B</w:t>
            </w:r>
          </w:p>
        </w:tc>
      </w:tr>
    </w:tbl>
    <w:p w14:paraId="16944CFF">
      <w:pPr>
        <w:spacing w:line="360" w:lineRule="auto"/>
        <w:jc w:val="center"/>
        <w:rPr>
          <w:rFonts w:hint="eastAsia"/>
          <w:b/>
          <w:bCs/>
          <w:strike w:val="0"/>
          <w:dstrike w:val="0"/>
          <w:color w:val="auto"/>
          <w:sz w:val="24"/>
          <w:szCs w:val="32"/>
          <w:highlight w:val="none"/>
          <w:lang w:val="en-US" w:eastAsia="zh-CN"/>
        </w:rPr>
      </w:pPr>
      <w:r>
        <w:rPr>
          <w:rFonts w:hint="eastAsia"/>
          <w:b/>
          <w:bCs/>
          <w:strike w:val="0"/>
          <w:dstrike w:val="0"/>
          <w:color w:val="auto"/>
          <w:sz w:val="24"/>
          <w:szCs w:val="32"/>
          <w:highlight w:val="none"/>
          <w:lang w:val="en-US" w:eastAsia="zh-CN"/>
        </w:rPr>
        <w:t>表5.1-2  主要危险、有害物质特性一览表</w:t>
      </w:r>
    </w:p>
    <w:tbl>
      <w:tblPr>
        <w:tblStyle w:val="23"/>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029"/>
        <w:gridCol w:w="2943"/>
        <w:gridCol w:w="2210"/>
      </w:tblGrid>
      <w:tr w14:paraId="25A5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15" w:type="dxa"/>
            <w:shd w:val="clear" w:color="auto" w:fill="auto"/>
            <w:vAlign w:val="center"/>
          </w:tcPr>
          <w:p w14:paraId="74C80F8A">
            <w:pPr>
              <w:spacing w:line="240" w:lineRule="auto"/>
              <w:jc w:val="center"/>
              <w:rPr>
                <w:rFonts w:hint="default" w:ascii="Times New Roman" w:hAnsi="Times New Roman" w:eastAsia="宋体" w:cs="Times New Roman"/>
                <w:b/>
                <w:bCs/>
                <w:strike w:val="0"/>
                <w:dstrike w:val="0"/>
                <w:color w:val="auto"/>
                <w:kern w:val="2"/>
                <w:sz w:val="21"/>
                <w:szCs w:val="21"/>
                <w:highlight w:val="none"/>
                <w:vertAlign w:val="baseline"/>
                <w:lang w:val="en-US" w:eastAsia="zh-CN" w:bidi="ar-SA"/>
              </w:rPr>
            </w:pPr>
            <w:r>
              <w:rPr>
                <w:rFonts w:hint="eastAsia"/>
                <w:b/>
                <w:bCs/>
                <w:strike w:val="0"/>
                <w:dstrike w:val="0"/>
                <w:color w:val="auto"/>
                <w:sz w:val="21"/>
                <w:szCs w:val="21"/>
                <w:highlight w:val="none"/>
                <w:vertAlign w:val="baseline"/>
                <w:lang w:val="en-US" w:eastAsia="zh-CN"/>
              </w:rPr>
              <w:t>序号</w:t>
            </w:r>
          </w:p>
        </w:tc>
        <w:tc>
          <w:tcPr>
            <w:tcW w:w="2029" w:type="dxa"/>
            <w:vAlign w:val="center"/>
          </w:tcPr>
          <w:p w14:paraId="109459C3">
            <w:pPr>
              <w:pStyle w:val="30"/>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危险、有害物质名称</w:t>
            </w:r>
          </w:p>
        </w:tc>
        <w:tc>
          <w:tcPr>
            <w:tcW w:w="2943" w:type="dxa"/>
            <w:vAlign w:val="center"/>
          </w:tcPr>
          <w:p w14:paraId="3C128241">
            <w:pPr>
              <w:pStyle w:val="30"/>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危险性类别</w:t>
            </w:r>
          </w:p>
        </w:tc>
        <w:tc>
          <w:tcPr>
            <w:tcW w:w="2210" w:type="dxa"/>
            <w:vAlign w:val="center"/>
          </w:tcPr>
          <w:p w14:paraId="1FEFD19E">
            <w:pPr>
              <w:pStyle w:val="30"/>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危险、有害特性</w:t>
            </w:r>
          </w:p>
        </w:tc>
      </w:tr>
      <w:tr w14:paraId="3942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815" w:type="dxa"/>
            <w:shd w:val="clear" w:color="auto" w:fill="auto"/>
            <w:vAlign w:val="center"/>
          </w:tcPr>
          <w:p w14:paraId="620C7858">
            <w:pPr>
              <w:spacing w:line="240" w:lineRule="auto"/>
              <w:jc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eastAsia"/>
                <w:strike w:val="0"/>
                <w:dstrike w:val="0"/>
                <w:color w:val="auto"/>
                <w:sz w:val="21"/>
                <w:szCs w:val="21"/>
                <w:highlight w:val="none"/>
                <w:vertAlign w:val="baseline"/>
                <w:lang w:val="en-US" w:eastAsia="zh-CN"/>
              </w:rPr>
              <w:t>1</w:t>
            </w:r>
          </w:p>
        </w:tc>
        <w:tc>
          <w:tcPr>
            <w:tcW w:w="2029" w:type="dxa"/>
            <w:shd w:val="clear" w:color="auto" w:fill="auto"/>
            <w:vAlign w:val="center"/>
          </w:tcPr>
          <w:p w14:paraId="540D3C19">
            <w:pPr>
              <w:spacing w:line="240" w:lineRule="auto"/>
              <w:jc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eastAsia"/>
                <w:strike w:val="0"/>
                <w:dstrike w:val="0"/>
                <w:color w:val="auto"/>
                <w:sz w:val="21"/>
                <w:szCs w:val="21"/>
                <w:highlight w:val="none"/>
                <w:vertAlign w:val="baseline"/>
                <w:lang w:val="en-US" w:eastAsia="zh-CN"/>
              </w:rPr>
              <w:t>汽油</w:t>
            </w:r>
          </w:p>
        </w:tc>
        <w:tc>
          <w:tcPr>
            <w:tcW w:w="2943" w:type="dxa"/>
            <w:vAlign w:val="center"/>
          </w:tcPr>
          <w:p w14:paraId="754C38E4">
            <w:pPr>
              <w:spacing w:line="240" w:lineRule="auto"/>
              <w:jc w:val="center"/>
              <w:rPr>
                <w:rFonts w:hint="eastAsia"/>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易燃液体,类别2</w:t>
            </w:r>
          </w:p>
          <w:p w14:paraId="4F8D9105">
            <w:pPr>
              <w:spacing w:line="240" w:lineRule="auto"/>
              <w:jc w:val="center"/>
              <w:rPr>
                <w:rFonts w:hint="eastAsia"/>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生殖细胞致突变性,类别1B</w:t>
            </w:r>
          </w:p>
          <w:p w14:paraId="061CF17E">
            <w:pPr>
              <w:spacing w:line="240" w:lineRule="auto"/>
              <w:jc w:val="center"/>
              <w:rPr>
                <w:rFonts w:hint="eastAsia"/>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致癌性,类别2</w:t>
            </w:r>
          </w:p>
          <w:p w14:paraId="34EFDD50">
            <w:pPr>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吸入危害,类别1</w:t>
            </w:r>
          </w:p>
        </w:tc>
        <w:tc>
          <w:tcPr>
            <w:tcW w:w="2210" w:type="dxa"/>
            <w:vAlign w:val="center"/>
          </w:tcPr>
          <w:p w14:paraId="7A3591E4">
            <w:pPr>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易燃、易爆、有毒</w:t>
            </w:r>
          </w:p>
        </w:tc>
      </w:tr>
      <w:tr w14:paraId="255C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15" w:type="dxa"/>
            <w:shd w:val="clear" w:color="auto" w:fill="auto"/>
            <w:vAlign w:val="center"/>
          </w:tcPr>
          <w:p w14:paraId="259422FB">
            <w:pPr>
              <w:spacing w:line="240" w:lineRule="auto"/>
              <w:jc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eastAsia"/>
                <w:strike w:val="0"/>
                <w:dstrike w:val="0"/>
                <w:color w:val="auto"/>
                <w:sz w:val="21"/>
                <w:szCs w:val="21"/>
                <w:highlight w:val="none"/>
                <w:vertAlign w:val="baseline"/>
                <w:lang w:val="en-US" w:eastAsia="zh-CN"/>
              </w:rPr>
              <w:t>2</w:t>
            </w:r>
          </w:p>
        </w:tc>
        <w:tc>
          <w:tcPr>
            <w:tcW w:w="2029" w:type="dxa"/>
            <w:shd w:val="clear" w:color="auto" w:fill="auto"/>
            <w:vAlign w:val="center"/>
          </w:tcPr>
          <w:p w14:paraId="545DDAC0">
            <w:pPr>
              <w:spacing w:line="240" w:lineRule="auto"/>
              <w:jc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eastAsia"/>
                <w:strike w:val="0"/>
                <w:dstrike w:val="0"/>
                <w:color w:val="auto"/>
                <w:sz w:val="21"/>
                <w:szCs w:val="21"/>
                <w:highlight w:val="none"/>
                <w:vertAlign w:val="baseline"/>
                <w:lang w:val="en-US" w:eastAsia="zh-CN"/>
              </w:rPr>
              <w:t>柴油</w:t>
            </w:r>
          </w:p>
        </w:tc>
        <w:tc>
          <w:tcPr>
            <w:tcW w:w="2943" w:type="dxa"/>
            <w:vAlign w:val="center"/>
          </w:tcPr>
          <w:p w14:paraId="1DD5BD89">
            <w:pPr>
              <w:spacing w:line="240" w:lineRule="auto"/>
              <w:jc w:val="center"/>
              <w:rPr>
                <w:rFonts w:hint="default" w:ascii="Times New Roman" w:hAnsi="Times New Roman" w:cs="Times New Roman"/>
                <w:strike w:val="0"/>
                <w:dstrike w:val="0"/>
                <w:color w:val="auto"/>
                <w:sz w:val="21"/>
                <w:szCs w:val="21"/>
                <w:highlight w:val="none"/>
                <w:vertAlign w:val="baseline"/>
                <w:lang w:val="en-US" w:eastAsia="zh-CN"/>
              </w:rPr>
            </w:pPr>
            <w:r>
              <w:rPr>
                <w:rFonts w:hint="eastAsia" w:ascii="Times New Roman" w:hAnsi="Times New Roman" w:cs="Times New Roman"/>
                <w:strike w:val="0"/>
                <w:dstrike w:val="0"/>
                <w:color w:val="auto"/>
                <w:sz w:val="21"/>
                <w:szCs w:val="21"/>
                <w:highlight w:val="none"/>
                <w:vertAlign w:val="baseline"/>
                <w:lang w:val="en-US" w:eastAsia="zh-CN"/>
              </w:rPr>
              <w:t>/</w:t>
            </w:r>
          </w:p>
        </w:tc>
        <w:tc>
          <w:tcPr>
            <w:tcW w:w="2210" w:type="dxa"/>
            <w:shd w:val="clear" w:color="auto" w:fill="auto"/>
            <w:vAlign w:val="center"/>
          </w:tcPr>
          <w:p w14:paraId="1EB3FEBE">
            <w:pPr>
              <w:spacing w:line="240" w:lineRule="auto"/>
              <w:jc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eastAsia"/>
                <w:strike w:val="0"/>
                <w:dstrike w:val="0"/>
                <w:color w:val="auto"/>
                <w:sz w:val="21"/>
                <w:szCs w:val="21"/>
                <w:highlight w:val="none"/>
                <w:vertAlign w:val="baseline"/>
                <w:lang w:val="en-US" w:eastAsia="zh-CN"/>
              </w:rPr>
              <w:t>易燃、易爆、有毒</w:t>
            </w:r>
          </w:p>
        </w:tc>
      </w:tr>
      <w:tr w14:paraId="24A3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15" w:type="dxa"/>
            <w:shd w:val="clear" w:color="auto" w:fill="auto"/>
            <w:vAlign w:val="center"/>
          </w:tcPr>
          <w:p w14:paraId="12030873">
            <w:pPr>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3</w:t>
            </w:r>
          </w:p>
        </w:tc>
        <w:tc>
          <w:tcPr>
            <w:tcW w:w="2029" w:type="dxa"/>
            <w:shd w:val="clear" w:color="auto" w:fill="auto"/>
            <w:vAlign w:val="center"/>
          </w:tcPr>
          <w:p w14:paraId="1596C2E8">
            <w:pPr>
              <w:spacing w:line="240" w:lineRule="auto"/>
              <w:jc w:val="center"/>
              <w:rPr>
                <w:rFonts w:hint="default"/>
                <w:strike w:val="0"/>
                <w:dstrike w:val="0"/>
                <w:color w:val="auto"/>
                <w:sz w:val="21"/>
                <w:szCs w:val="21"/>
                <w:highlight w:val="none"/>
                <w:vertAlign w:val="baseline"/>
                <w:lang w:val="en-US" w:eastAsia="zh-CN"/>
              </w:rPr>
            </w:pPr>
            <w:r>
              <w:rPr>
                <w:rFonts w:hint="eastAsia"/>
                <w:strike w:val="0"/>
                <w:dstrike w:val="0"/>
                <w:color w:val="auto"/>
                <w:sz w:val="21"/>
                <w:szCs w:val="21"/>
                <w:highlight w:val="none"/>
                <w:vertAlign w:val="baseline"/>
                <w:lang w:val="en-US" w:eastAsia="zh-CN"/>
              </w:rPr>
              <w:t>天然气</w:t>
            </w:r>
          </w:p>
        </w:tc>
        <w:tc>
          <w:tcPr>
            <w:tcW w:w="2943" w:type="dxa"/>
            <w:vAlign w:val="center"/>
          </w:tcPr>
          <w:p w14:paraId="7793A71A">
            <w:pPr>
              <w:spacing w:line="240" w:lineRule="auto"/>
              <w:jc w:val="center"/>
              <w:rPr>
                <w:rFonts w:hint="eastAsia" w:ascii="Times New Roman" w:hAnsi="Times New Roman" w:cs="Times New Roman"/>
                <w:strike w:val="0"/>
                <w:dstrike w:val="0"/>
                <w:color w:val="auto"/>
                <w:sz w:val="21"/>
                <w:szCs w:val="21"/>
                <w:highlight w:val="none"/>
                <w:vertAlign w:val="baseline"/>
                <w:lang w:val="en-US" w:eastAsia="zh-CN"/>
              </w:rPr>
            </w:pPr>
            <w:r>
              <w:rPr>
                <w:rFonts w:hint="eastAsia" w:ascii="Times New Roman" w:hAnsi="Times New Roman" w:cs="Times New Roman"/>
                <w:strike w:val="0"/>
                <w:dstrike w:val="0"/>
                <w:color w:val="auto"/>
                <w:sz w:val="21"/>
                <w:szCs w:val="21"/>
                <w:highlight w:val="none"/>
                <w:vertAlign w:val="baseline"/>
                <w:lang w:val="en-US" w:eastAsia="zh-CN"/>
              </w:rPr>
              <w:t>第2.1类易燃气体</w:t>
            </w:r>
          </w:p>
        </w:tc>
        <w:tc>
          <w:tcPr>
            <w:tcW w:w="2210" w:type="dxa"/>
            <w:shd w:val="clear" w:color="auto" w:fill="auto"/>
            <w:vAlign w:val="center"/>
          </w:tcPr>
          <w:p w14:paraId="51A50954">
            <w:pPr>
              <w:spacing w:line="240" w:lineRule="auto"/>
              <w:jc w:val="center"/>
              <w:rPr>
                <w:rFonts w:hint="eastAsia" w:ascii="Times New Roman" w:hAnsi="Times New Roman" w:eastAsia="宋体" w:cs="Times New Roman"/>
                <w:strike w:val="0"/>
                <w:dstrike w:val="0"/>
                <w:color w:val="auto"/>
                <w:kern w:val="2"/>
                <w:sz w:val="21"/>
                <w:szCs w:val="21"/>
                <w:highlight w:val="none"/>
                <w:vertAlign w:val="baseline"/>
                <w:lang w:val="en-US" w:eastAsia="zh-CN" w:bidi="ar-SA"/>
              </w:rPr>
            </w:pPr>
            <w:r>
              <w:rPr>
                <w:rFonts w:hint="eastAsia"/>
                <w:strike w:val="0"/>
                <w:dstrike w:val="0"/>
                <w:color w:val="auto"/>
                <w:sz w:val="21"/>
                <w:szCs w:val="21"/>
                <w:highlight w:val="none"/>
                <w:vertAlign w:val="baseline"/>
                <w:lang w:val="en-US" w:eastAsia="zh-CN"/>
              </w:rPr>
              <w:t>易燃、易爆、有毒</w:t>
            </w:r>
          </w:p>
        </w:tc>
      </w:tr>
    </w:tbl>
    <w:p w14:paraId="24962C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sz w:val="24"/>
          <w:szCs w:val="32"/>
          <w:highlight w:val="none"/>
          <w:lang w:val="en-US" w:eastAsia="zh-CN"/>
        </w:rPr>
      </w:pPr>
      <w:r>
        <w:rPr>
          <w:rFonts w:hint="eastAsia" w:ascii="Times New Roman" w:hAnsi="Times New Roman" w:cs="Times New Roman"/>
          <w:strike w:val="0"/>
          <w:dstrike w:val="0"/>
          <w:color w:val="auto"/>
          <w:sz w:val="24"/>
          <w:szCs w:val="32"/>
          <w:highlight w:val="none"/>
          <w:lang w:val="en-US" w:eastAsia="zh-CN"/>
        </w:rPr>
        <w:t>（1）易燃性</w:t>
      </w:r>
    </w:p>
    <w:p w14:paraId="420BEA15">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trike w:val="0"/>
          <w:dstrike w:val="0"/>
          <w:color w:val="auto"/>
          <w:sz w:val="24"/>
          <w:szCs w:val="32"/>
          <w:highlight w:val="none"/>
          <w:lang w:val="en-US" w:eastAsia="zh-CN"/>
        </w:rPr>
      </w:pPr>
      <w:r>
        <w:rPr>
          <w:rFonts w:hint="eastAsia" w:ascii="Times New Roman" w:hAnsi="Times New Roman" w:cs="Times New Roman"/>
          <w:strike w:val="0"/>
          <w:dstrike w:val="0"/>
          <w:color w:val="auto"/>
          <w:sz w:val="24"/>
          <w:szCs w:val="32"/>
          <w:highlight w:val="none"/>
          <w:lang w:val="en-US" w:eastAsia="zh-CN"/>
        </w:rPr>
        <w:t>汽油、柴油是一种易挥发的物质，而挥发出的</w:t>
      </w:r>
      <w:bookmarkStart w:id="167" w:name="OfficeAI_Add_1_20"/>
      <w:r>
        <w:rPr>
          <w:rFonts w:hint="eastAsia" w:cs="Times New Roman"/>
          <w:strike w:val="0"/>
          <w:dstrike w:val="0"/>
          <w:color w:val="auto"/>
          <w:sz w:val="24"/>
          <w:szCs w:val="32"/>
          <w:highlight w:val="none"/>
          <w:lang w:val="en-US" w:eastAsia="zh-CN"/>
        </w:rPr>
        <w:t>“</w:t>
      </w:r>
      <w:bookmarkEnd w:id="167"/>
      <w:r>
        <w:rPr>
          <w:rFonts w:hint="eastAsia" w:ascii="Times New Roman" w:hAnsi="Times New Roman" w:cs="Times New Roman"/>
          <w:strike w:val="0"/>
          <w:dstrike w:val="0"/>
          <w:color w:val="auto"/>
          <w:sz w:val="24"/>
          <w:szCs w:val="32"/>
          <w:highlight w:val="none"/>
          <w:lang w:val="en-US" w:eastAsia="zh-CN"/>
        </w:rPr>
        <w:t>其他</w:t>
      </w:r>
      <w:bookmarkStart w:id="168" w:name="OfficeAI_Add_1_23"/>
      <w:r>
        <w:rPr>
          <w:rFonts w:hint="eastAsia" w:cs="Times New Roman"/>
          <w:strike w:val="0"/>
          <w:dstrike w:val="0"/>
          <w:color w:val="auto"/>
          <w:sz w:val="24"/>
          <w:szCs w:val="32"/>
          <w:highlight w:val="none"/>
          <w:lang w:val="en-US" w:eastAsia="zh-CN"/>
        </w:rPr>
        <w:t>”</w:t>
      </w:r>
      <w:bookmarkEnd w:id="168"/>
      <w:r>
        <w:rPr>
          <w:rFonts w:hint="eastAsia" w:ascii="Times New Roman" w:hAnsi="Times New Roman" w:cs="Times New Roman"/>
          <w:strike w:val="0"/>
          <w:dstrike w:val="0"/>
          <w:color w:val="auto"/>
          <w:sz w:val="24"/>
          <w:szCs w:val="32"/>
          <w:highlight w:val="none"/>
          <w:lang w:val="en-US" w:eastAsia="zh-CN"/>
        </w:rPr>
        <w:t>又具有可燃性，当环境中遇到有空气或氧气时，若有火源存在（如明火、撞击火花、静电火花、电火花、雷击等）就可能引起燃烧</w:t>
      </w:r>
      <w:bookmarkStart w:id="169" w:name="OfficeAI_Add_1_82"/>
      <w:r>
        <w:rPr>
          <w:rFonts w:hint="eastAsia" w:cs="Times New Roman"/>
          <w:strike w:val="0"/>
          <w:dstrike w:val="0"/>
          <w:color w:val="auto"/>
          <w:sz w:val="24"/>
          <w:szCs w:val="32"/>
          <w:highlight w:val="none"/>
          <w:lang w:val="en-US" w:eastAsia="zh-CN"/>
        </w:rPr>
        <w:t>。</w:t>
      </w:r>
      <w:bookmarkEnd w:id="169"/>
      <w:r>
        <w:rPr>
          <w:rFonts w:hint="eastAsia" w:ascii="Times New Roman" w:hAnsi="Times New Roman" w:cs="Times New Roman"/>
          <w:strike w:val="0"/>
          <w:dstrike w:val="0"/>
          <w:color w:val="auto"/>
          <w:sz w:val="24"/>
          <w:szCs w:val="32"/>
          <w:highlight w:val="none"/>
          <w:lang w:val="en-US" w:eastAsia="zh-CN"/>
        </w:rPr>
        <w:t>这种燃烧主要是蒸汽燃烧，即由汽油柴油蒸发出的气体燃烧，而燃烧所产生的热量，又进一步加热成品油，从而加速了成品油的进一步挥发，使燃烧继续</w:t>
      </w:r>
      <w:bookmarkStart w:id="170" w:name="OfficeAI_Add_1_151"/>
      <w:r>
        <w:rPr>
          <w:rFonts w:hint="eastAsia" w:cs="Times New Roman"/>
          <w:strike w:val="0"/>
          <w:dstrike w:val="0"/>
          <w:color w:val="auto"/>
          <w:sz w:val="24"/>
          <w:szCs w:val="32"/>
          <w:highlight w:val="none"/>
          <w:lang w:eastAsia="zh-CN"/>
        </w:rPr>
        <w:t>、</w:t>
      </w:r>
      <w:bookmarkEnd w:id="170"/>
      <w:r>
        <w:rPr>
          <w:rFonts w:hint="eastAsia" w:ascii="Times New Roman" w:hAnsi="Times New Roman" w:cs="Times New Roman"/>
          <w:strike w:val="0"/>
          <w:dstrike w:val="0"/>
          <w:color w:val="auto"/>
          <w:sz w:val="24"/>
          <w:szCs w:val="32"/>
          <w:highlight w:val="none"/>
          <w:lang w:val="en-US" w:eastAsia="zh-CN"/>
        </w:rPr>
        <w:t>蔓延和扩散。石油及其燃烧所产生的温度和放出的热量非常高。</w:t>
      </w:r>
      <w:r>
        <w:rPr>
          <w:rFonts w:hint="eastAsia" w:ascii="Times New Roman" w:hAnsi="Times New Roman" w:eastAsia="宋体" w:cs="Times New Roman"/>
          <w:bCs w:val="0"/>
          <w:strike w:val="0"/>
          <w:dstrike w:val="0"/>
          <w:color w:val="auto"/>
          <w:kern w:val="2"/>
          <w:sz w:val="24"/>
          <w:szCs w:val="32"/>
          <w:highlight w:val="none"/>
          <w:lang w:val="en-US" w:eastAsia="zh-CN" w:bidi="ar-SA"/>
        </w:rPr>
        <w:t>天然气属于甲类火灾危险物质。对于石油蒸汽、天然气常常在作业场所或储存区弥散、扩散或在低洼处聚集，在空气中只</w:t>
      </w:r>
      <w:bookmarkStart w:id="171" w:name="OfficeAI_Add_1_234"/>
      <w:r>
        <w:rPr>
          <w:rFonts w:hint="eastAsia" w:cs="Times New Roman"/>
          <w:bCs w:val="0"/>
          <w:strike w:val="0"/>
          <w:dstrike w:val="0"/>
          <w:color w:val="auto"/>
          <w:kern w:val="2"/>
          <w:sz w:val="24"/>
          <w:szCs w:val="32"/>
          <w:highlight w:val="none"/>
          <w:lang w:val="en-US" w:eastAsia="zh-CN" w:bidi="ar-SA"/>
        </w:rPr>
        <w:t>需</w:t>
      </w:r>
      <w:bookmarkEnd w:id="171"/>
      <w:r>
        <w:rPr>
          <w:rFonts w:hint="eastAsia" w:ascii="Times New Roman" w:hAnsi="Times New Roman" w:eastAsia="宋体" w:cs="Times New Roman"/>
          <w:bCs w:val="0"/>
          <w:strike w:val="0"/>
          <w:dstrike w:val="0"/>
          <w:color w:val="auto"/>
          <w:kern w:val="2"/>
          <w:sz w:val="24"/>
          <w:szCs w:val="32"/>
          <w:highlight w:val="none"/>
          <w:lang w:val="en-US" w:eastAsia="zh-CN" w:bidi="ar-SA"/>
        </w:rPr>
        <w:t>较小的点燃能量就会燃烧，因此具有较大的火灾危险性。</w:t>
      </w:r>
    </w:p>
    <w:p w14:paraId="1B1820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sz w:val="24"/>
          <w:szCs w:val="32"/>
          <w:highlight w:val="none"/>
          <w:lang w:val="en-US" w:eastAsia="zh-CN"/>
        </w:rPr>
      </w:pPr>
      <w:r>
        <w:rPr>
          <w:rFonts w:hint="eastAsia" w:ascii="Times New Roman" w:hAnsi="Times New Roman" w:cs="Times New Roman"/>
          <w:strike w:val="0"/>
          <w:dstrike w:val="0"/>
          <w:color w:val="auto"/>
          <w:sz w:val="24"/>
          <w:szCs w:val="32"/>
          <w:highlight w:val="none"/>
          <w:lang w:val="en-US" w:eastAsia="zh-CN"/>
        </w:rPr>
        <w:t>（2）易爆性</w:t>
      </w:r>
    </w:p>
    <w:p w14:paraId="29E63C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sz w:val="24"/>
          <w:szCs w:val="32"/>
          <w:highlight w:val="none"/>
          <w:lang w:val="en-US" w:eastAsia="zh-CN"/>
        </w:rPr>
      </w:pPr>
      <w:r>
        <w:rPr>
          <w:rFonts w:hint="eastAsia" w:ascii="Times New Roman" w:hAnsi="Times New Roman" w:cs="Times New Roman"/>
          <w:strike w:val="0"/>
          <w:dstrike w:val="0"/>
          <w:color w:val="auto"/>
          <w:sz w:val="24"/>
          <w:szCs w:val="32"/>
          <w:highlight w:val="none"/>
          <w:lang w:val="en-US" w:eastAsia="zh-CN"/>
        </w:rPr>
        <w:t>储罐中或泄漏的油品一遇到明火就会发生火灾、爆炸的危险。</w:t>
      </w:r>
      <w:r>
        <w:rPr>
          <w:rFonts w:hint="eastAsia" w:ascii="Times New Roman" w:hAnsi="Times New Roman" w:eastAsia="宋体" w:cs="Times New Roman"/>
          <w:bCs w:val="0"/>
          <w:strike w:val="0"/>
          <w:dstrike w:val="0"/>
          <w:color w:val="auto"/>
          <w:kern w:val="2"/>
          <w:sz w:val="24"/>
          <w:szCs w:val="32"/>
          <w:highlight w:val="none"/>
          <w:lang w:val="en-US" w:eastAsia="zh-CN" w:bidi="ar-SA"/>
        </w:rPr>
        <w:t>天然气与空气组成混合气体，其浓度处于一定范围时，</w:t>
      </w:r>
      <w:bookmarkStart w:id="172" w:name="OfficeAI_Add_3_52"/>
      <w:r>
        <w:rPr>
          <w:rFonts w:hint="eastAsia" w:cs="Times New Roman"/>
          <w:bCs w:val="0"/>
          <w:strike w:val="0"/>
          <w:dstrike w:val="0"/>
          <w:color w:val="auto"/>
          <w:kern w:val="2"/>
          <w:sz w:val="24"/>
          <w:szCs w:val="32"/>
          <w:highlight w:val="none"/>
          <w:lang w:val="en-US" w:eastAsia="zh-CN" w:bidi="ar-SA"/>
        </w:rPr>
        <w:t>遇</w:t>
      </w:r>
      <w:bookmarkEnd w:id="172"/>
      <w:r>
        <w:rPr>
          <w:rFonts w:hint="eastAsia" w:ascii="Times New Roman" w:hAnsi="Times New Roman" w:eastAsia="宋体" w:cs="Times New Roman"/>
          <w:bCs w:val="0"/>
          <w:strike w:val="0"/>
          <w:dstrike w:val="0"/>
          <w:color w:val="auto"/>
          <w:kern w:val="2"/>
          <w:sz w:val="24"/>
          <w:szCs w:val="32"/>
          <w:highlight w:val="none"/>
          <w:lang w:val="en-US" w:eastAsia="zh-CN" w:bidi="ar-SA"/>
        </w:rPr>
        <w:t>火即发生爆炸。天然气（甲烷）的爆炸极限范围为5.3～15%，爆炸浓度极限范围愈宽，爆炸下限浓度值越低，物质爆炸危险性就越大</w:t>
      </w:r>
      <w:r>
        <w:rPr>
          <w:rFonts w:hint="eastAsia" w:ascii="Times New Roman" w:hAnsi="Times New Roman" w:cs="Times New Roman"/>
          <w:bCs w:val="0"/>
          <w:strike w:val="0"/>
          <w:dstrike w:val="0"/>
          <w:color w:val="auto"/>
          <w:kern w:val="2"/>
          <w:sz w:val="24"/>
          <w:szCs w:val="32"/>
          <w:highlight w:val="none"/>
          <w:lang w:val="en-US" w:eastAsia="zh-CN" w:bidi="ar-SA"/>
        </w:rPr>
        <w:t>。</w:t>
      </w:r>
    </w:p>
    <w:p w14:paraId="66087C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sz w:val="24"/>
          <w:szCs w:val="32"/>
          <w:highlight w:val="none"/>
          <w:lang w:val="en-US" w:eastAsia="zh-CN"/>
        </w:rPr>
      </w:pPr>
      <w:r>
        <w:rPr>
          <w:rFonts w:hint="eastAsia" w:ascii="Times New Roman" w:hAnsi="Times New Roman" w:cs="Times New Roman"/>
          <w:strike w:val="0"/>
          <w:dstrike w:val="0"/>
          <w:color w:val="auto"/>
          <w:sz w:val="24"/>
          <w:szCs w:val="32"/>
          <w:highlight w:val="none"/>
          <w:lang w:val="en-US" w:eastAsia="zh-CN"/>
        </w:rPr>
        <w:t>（3）易扩散性</w:t>
      </w:r>
    </w:p>
    <w:p w14:paraId="1CE8E4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sz w:val="24"/>
          <w:szCs w:val="32"/>
          <w:highlight w:val="none"/>
          <w:lang w:val="en-US" w:eastAsia="zh-CN"/>
        </w:rPr>
      </w:pPr>
      <w:r>
        <w:rPr>
          <w:rFonts w:hint="eastAsia" w:ascii="Times New Roman" w:hAnsi="Times New Roman" w:cs="Times New Roman"/>
          <w:strike w:val="0"/>
          <w:dstrike w:val="0"/>
          <w:color w:val="auto"/>
          <w:sz w:val="24"/>
          <w:szCs w:val="32"/>
          <w:highlight w:val="none"/>
          <w:lang w:val="en-US" w:eastAsia="zh-CN"/>
        </w:rPr>
        <w:t>成品油、天然气的泄漏不仅会影响加油站的正常营运，还会污染周围环境，甚至使人中毒，更为严重的是增加了火灾爆炸的危险。当储罐腐蚀或装卸、加油系统密封不严时，极易发生泄漏，遇到明火极易引起火灾或爆炸。</w:t>
      </w:r>
    </w:p>
    <w:p w14:paraId="5BEF59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sz w:val="24"/>
          <w:szCs w:val="32"/>
          <w:highlight w:val="none"/>
          <w:lang w:val="en-US" w:eastAsia="zh-CN"/>
        </w:rPr>
      </w:pPr>
      <w:r>
        <w:rPr>
          <w:rFonts w:hint="eastAsia" w:ascii="Times New Roman" w:hAnsi="Times New Roman" w:cs="Times New Roman"/>
          <w:strike w:val="0"/>
          <w:dstrike w:val="0"/>
          <w:color w:val="auto"/>
          <w:sz w:val="24"/>
          <w:szCs w:val="32"/>
          <w:highlight w:val="none"/>
          <w:lang w:val="en-US" w:eastAsia="zh-CN"/>
        </w:rPr>
        <w:t>（4）毒害性</w:t>
      </w:r>
    </w:p>
    <w:p w14:paraId="52BC32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trike w:val="0"/>
          <w:dstrike w:val="0"/>
          <w:color w:val="auto"/>
          <w:sz w:val="24"/>
          <w:szCs w:val="32"/>
          <w:highlight w:val="none"/>
          <w:lang w:eastAsia="zh-CN"/>
        </w:rPr>
      </w:pPr>
      <w:r>
        <w:rPr>
          <w:rFonts w:hint="eastAsia" w:ascii="Times New Roman" w:hAnsi="Times New Roman" w:cs="Times New Roman"/>
          <w:strike w:val="0"/>
          <w:dstrike w:val="0"/>
          <w:color w:val="auto"/>
          <w:sz w:val="24"/>
          <w:szCs w:val="32"/>
          <w:highlight w:val="none"/>
          <w:lang w:val="en-US" w:eastAsia="zh-CN"/>
        </w:rPr>
        <w:t>成品油属有毒物质，人体吸入高浓度的挥发气可麻醉神经，使人的神经系统受到伤害，严重的可引起强直性痉挛，使人中毒。</w:t>
      </w:r>
      <w:r>
        <w:rPr>
          <w:rFonts w:hint="eastAsia" w:ascii="Times New Roman" w:hAnsi="Times New Roman" w:eastAsia="宋体" w:cs="Times New Roman"/>
          <w:bCs w:val="0"/>
          <w:strike w:val="0"/>
          <w:dstrike w:val="0"/>
          <w:color w:val="auto"/>
          <w:kern w:val="2"/>
          <w:sz w:val="24"/>
          <w:szCs w:val="32"/>
          <w:highlight w:val="none"/>
          <w:lang w:val="en-US" w:eastAsia="zh-CN" w:bidi="ar-SA"/>
        </w:rPr>
        <w:t>天然气为烃类混合物，属低毒性物质，但长期接触可导致神经衰弱综合症。甲烷属“单纯窒息性”气体，高浓度时因缺氧窒息而引起中毒，空气中甲烷浓度达到25～30％时出现头晕，呼吸加速、运动失调</w:t>
      </w:r>
      <w:r>
        <w:rPr>
          <w:rFonts w:hint="eastAsia" w:ascii="Times New Roman" w:hAnsi="Times New Roman" w:cs="Times New Roman"/>
          <w:bCs w:val="0"/>
          <w:strike w:val="0"/>
          <w:dstrike w:val="0"/>
          <w:color w:val="auto"/>
          <w:kern w:val="2"/>
          <w:sz w:val="24"/>
          <w:szCs w:val="32"/>
          <w:highlight w:val="none"/>
          <w:lang w:val="en-US" w:eastAsia="zh-CN" w:bidi="ar-SA"/>
        </w:rPr>
        <w:t>。</w:t>
      </w:r>
    </w:p>
    <w:p w14:paraId="0BCF3C8F">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2"/>
        <w:rPr>
          <w:rFonts w:hint="default" w:ascii="Times New Roman" w:hAnsi="Times New Roman" w:eastAsia="宋体"/>
          <w:strike w:val="0"/>
          <w:dstrike w:val="0"/>
          <w:color w:val="auto"/>
          <w:sz w:val="24"/>
          <w:szCs w:val="32"/>
          <w:highlight w:val="none"/>
          <w:lang w:val="en-US" w:eastAsia="zh-CN"/>
        </w:rPr>
      </w:pPr>
      <w:r>
        <w:rPr>
          <w:rFonts w:hint="eastAsia" w:ascii="Times New Roman" w:hAnsi="Times New Roman" w:eastAsia="宋体"/>
          <w:strike w:val="0"/>
          <w:dstrike w:val="0"/>
          <w:color w:val="auto"/>
          <w:sz w:val="24"/>
          <w:szCs w:val="32"/>
          <w:highlight w:val="none"/>
          <w:lang w:val="en-US" w:eastAsia="zh-CN"/>
        </w:rPr>
        <w:t>5.1.2生产系统危险性识别</w:t>
      </w:r>
    </w:p>
    <w:p w14:paraId="24FBC36B">
      <w:pPr>
        <w:spacing w:line="360" w:lineRule="auto"/>
        <w:ind w:firstLine="480" w:firstLineChars="200"/>
        <w:rPr>
          <w:rFonts w:hint="eastAsia" w:ascii="Times New Roman" w:hAnsi="Times New Roman" w:cs="Times New Roman"/>
          <w:strike w:val="0"/>
          <w:dstrike w:val="0"/>
          <w:color w:val="auto"/>
          <w:sz w:val="24"/>
          <w:szCs w:val="24"/>
          <w:highlight w:val="none"/>
          <w:lang w:val="en-US" w:eastAsia="zh-CN"/>
        </w:rPr>
      </w:pPr>
      <w:r>
        <w:rPr>
          <w:rFonts w:hint="eastAsia"/>
          <w:strike w:val="0"/>
          <w:dstrike w:val="0"/>
          <w:color w:val="auto"/>
          <w:sz w:val="24"/>
          <w:szCs w:val="24"/>
          <w:highlight w:val="none"/>
        </w:rPr>
        <w:t>本项目风险类型主要为泄漏及由于泄漏引起的火灾和爆炸，涉及</w:t>
      </w:r>
      <w:r>
        <w:rPr>
          <w:rFonts w:hint="eastAsia"/>
          <w:strike w:val="0"/>
          <w:dstrike w:val="0"/>
          <w:color w:val="auto"/>
          <w:sz w:val="24"/>
          <w:szCs w:val="24"/>
          <w:highlight w:val="none"/>
          <w:lang w:val="en-US" w:eastAsia="zh-CN"/>
        </w:rPr>
        <w:t>的</w:t>
      </w:r>
      <w:r>
        <w:rPr>
          <w:rFonts w:hint="eastAsia"/>
          <w:strike w:val="0"/>
          <w:dstrike w:val="0"/>
          <w:color w:val="auto"/>
          <w:sz w:val="24"/>
          <w:szCs w:val="24"/>
          <w:highlight w:val="none"/>
        </w:rPr>
        <w:t>主要设施为</w:t>
      </w:r>
      <w:r>
        <w:rPr>
          <w:rFonts w:hint="eastAsia"/>
          <w:strike w:val="0"/>
          <w:dstrike w:val="0"/>
          <w:color w:val="auto"/>
          <w:sz w:val="24"/>
          <w:szCs w:val="24"/>
          <w:highlight w:val="none"/>
          <w:lang w:val="en-US" w:eastAsia="zh-CN"/>
        </w:rPr>
        <w:t>输送</w:t>
      </w:r>
      <w:r>
        <w:rPr>
          <w:rFonts w:hint="eastAsia"/>
          <w:strike w:val="0"/>
          <w:dstrike w:val="0"/>
          <w:color w:val="auto"/>
          <w:sz w:val="24"/>
          <w:szCs w:val="24"/>
          <w:highlight w:val="none"/>
        </w:rPr>
        <w:t>管道</w:t>
      </w:r>
      <w:r>
        <w:rPr>
          <w:rFonts w:hint="eastAsia"/>
          <w:strike w:val="0"/>
          <w:dstrike w:val="0"/>
          <w:color w:val="auto"/>
          <w:sz w:val="24"/>
          <w:szCs w:val="24"/>
          <w:highlight w:val="none"/>
          <w:lang w:val="en-US" w:eastAsia="zh-CN"/>
        </w:rPr>
        <w:t>、储油罐区、加油区、加</w:t>
      </w:r>
      <w:r>
        <w:rPr>
          <w:rFonts w:hint="eastAsia" w:ascii="Times New Roman" w:hAnsi="Times New Roman" w:cs="Times New Roman"/>
          <w:strike w:val="0"/>
          <w:dstrike w:val="0"/>
          <w:color w:val="auto"/>
          <w:sz w:val="24"/>
          <w:szCs w:val="24"/>
          <w:highlight w:val="none"/>
          <w:lang w:val="en-US" w:eastAsia="zh-CN"/>
        </w:rPr>
        <w:t>气区、充电/换电预留位。</w:t>
      </w:r>
    </w:p>
    <w:p w14:paraId="79315895">
      <w:pPr>
        <w:spacing w:line="360" w:lineRule="auto"/>
        <w:ind w:firstLine="480" w:firstLineChars="200"/>
        <w:rPr>
          <w:rFonts w:hint="eastAsia" w:ascii="Times New Roman" w:hAnsi="Times New Roman" w:cs="Times New Roman"/>
          <w:strike w:val="0"/>
          <w:dstrike w:val="0"/>
          <w:color w:val="auto"/>
          <w:sz w:val="24"/>
          <w:szCs w:val="24"/>
          <w:highlight w:val="none"/>
          <w:lang w:val="en-US" w:eastAsia="zh-CN"/>
        </w:rPr>
      </w:pPr>
      <w:r>
        <w:rPr>
          <w:rFonts w:hint="eastAsia" w:ascii="Times New Roman" w:hAnsi="Times New Roman" w:cs="Times New Roman"/>
          <w:strike w:val="0"/>
          <w:dstrike w:val="0"/>
          <w:color w:val="auto"/>
          <w:sz w:val="24"/>
          <w:szCs w:val="24"/>
          <w:highlight w:val="none"/>
          <w:lang w:val="en-US" w:eastAsia="zh-CN"/>
        </w:rPr>
        <w:t>（1）管道：本项目设置有天然气输送管道和汽油、柴油输送管道。可能发生的环境风险事故主要为泄漏、火灾、爆炸事故。</w:t>
      </w:r>
    </w:p>
    <w:p w14:paraId="1FED7C14">
      <w:pPr>
        <w:spacing w:line="360" w:lineRule="auto"/>
        <w:ind w:firstLine="480" w:firstLineChars="200"/>
        <w:rPr>
          <w:rFonts w:hint="eastAsia" w:ascii="Times New Roman" w:hAnsi="Times New Roman" w:cs="Times New Roman"/>
          <w:strike w:val="0"/>
          <w:dstrike w:val="0"/>
          <w:color w:val="auto"/>
          <w:sz w:val="24"/>
          <w:szCs w:val="24"/>
          <w:highlight w:val="none"/>
          <w:lang w:val="en-US" w:eastAsia="zh-CN"/>
        </w:rPr>
      </w:pPr>
      <w:r>
        <w:rPr>
          <w:rFonts w:hint="eastAsia" w:ascii="Times New Roman" w:hAnsi="Times New Roman" w:cs="Times New Roman"/>
          <w:strike w:val="0"/>
          <w:dstrike w:val="0"/>
          <w:color w:val="auto"/>
          <w:sz w:val="24"/>
          <w:szCs w:val="24"/>
          <w:highlight w:val="none"/>
          <w:lang w:val="en-US" w:eastAsia="zh-CN"/>
        </w:rPr>
        <w:t>管道发生事故的主要原因包括：①输送管道管沟敷设未用黄沙填实，防腐处理不规范，对输送管道不注意日常维修养护，因外露被腐蚀引起渗漏有引起火灾的危险。②若输送管道末端和分支处防静电接地失效，易引起静电积聚放电，在油品/天然气泄漏时，有引起火灾的危险。</w:t>
      </w:r>
    </w:p>
    <w:p w14:paraId="16255A88">
      <w:pPr>
        <w:spacing w:line="360" w:lineRule="auto"/>
        <w:ind w:firstLine="480" w:firstLineChars="200"/>
        <w:rPr>
          <w:strike w:val="0"/>
          <w:dstrike w:val="0"/>
          <w:color w:val="auto"/>
          <w:sz w:val="24"/>
          <w:szCs w:val="24"/>
          <w:highlight w:val="none"/>
        </w:rPr>
      </w:pPr>
      <w:r>
        <w:rPr>
          <w:rFonts w:hint="eastAsia" w:ascii="Times New Roman" w:hAnsi="Times New Roman" w:cs="Times New Roman"/>
          <w:strike w:val="0"/>
          <w:dstrike w:val="0"/>
          <w:color w:val="auto"/>
          <w:sz w:val="24"/>
          <w:szCs w:val="24"/>
          <w:highlight w:val="none"/>
          <w:lang w:val="en-US" w:eastAsia="zh-CN"/>
        </w:rPr>
        <w:t>（2）储油罐区及加油加气区：本项目设置1个</w:t>
      </w:r>
      <w:r>
        <w:rPr>
          <w:rFonts w:hint="eastAsia"/>
          <w:strike w:val="0"/>
          <w:dstrike w:val="0"/>
          <w:color w:val="auto"/>
          <w:sz w:val="24"/>
          <w:szCs w:val="24"/>
          <w:highlight w:val="none"/>
        </w:rPr>
        <w:t>储油罐区、1个储气罐区</w:t>
      </w:r>
      <w:r>
        <w:rPr>
          <w:rFonts w:hint="eastAsia"/>
          <w:strike w:val="0"/>
          <w:dstrike w:val="0"/>
          <w:color w:val="auto"/>
          <w:sz w:val="24"/>
          <w:szCs w:val="24"/>
          <w:highlight w:val="none"/>
          <w:lang w:eastAsia="zh-CN"/>
        </w:rPr>
        <w:t>、</w:t>
      </w:r>
      <w:r>
        <w:rPr>
          <w:rFonts w:hint="eastAsia"/>
          <w:strike w:val="0"/>
          <w:dstrike w:val="0"/>
          <w:color w:val="auto"/>
          <w:sz w:val="24"/>
          <w:szCs w:val="24"/>
          <w:highlight w:val="none"/>
          <w:lang w:val="en-US" w:eastAsia="zh-CN"/>
        </w:rPr>
        <w:t>1个加油区、1个加气区</w:t>
      </w:r>
      <w:r>
        <w:rPr>
          <w:rFonts w:hint="eastAsia"/>
          <w:strike w:val="0"/>
          <w:dstrike w:val="0"/>
          <w:color w:val="auto"/>
          <w:sz w:val="24"/>
          <w:szCs w:val="24"/>
          <w:highlight w:val="none"/>
        </w:rPr>
        <w:t>，</w:t>
      </w:r>
      <w:r>
        <w:rPr>
          <w:strike w:val="0"/>
          <w:dstrike w:val="0"/>
          <w:color w:val="auto"/>
          <w:sz w:val="24"/>
          <w:szCs w:val="24"/>
          <w:highlight w:val="none"/>
        </w:rPr>
        <w:t>储存的风险物质主要包括：汽油、柴油、</w:t>
      </w:r>
      <w:r>
        <w:rPr>
          <w:rFonts w:hint="eastAsia"/>
          <w:strike w:val="0"/>
          <w:dstrike w:val="0"/>
          <w:color w:val="auto"/>
          <w:sz w:val="24"/>
          <w:szCs w:val="24"/>
          <w:highlight w:val="none"/>
          <w:lang w:val="en-US" w:eastAsia="zh-CN"/>
        </w:rPr>
        <w:t>天然气</w:t>
      </w:r>
      <w:r>
        <w:rPr>
          <w:strike w:val="0"/>
          <w:dstrike w:val="0"/>
          <w:color w:val="auto"/>
          <w:sz w:val="24"/>
          <w:szCs w:val="24"/>
          <w:highlight w:val="none"/>
        </w:rPr>
        <w:t>，储存过程中可能发生的环境风险事故主要为泄漏</w:t>
      </w:r>
      <w:r>
        <w:rPr>
          <w:rFonts w:hint="eastAsia"/>
          <w:strike w:val="0"/>
          <w:dstrike w:val="0"/>
          <w:color w:val="auto"/>
          <w:sz w:val="24"/>
          <w:szCs w:val="24"/>
          <w:highlight w:val="none"/>
          <w:lang w:eastAsia="zh-CN"/>
        </w:rPr>
        <w:t>、</w:t>
      </w:r>
      <w:r>
        <w:rPr>
          <w:rFonts w:hint="eastAsia"/>
          <w:strike w:val="0"/>
          <w:dstrike w:val="0"/>
          <w:color w:val="auto"/>
          <w:sz w:val="24"/>
          <w:szCs w:val="24"/>
          <w:highlight w:val="none"/>
          <w:lang w:val="en-US" w:eastAsia="zh-CN"/>
        </w:rPr>
        <w:t>火灾、爆炸</w:t>
      </w:r>
      <w:r>
        <w:rPr>
          <w:strike w:val="0"/>
          <w:dstrike w:val="0"/>
          <w:color w:val="auto"/>
          <w:sz w:val="24"/>
          <w:szCs w:val="24"/>
          <w:highlight w:val="none"/>
        </w:rPr>
        <w:t>事故。</w:t>
      </w:r>
    </w:p>
    <w:p w14:paraId="151B6E8B">
      <w:pPr>
        <w:spacing w:line="360" w:lineRule="auto"/>
        <w:ind w:firstLine="480" w:firstLineChars="200"/>
        <w:rPr>
          <w:strike w:val="0"/>
          <w:dstrike w:val="0"/>
          <w:color w:val="auto"/>
          <w:sz w:val="24"/>
          <w:szCs w:val="24"/>
          <w:highlight w:val="none"/>
        </w:rPr>
      </w:pPr>
      <w:r>
        <w:rPr>
          <w:rFonts w:hint="eastAsia"/>
          <w:strike w:val="0"/>
          <w:dstrike w:val="0"/>
          <w:color w:val="auto"/>
          <w:sz w:val="24"/>
          <w:szCs w:val="24"/>
          <w:highlight w:val="none"/>
          <w:lang w:val="en-US" w:eastAsia="zh-CN"/>
        </w:rPr>
        <w:t>储油罐区</w:t>
      </w:r>
      <w:r>
        <w:rPr>
          <w:strike w:val="0"/>
          <w:dstrike w:val="0"/>
          <w:color w:val="auto"/>
          <w:sz w:val="24"/>
          <w:szCs w:val="24"/>
          <w:highlight w:val="none"/>
        </w:rPr>
        <w:t>发生事故的主要原因有如下几点：①储罐制造缺陷或者安装不符合要求；②储罐受热或者保温失效，罐内介质温度升高而超压；③储罐液位指示失灵，高液位报警失效或误操作造成超载；④储罐安全阀等安全装置缺少或失效；⑤储罐无超越报警或者报警装置失效；⑥储罐未采取防雷有效保护措施；⑦系统停电或者温度控制系统失效、操作事物等原因，使介质温度升高，而引起物理爆炸。</w:t>
      </w:r>
    </w:p>
    <w:p w14:paraId="37654F36">
      <w:pPr>
        <w:spacing w:line="360" w:lineRule="auto"/>
        <w:ind w:firstLine="480" w:firstLineChars="200"/>
        <w:rPr>
          <w:rFonts w:hint="eastAsia"/>
          <w:strike w:val="0"/>
          <w:dstrike w:val="0"/>
          <w:color w:val="auto"/>
          <w:sz w:val="24"/>
          <w:szCs w:val="24"/>
          <w:highlight w:val="none"/>
          <w:lang w:val="en-US" w:eastAsia="zh-CN"/>
        </w:rPr>
      </w:pPr>
      <w:r>
        <w:rPr>
          <w:rFonts w:hint="eastAsia"/>
          <w:strike w:val="0"/>
          <w:dstrike w:val="0"/>
          <w:color w:val="auto"/>
          <w:sz w:val="24"/>
          <w:szCs w:val="24"/>
          <w:highlight w:val="none"/>
          <w:lang w:val="en-US" w:eastAsia="zh-CN"/>
        </w:rPr>
        <w:t>加油区、加</w:t>
      </w:r>
      <w:r>
        <w:rPr>
          <w:rFonts w:hint="eastAsia" w:ascii="Times New Roman" w:hAnsi="Times New Roman" w:cs="Times New Roman"/>
          <w:strike w:val="0"/>
          <w:dstrike w:val="0"/>
          <w:color w:val="auto"/>
          <w:sz w:val="24"/>
          <w:szCs w:val="24"/>
          <w:highlight w:val="none"/>
          <w:lang w:val="en-US" w:eastAsia="zh-CN"/>
        </w:rPr>
        <w:t>气区</w:t>
      </w:r>
      <w:r>
        <w:rPr>
          <w:strike w:val="0"/>
          <w:dstrike w:val="0"/>
          <w:color w:val="auto"/>
          <w:sz w:val="24"/>
          <w:szCs w:val="24"/>
          <w:highlight w:val="none"/>
        </w:rPr>
        <w:t>发生事故的主要原因</w:t>
      </w:r>
      <w:r>
        <w:rPr>
          <w:rFonts w:hint="eastAsia"/>
          <w:strike w:val="0"/>
          <w:dstrike w:val="0"/>
          <w:color w:val="auto"/>
          <w:sz w:val="24"/>
          <w:szCs w:val="24"/>
          <w:highlight w:val="none"/>
          <w:lang w:val="en-US" w:eastAsia="zh-CN"/>
        </w:rPr>
        <w:t>为：</w:t>
      </w:r>
      <w:r>
        <w:rPr>
          <w:rFonts w:hint="eastAsia"/>
          <w:strike w:val="0"/>
          <w:dstrike w:val="0"/>
          <w:color w:val="auto"/>
          <w:sz w:val="24"/>
          <w:szCs w:val="24"/>
          <w:highlight w:val="none"/>
          <w:lang w:eastAsia="zh-CN"/>
        </w:rPr>
        <w:t>人员</w:t>
      </w:r>
      <w:r>
        <w:rPr>
          <w:strike w:val="0"/>
          <w:dstrike w:val="0"/>
          <w:color w:val="auto"/>
          <w:sz w:val="24"/>
          <w:szCs w:val="24"/>
          <w:highlight w:val="none"/>
        </w:rPr>
        <w:t>误操作</w:t>
      </w:r>
      <w:r>
        <w:rPr>
          <w:rFonts w:hint="eastAsia"/>
          <w:strike w:val="0"/>
          <w:dstrike w:val="0"/>
          <w:color w:val="auto"/>
          <w:sz w:val="24"/>
          <w:szCs w:val="24"/>
          <w:highlight w:val="none"/>
          <w:lang w:eastAsia="zh-CN"/>
        </w:rPr>
        <w:t>、</w:t>
      </w:r>
      <w:r>
        <w:rPr>
          <w:strike w:val="0"/>
          <w:dstrike w:val="0"/>
          <w:color w:val="auto"/>
          <w:sz w:val="24"/>
          <w:szCs w:val="24"/>
          <w:highlight w:val="none"/>
        </w:rPr>
        <w:t>外力破坏</w:t>
      </w:r>
      <w:r>
        <w:rPr>
          <w:rFonts w:hint="eastAsia"/>
          <w:strike w:val="0"/>
          <w:dstrike w:val="0"/>
          <w:color w:val="auto"/>
          <w:sz w:val="24"/>
          <w:szCs w:val="24"/>
          <w:highlight w:val="none"/>
        </w:rPr>
        <w:t>等</w:t>
      </w:r>
      <w:r>
        <w:rPr>
          <w:rFonts w:hint="eastAsia"/>
          <w:strike w:val="0"/>
          <w:dstrike w:val="0"/>
          <w:color w:val="auto"/>
          <w:sz w:val="24"/>
          <w:szCs w:val="24"/>
          <w:highlight w:val="none"/>
          <w:lang w:eastAsia="zh-CN"/>
        </w:rPr>
        <w:t>引发油料</w:t>
      </w:r>
      <w:r>
        <w:rPr>
          <w:rFonts w:hint="eastAsia"/>
          <w:strike w:val="0"/>
          <w:dstrike w:val="0"/>
          <w:color w:val="auto"/>
          <w:sz w:val="24"/>
          <w:szCs w:val="24"/>
          <w:highlight w:val="none"/>
          <w:lang w:val="en-US" w:eastAsia="zh-CN"/>
        </w:rPr>
        <w:t>/天然气</w:t>
      </w:r>
      <w:r>
        <w:rPr>
          <w:rFonts w:hint="eastAsia"/>
          <w:strike w:val="0"/>
          <w:dstrike w:val="0"/>
          <w:color w:val="auto"/>
          <w:sz w:val="24"/>
          <w:szCs w:val="24"/>
          <w:highlight w:val="none"/>
          <w:lang w:eastAsia="zh-CN"/>
        </w:rPr>
        <w:t>泄漏</w:t>
      </w:r>
      <w:r>
        <w:rPr>
          <w:rFonts w:hint="eastAsia"/>
          <w:strike w:val="0"/>
          <w:dstrike w:val="0"/>
          <w:color w:val="auto"/>
          <w:sz w:val="24"/>
          <w:szCs w:val="24"/>
          <w:highlight w:val="none"/>
        </w:rPr>
        <w:t>；</w:t>
      </w:r>
      <w:r>
        <w:rPr>
          <w:strike w:val="0"/>
          <w:dstrike w:val="0"/>
          <w:color w:val="auto"/>
          <w:sz w:val="24"/>
          <w:szCs w:val="24"/>
          <w:highlight w:val="none"/>
        </w:rPr>
        <w:t>静电起火</w:t>
      </w:r>
      <w:r>
        <w:rPr>
          <w:rFonts w:hint="eastAsia"/>
          <w:strike w:val="0"/>
          <w:dstrike w:val="0"/>
          <w:color w:val="auto"/>
          <w:sz w:val="24"/>
          <w:szCs w:val="24"/>
          <w:highlight w:val="none"/>
          <w:lang w:eastAsia="zh-CN"/>
        </w:rPr>
        <w:t>、泄漏物料偶遇火星等引发火灾、爆炸</w:t>
      </w:r>
      <w:r>
        <w:rPr>
          <w:rFonts w:hint="eastAsia"/>
          <w:strike w:val="0"/>
          <w:dstrike w:val="0"/>
          <w:color w:val="auto"/>
          <w:sz w:val="24"/>
          <w:szCs w:val="24"/>
          <w:highlight w:val="none"/>
          <w:lang w:val="en-US" w:eastAsia="zh-CN"/>
        </w:rPr>
        <w:t>事故。</w:t>
      </w:r>
    </w:p>
    <w:p w14:paraId="04E60722">
      <w:pPr>
        <w:spacing w:line="360" w:lineRule="auto"/>
        <w:ind w:firstLine="480" w:firstLineChars="200"/>
        <w:rPr>
          <w:rFonts w:hint="default" w:ascii="Times New Roman" w:hAnsi="Times New Roman" w:cs="Times New Roman"/>
          <w:strike w:val="0"/>
          <w:dstrike w:val="0"/>
          <w:color w:val="auto"/>
          <w:sz w:val="24"/>
          <w:szCs w:val="24"/>
          <w:highlight w:val="none"/>
          <w:lang w:val="en-US" w:eastAsia="zh-CN"/>
        </w:rPr>
      </w:pPr>
      <w:r>
        <w:rPr>
          <w:rFonts w:hint="eastAsia" w:ascii="Times New Roman" w:hAnsi="Times New Roman" w:cs="Times New Roman"/>
          <w:strike w:val="0"/>
          <w:dstrike w:val="0"/>
          <w:color w:val="auto"/>
          <w:sz w:val="24"/>
          <w:szCs w:val="24"/>
          <w:highlight w:val="none"/>
          <w:lang w:val="en-US" w:eastAsia="zh-CN"/>
        </w:rPr>
        <w:t>加油区、加气区发生事故的主要原因有如下几点：①加油机/加气机接地因松动或锈蚀而接触不良，可引起静电大量积聚以及放点，当出现漏油、油品溢出、天然气逸散等情况异常情况下，易发生火灾。②加油枪/加气枪、加油管/加气管损坏、加油机/加气机内接管密封垫损坏均会造成物料泄漏，遇点火源可能发生燃烧、爆炸事故。</w:t>
      </w:r>
    </w:p>
    <w:p w14:paraId="687AB6BA">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strike w:val="0"/>
          <w:dstrike w:val="0"/>
          <w:color w:val="auto"/>
          <w:kern w:val="2"/>
          <w:sz w:val="24"/>
          <w:szCs w:val="32"/>
          <w:highlight w:val="none"/>
          <w:lang w:val="en-US" w:eastAsia="zh-CN" w:bidi="ar-SA"/>
        </w:rPr>
      </w:pPr>
      <w:r>
        <w:rPr>
          <w:strike w:val="0"/>
          <w:dstrike w:val="0"/>
          <w:color w:val="auto"/>
          <w:sz w:val="24"/>
          <w:szCs w:val="32"/>
          <w:highlight w:val="none"/>
        </w:rPr>
        <w:t>充电/换电</w:t>
      </w:r>
      <w:r>
        <w:rPr>
          <w:rFonts w:hint="eastAsia"/>
          <w:strike w:val="0"/>
          <w:dstrike w:val="0"/>
          <w:color w:val="auto"/>
          <w:sz w:val="24"/>
          <w:szCs w:val="32"/>
          <w:highlight w:val="none"/>
          <w:lang w:val="en-US" w:eastAsia="zh-CN"/>
        </w:rPr>
        <w:t>预留</w:t>
      </w:r>
      <w:r>
        <w:rPr>
          <w:strike w:val="0"/>
          <w:dstrike w:val="0"/>
          <w:color w:val="auto"/>
          <w:sz w:val="24"/>
          <w:szCs w:val="32"/>
          <w:highlight w:val="none"/>
        </w:rPr>
        <w:t>位</w:t>
      </w:r>
      <w:r>
        <w:rPr>
          <w:rFonts w:hint="eastAsia"/>
          <w:strike w:val="0"/>
          <w:dstrike w:val="0"/>
          <w:color w:val="auto"/>
          <w:sz w:val="24"/>
          <w:szCs w:val="32"/>
          <w:highlight w:val="none"/>
          <w:lang w:val="en-US" w:eastAsia="zh-CN"/>
        </w:rPr>
        <w:t>：</w:t>
      </w:r>
      <w:r>
        <w:rPr>
          <w:rFonts w:hint="eastAsia" w:ascii="Times New Roman" w:hAnsi="Times New Roman" w:eastAsia="宋体" w:cs="Times New Roman"/>
          <w:b w:val="0"/>
          <w:bCs/>
          <w:strike w:val="0"/>
          <w:dstrike w:val="0"/>
          <w:color w:val="auto"/>
          <w:kern w:val="2"/>
          <w:sz w:val="24"/>
          <w:szCs w:val="32"/>
          <w:highlight w:val="none"/>
          <w:lang w:val="en-US" w:eastAsia="zh-CN" w:bidi="ar-SA"/>
        </w:rPr>
        <w:t>本项目预留1处</w:t>
      </w:r>
      <w:r>
        <w:rPr>
          <w:rFonts w:ascii="Times New Roman" w:hAnsi="Times New Roman" w:eastAsia="宋体" w:cs="Times New Roman"/>
          <w:b w:val="0"/>
          <w:bCs/>
          <w:strike w:val="0"/>
          <w:dstrike w:val="0"/>
          <w:color w:val="auto"/>
          <w:kern w:val="2"/>
          <w:sz w:val="24"/>
          <w:szCs w:val="32"/>
          <w:highlight w:val="none"/>
          <w:lang w:val="en-US" w:eastAsia="zh-CN" w:bidi="ar-SA"/>
        </w:rPr>
        <w:t>充电/换电位</w:t>
      </w:r>
      <w:r>
        <w:rPr>
          <w:rFonts w:hint="eastAsia" w:ascii="Times New Roman" w:hAnsi="Times New Roman" w:eastAsia="宋体" w:cs="Times New Roman"/>
          <w:b w:val="0"/>
          <w:bCs/>
          <w:strike w:val="0"/>
          <w:dstrike w:val="0"/>
          <w:color w:val="auto"/>
          <w:kern w:val="2"/>
          <w:sz w:val="24"/>
          <w:szCs w:val="32"/>
          <w:highlight w:val="none"/>
          <w:lang w:val="en-US" w:eastAsia="zh-CN" w:bidi="ar-SA"/>
        </w:rPr>
        <w:t>，可能发生的环境风险事故</w:t>
      </w:r>
      <w:r>
        <w:rPr>
          <w:rFonts w:hint="eastAsia" w:cs="Times New Roman"/>
          <w:b w:val="0"/>
          <w:bCs/>
          <w:strike w:val="0"/>
          <w:dstrike w:val="0"/>
          <w:color w:val="auto"/>
          <w:kern w:val="2"/>
          <w:sz w:val="24"/>
          <w:szCs w:val="32"/>
          <w:highlight w:val="none"/>
          <w:lang w:val="en-US" w:eastAsia="zh-CN" w:bidi="ar-SA"/>
        </w:rPr>
        <w:t>主要</w:t>
      </w:r>
      <w:r>
        <w:rPr>
          <w:rFonts w:hint="eastAsia" w:ascii="Times New Roman" w:hAnsi="Times New Roman" w:eastAsia="宋体" w:cs="Times New Roman"/>
          <w:b w:val="0"/>
          <w:bCs/>
          <w:strike w:val="0"/>
          <w:dstrike w:val="0"/>
          <w:color w:val="auto"/>
          <w:kern w:val="2"/>
          <w:sz w:val="24"/>
          <w:szCs w:val="32"/>
          <w:highlight w:val="none"/>
          <w:lang w:val="en-US" w:eastAsia="zh-CN" w:bidi="ar-SA"/>
        </w:rPr>
        <w:t>为</w:t>
      </w:r>
      <w:r>
        <w:rPr>
          <w:rFonts w:hint="eastAsia" w:cs="Times New Roman"/>
          <w:b w:val="0"/>
          <w:bCs/>
          <w:strike w:val="0"/>
          <w:dstrike w:val="0"/>
          <w:color w:val="auto"/>
          <w:kern w:val="2"/>
          <w:sz w:val="24"/>
          <w:szCs w:val="32"/>
          <w:highlight w:val="none"/>
          <w:lang w:val="en-US" w:eastAsia="zh-CN" w:bidi="ar-SA"/>
        </w:rPr>
        <w:t>火灾、</w:t>
      </w:r>
      <w:r>
        <w:rPr>
          <w:rFonts w:hint="eastAsia" w:ascii="Times New Roman" w:hAnsi="Times New Roman" w:eastAsia="宋体" w:cs="Times New Roman"/>
          <w:b w:val="0"/>
          <w:bCs/>
          <w:strike w:val="0"/>
          <w:dstrike w:val="0"/>
          <w:color w:val="auto"/>
          <w:kern w:val="2"/>
          <w:sz w:val="24"/>
          <w:szCs w:val="32"/>
          <w:highlight w:val="none"/>
          <w:lang w:val="en-US" w:eastAsia="zh-CN" w:bidi="ar-SA"/>
        </w:rPr>
        <w:t>爆炸事故</w:t>
      </w:r>
      <w:r>
        <w:rPr>
          <w:rFonts w:hint="eastAsia" w:ascii="Times New Roman" w:cs="Times New Roman"/>
          <w:b w:val="0"/>
          <w:bCs/>
          <w:strike w:val="0"/>
          <w:dstrike w:val="0"/>
          <w:color w:val="auto"/>
          <w:kern w:val="2"/>
          <w:sz w:val="24"/>
          <w:szCs w:val="32"/>
          <w:highlight w:val="none"/>
          <w:lang w:val="en-US" w:eastAsia="zh-CN" w:bidi="ar-SA"/>
        </w:rPr>
        <w:t>。</w:t>
      </w:r>
      <w:r>
        <w:rPr>
          <w:rFonts w:hint="eastAsia" w:ascii="Times New Roman" w:hAnsi="Times New Roman" w:eastAsia="宋体" w:cs="Times New Roman"/>
          <w:b w:val="0"/>
          <w:bCs/>
          <w:strike w:val="0"/>
          <w:dstrike w:val="0"/>
          <w:color w:val="auto"/>
          <w:kern w:val="2"/>
          <w:sz w:val="24"/>
          <w:szCs w:val="32"/>
          <w:highlight w:val="none"/>
          <w:lang w:val="en-US" w:eastAsia="zh-CN" w:bidi="ar-SA"/>
        </w:rPr>
        <w:t>充电</w:t>
      </w:r>
      <w:r>
        <w:rPr>
          <w:rFonts w:ascii="Times New Roman" w:hAnsi="Times New Roman" w:eastAsia="宋体" w:cs="Times New Roman"/>
          <w:b w:val="0"/>
          <w:bCs/>
          <w:strike w:val="0"/>
          <w:dstrike w:val="0"/>
          <w:color w:val="auto"/>
          <w:kern w:val="2"/>
          <w:sz w:val="24"/>
          <w:szCs w:val="32"/>
          <w:highlight w:val="none"/>
          <w:lang w:val="en-US" w:eastAsia="zh-CN" w:bidi="ar-SA"/>
        </w:rPr>
        <w:t>/换电</w:t>
      </w:r>
      <w:r>
        <w:rPr>
          <w:rFonts w:hint="eastAsia" w:ascii="Times New Roman" w:hAnsi="Times New Roman" w:eastAsia="宋体" w:cs="Times New Roman"/>
          <w:b w:val="0"/>
          <w:bCs/>
          <w:strike w:val="0"/>
          <w:dstrike w:val="0"/>
          <w:color w:val="auto"/>
          <w:kern w:val="2"/>
          <w:sz w:val="24"/>
          <w:szCs w:val="32"/>
          <w:highlight w:val="none"/>
          <w:lang w:val="en-US" w:eastAsia="zh-CN" w:bidi="ar-SA"/>
        </w:rPr>
        <w:t>预留</w:t>
      </w:r>
      <w:r>
        <w:rPr>
          <w:rFonts w:ascii="Times New Roman" w:hAnsi="Times New Roman" w:eastAsia="宋体" w:cs="Times New Roman"/>
          <w:b w:val="0"/>
          <w:bCs/>
          <w:strike w:val="0"/>
          <w:dstrike w:val="0"/>
          <w:color w:val="auto"/>
          <w:kern w:val="2"/>
          <w:sz w:val="24"/>
          <w:szCs w:val="32"/>
          <w:highlight w:val="none"/>
          <w:lang w:val="en-US" w:eastAsia="zh-CN" w:bidi="ar-SA"/>
        </w:rPr>
        <w:t>位发生事故的主要原因</w:t>
      </w:r>
      <w:r>
        <w:rPr>
          <w:rFonts w:hint="eastAsia" w:ascii="Times New Roman" w:hAnsi="Times New Roman" w:eastAsia="宋体" w:cs="Times New Roman"/>
          <w:b w:val="0"/>
          <w:bCs/>
          <w:strike w:val="0"/>
          <w:dstrike w:val="0"/>
          <w:color w:val="auto"/>
          <w:kern w:val="2"/>
          <w:sz w:val="24"/>
          <w:szCs w:val="32"/>
          <w:highlight w:val="none"/>
          <w:lang w:val="en-US" w:eastAsia="zh-CN" w:bidi="ar-SA"/>
        </w:rPr>
        <w:t>为</w:t>
      </w:r>
      <w:r>
        <w:rPr>
          <w:rFonts w:ascii="Times New Roman" w:hAnsi="Times New Roman" w:eastAsia="宋体" w:cs="Times New Roman"/>
          <w:b w:val="0"/>
          <w:bCs/>
          <w:strike w:val="0"/>
          <w:dstrike w:val="0"/>
          <w:color w:val="auto"/>
          <w:kern w:val="2"/>
          <w:sz w:val="24"/>
          <w:szCs w:val="32"/>
          <w:highlight w:val="none"/>
          <w:lang w:val="en-US" w:eastAsia="zh-CN" w:bidi="ar-SA"/>
        </w:rPr>
        <w:t>过度充电</w:t>
      </w:r>
      <w:r>
        <w:rPr>
          <w:rFonts w:hint="eastAsia" w:ascii="Times New Roman" w:hAnsi="Times New Roman" w:eastAsia="宋体" w:cs="Times New Roman"/>
          <w:b w:val="0"/>
          <w:bCs/>
          <w:strike w:val="0"/>
          <w:dstrike w:val="0"/>
          <w:color w:val="auto"/>
          <w:kern w:val="2"/>
          <w:sz w:val="24"/>
          <w:szCs w:val="32"/>
          <w:highlight w:val="none"/>
          <w:lang w:val="en-US" w:eastAsia="zh-CN" w:bidi="ar-SA"/>
        </w:rPr>
        <w:t>，</w:t>
      </w:r>
      <w:r>
        <w:rPr>
          <w:rFonts w:ascii="Times New Roman" w:hAnsi="Times New Roman" w:eastAsia="宋体" w:cs="Times New Roman"/>
          <w:b w:val="0"/>
          <w:bCs/>
          <w:strike w:val="0"/>
          <w:dstrike w:val="0"/>
          <w:color w:val="auto"/>
          <w:kern w:val="2"/>
          <w:sz w:val="24"/>
          <w:szCs w:val="32"/>
          <w:highlight w:val="none"/>
          <w:lang w:val="en-US" w:eastAsia="zh-CN" w:bidi="ar-SA"/>
        </w:rPr>
        <w:t>蓄电池中或空气中的含氢量累积至爆炸极限时，遇到明火就会形成</w:t>
      </w:r>
      <w:r>
        <w:rPr>
          <w:rFonts w:hint="eastAsia" w:cs="Times New Roman"/>
          <w:b w:val="0"/>
          <w:bCs/>
          <w:strike w:val="0"/>
          <w:dstrike w:val="0"/>
          <w:color w:val="auto"/>
          <w:kern w:val="2"/>
          <w:sz w:val="24"/>
          <w:szCs w:val="32"/>
          <w:highlight w:val="none"/>
          <w:lang w:val="en-US" w:eastAsia="zh-CN" w:bidi="ar-SA"/>
        </w:rPr>
        <w:t>火灾、</w:t>
      </w:r>
      <w:r>
        <w:rPr>
          <w:rFonts w:ascii="Times New Roman" w:hAnsi="Times New Roman" w:eastAsia="宋体" w:cs="Times New Roman"/>
          <w:b w:val="0"/>
          <w:bCs/>
          <w:strike w:val="0"/>
          <w:dstrike w:val="0"/>
          <w:color w:val="auto"/>
          <w:kern w:val="2"/>
          <w:sz w:val="24"/>
          <w:szCs w:val="32"/>
          <w:highlight w:val="none"/>
          <w:lang w:val="en-US" w:eastAsia="zh-CN" w:bidi="ar-SA"/>
        </w:rPr>
        <w:t>爆炸</w:t>
      </w:r>
      <w:r>
        <w:rPr>
          <w:rFonts w:hint="eastAsia" w:ascii="Times New Roman" w:hAnsi="Times New Roman" w:eastAsia="宋体" w:cs="Times New Roman"/>
          <w:b w:val="0"/>
          <w:bCs/>
          <w:strike w:val="0"/>
          <w:dstrike w:val="0"/>
          <w:color w:val="auto"/>
          <w:kern w:val="2"/>
          <w:sz w:val="24"/>
          <w:szCs w:val="32"/>
          <w:highlight w:val="none"/>
          <w:lang w:val="en-US" w:eastAsia="zh-CN" w:bidi="ar-SA"/>
        </w:rPr>
        <w:t>。</w:t>
      </w:r>
    </w:p>
    <w:p w14:paraId="20DA22D5">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2"/>
        <w:rPr>
          <w:rFonts w:hint="default" w:ascii="Times New Roman" w:hAnsi="Times New Roman" w:eastAsia="宋体"/>
          <w:strike w:val="0"/>
          <w:dstrike w:val="0"/>
          <w:color w:val="auto"/>
          <w:sz w:val="24"/>
          <w:szCs w:val="32"/>
          <w:highlight w:val="none"/>
          <w:lang w:val="en-US" w:eastAsia="zh-CN"/>
        </w:rPr>
      </w:pPr>
      <w:r>
        <w:rPr>
          <w:rFonts w:hint="eastAsia" w:ascii="Times New Roman" w:hAnsi="Times New Roman" w:eastAsia="宋体"/>
          <w:strike w:val="0"/>
          <w:dstrike w:val="0"/>
          <w:color w:val="auto"/>
          <w:sz w:val="24"/>
          <w:szCs w:val="32"/>
          <w:highlight w:val="none"/>
          <w:lang w:val="en-US" w:eastAsia="zh-CN"/>
        </w:rPr>
        <w:t>5.1.</w:t>
      </w:r>
      <w:r>
        <w:rPr>
          <w:rFonts w:hint="eastAsia" w:ascii="Times New Roman" w:hAnsi="Times New Roman"/>
          <w:strike w:val="0"/>
          <w:dstrike w:val="0"/>
          <w:color w:val="auto"/>
          <w:sz w:val="24"/>
          <w:szCs w:val="32"/>
          <w:highlight w:val="none"/>
          <w:lang w:val="en-US" w:eastAsia="zh-CN"/>
        </w:rPr>
        <w:t>3作业过程风险</w:t>
      </w:r>
      <w:r>
        <w:rPr>
          <w:rFonts w:hint="eastAsia" w:ascii="Times New Roman" w:hAnsi="Times New Roman" w:eastAsia="宋体"/>
          <w:strike w:val="0"/>
          <w:dstrike w:val="0"/>
          <w:color w:val="auto"/>
          <w:sz w:val="24"/>
          <w:szCs w:val="32"/>
          <w:highlight w:val="none"/>
          <w:lang w:val="en-US" w:eastAsia="zh-CN"/>
        </w:rPr>
        <w:t>识别</w:t>
      </w:r>
    </w:p>
    <w:p w14:paraId="773E457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strike w:val="0"/>
          <w:dstrike w:val="0"/>
          <w:color w:val="auto"/>
          <w:highlight w:val="none"/>
        </w:rPr>
      </w:pPr>
      <w:r>
        <w:rPr>
          <w:rFonts w:hint="default" w:ascii="Times New Roman" w:hAnsi="Times New Roman" w:eastAsia="宋体" w:cs="Times New Roman"/>
          <w:b/>
          <w:bCs/>
          <w:strike w:val="0"/>
          <w:dstrike w:val="0"/>
          <w:color w:val="auto"/>
          <w:kern w:val="0"/>
          <w:sz w:val="24"/>
          <w:szCs w:val="24"/>
          <w:highlight w:val="none"/>
          <w:lang w:val="en-US" w:eastAsia="zh-CN" w:bidi="ar"/>
        </w:rPr>
        <w:t>1</w:t>
      </w:r>
      <w:r>
        <w:rPr>
          <w:rFonts w:hint="eastAsia" w:ascii="宋体" w:hAnsi="宋体" w:eastAsia="宋体" w:cs="宋体"/>
          <w:b/>
          <w:bCs/>
          <w:strike w:val="0"/>
          <w:dstrike w:val="0"/>
          <w:color w:val="auto"/>
          <w:kern w:val="0"/>
          <w:sz w:val="24"/>
          <w:szCs w:val="24"/>
          <w:highlight w:val="none"/>
          <w:lang w:val="en-US" w:eastAsia="zh-CN" w:bidi="ar"/>
        </w:rPr>
        <w:t xml:space="preserve">）卸油过程 </w:t>
      </w:r>
    </w:p>
    <w:p w14:paraId="68AE022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strike w:val="0"/>
          <w:dstrike w:val="0"/>
          <w:color w:val="auto"/>
          <w:highlight w:val="none"/>
          <w:lang w:val="en-US" w:eastAsia="zh-CN"/>
        </w:rPr>
      </w:pPr>
      <w:r>
        <w:rPr>
          <w:rFonts w:hint="default" w:ascii="Times New Roman" w:hAnsi="Times New Roman" w:cs="Times New Roman"/>
          <w:strike w:val="0"/>
          <w:dstrike w:val="0"/>
          <w:color w:val="auto"/>
          <w:highlight w:val="none"/>
          <w:lang w:val="en-US" w:eastAsia="zh-CN"/>
        </w:rPr>
        <w:pict>
          <v:shape id="_x0000_s1032" o:spid="_x0000_s1032" o:spt="75" type="#_x0000_t75" style="position:absolute;left:0pt;margin-left:127pt;margin-top:20.55pt;height:45.9pt;width:164.45pt;z-index:251666432;mso-width-relative:page;mso-height-relative:page;" o:ole="t" filled="f" o:preferrelative="t" stroked="f" coordsize="21600,21600">
            <v:path/>
            <v:fill on="f" focussize="0,0"/>
            <v:stroke on="f"/>
            <v:imagedata r:id="rId41" o:title=""/>
            <o:lock v:ext="edit" aspectratio="f"/>
          </v:shape>
          <o:OLEObject Type="Embed" ProgID="Visio.Drawing.15" ShapeID="_x0000_s1032" DrawAspect="Content" ObjectID="_1468075733" r:id="rId40">
            <o:LockedField>false</o:LockedField>
          </o:OLEObject>
        </w:pict>
      </w:r>
      <w:r>
        <w:rPr>
          <w:rFonts w:hint="eastAsia" w:ascii="宋体" w:hAnsi="宋体" w:eastAsia="宋体" w:cs="宋体"/>
          <w:strike w:val="0"/>
          <w:dstrike w:val="0"/>
          <w:color w:val="auto"/>
          <w:kern w:val="0"/>
          <w:sz w:val="24"/>
          <w:szCs w:val="24"/>
          <w:highlight w:val="none"/>
          <w:lang w:val="en-US" w:eastAsia="zh-CN" w:bidi="ar"/>
        </w:rPr>
        <w:t>加油站采用油品从槽车自流入油罐的卸油方式。作业过程如图所示：</w:t>
      </w:r>
    </w:p>
    <w:p w14:paraId="740122E3">
      <w:pPr>
        <w:pStyle w:val="3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strike w:val="0"/>
          <w:dstrike w:val="0"/>
          <w:color w:val="auto"/>
          <w:highlight w:val="none"/>
          <w:lang w:val="en-US" w:eastAsia="zh-CN"/>
        </w:rPr>
      </w:pPr>
    </w:p>
    <w:p w14:paraId="2704CB39">
      <w:pPr>
        <w:pStyle w:val="3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strike w:val="0"/>
          <w:dstrike w:val="0"/>
          <w:color w:val="auto"/>
          <w:highlight w:val="none"/>
          <w:lang w:val="en-US" w:eastAsia="zh-CN"/>
        </w:rPr>
      </w:pPr>
      <w:r>
        <w:rPr>
          <w:rFonts w:hint="default" w:ascii="Times New Roman" w:hAnsi="Times New Roman" w:cs="Times New Roman"/>
          <w:strike w:val="0"/>
          <w:dstrike w:val="0"/>
          <w:color w:val="auto"/>
          <w:highlight w:val="none"/>
          <w:lang w:val="en-US" w:eastAsia="zh-CN"/>
        </w:rPr>
        <w:t>图5.1-1  卸油作业过程</w:t>
      </w:r>
      <w:r>
        <w:rPr>
          <w:rFonts w:hint="eastAsia" w:ascii="Times New Roman" w:hAnsi="Times New Roman" w:cs="Times New Roman"/>
          <w:strike w:val="0"/>
          <w:dstrike w:val="0"/>
          <w:color w:val="auto"/>
          <w:highlight w:val="none"/>
          <w:lang w:val="en-US" w:eastAsia="zh-CN"/>
        </w:rPr>
        <w:t>图</w:t>
      </w:r>
    </w:p>
    <w:p w14:paraId="10ADAC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strike w:val="0"/>
          <w:dstrike w:val="0"/>
          <w:color w:val="auto"/>
          <w:kern w:val="2"/>
          <w:sz w:val="24"/>
          <w:szCs w:val="32"/>
          <w:highlight w:val="none"/>
          <w:lang w:val="en-US" w:eastAsia="zh-CN" w:bidi="ar-SA"/>
        </w:rPr>
      </w:pPr>
      <w:r>
        <w:rPr>
          <w:rFonts w:hint="default" w:ascii="Times New Roman" w:hAnsi="Times New Roman" w:eastAsia="宋体" w:cs="Times New Roman"/>
          <w:b w:val="0"/>
          <w:bCs/>
          <w:strike w:val="0"/>
          <w:dstrike w:val="0"/>
          <w:color w:val="auto"/>
          <w:kern w:val="2"/>
          <w:sz w:val="24"/>
          <w:szCs w:val="32"/>
          <w:highlight w:val="none"/>
          <w:lang w:val="en-US" w:eastAsia="zh-CN" w:bidi="ar-SA"/>
        </w:rPr>
        <w:t>槽车用带有快速接头</w:t>
      </w:r>
      <w:r>
        <w:rPr>
          <w:rFonts w:hint="eastAsia" w:cs="Times New Roman"/>
          <w:b w:val="0"/>
          <w:bCs/>
          <w:strike w:val="0"/>
          <w:dstrike w:val="0"/>
          <w:color w:val="auto"/>
          <w:kern w:val="2"/>
          <w:sz w:val="24"/>
          <w:szCs w:val="32"/>
          <w:highlight w:val="none"/>
          <w:lang w:val="en-US" w:eastAsia="zh-CN" w:bidi="ar-SA"/>
        </w:rPr>
        <w:t>的</w:t>
      </w:r>
      <w:r>
        <w:rPr>
          <w:rFonts w:hint="default" w:ascii="Times New Roman" w:hAnsi="Times New Roman" w:eastAsia="宋体" w:cs="Times New Roman"/>
          <w:b w:val="0"/>
          <w:bCs/>
          <w:strike w:val="0"/>
          <w:dstrike w:val="0"/>
          <w:color w:val="auto"/>
          <w:kern w:val="2"/>
          <w:sz w:val="24"/>
          <w:szCs w:val="32"/>
          <w:highlight w:val="none"/>
          <w:lang w:val="en-US" w:eastAsia="zh-CN" w:bidi="ar-SA"/>
        </w:rPr>
        <w:t>导电橡胶软管直接连接卸油口进行卸油（密闭式卸油），油品流动即会产生大量静电，若槽车未有效接地，就会产生静电放电，成为火灾、爆炸事故的点火源。</w:t>
      </w:r>
    </w:p>
    <w:p w14:paraId="702116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strike w:val="0"/>
          <w:dstrike w:val="0"/>
          <w:color w:val="auto"/>
          <w:kern w:val="2"/>
          <w:sz w:val="24"/>
          <w:szCs w:val="32"/>
          <w:highlight w:val="none"/>
          <w:lang w:val="en-US" w:eastAsia="zh-CN" w:bidi="ar-SA"/>
        </w:rPr>
      </w:pPr>
      <w:r>
        <w:rPr>
          <w:rFonts w:hint="eastAsia" w:ascii="Times New Roman" w:hAnsi="Times New Roman" w:eastAsia="宋体" w:cs="Times New Roman"/>
          <w:b w:val="0"/>
          <w:bCs/>
          <w:strike w:val="0"/>
          <w:dstrike w:val="0"/>
          <w:color w:val="auto"/>
          <w:kern w:val="2"/>
          <w:sz w:val="24"/>
          <w:szCs w:val="32"/>
          <w:highlight w:val="none"/>
          <w:lang w:val="en-US" w:eastAsia="zh-CN" w:bidi="ar-SA"/>
        </w:rPr>
        <w:t>若卸油管破裂或接头密封垫损坏，可能造成油品泄漏，遇点火源发生燃烧、爆炸事故。</w:t>
      </w:r>
    </w:p>
    <w:p w14:paraId="7E0BF3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strike w:val="0"/>
          <w:dstrike w:val="0"/>
          <w:color w:val="auto"/>
          <w:kern w:val="2"/>
          <w:sz w:val="24"/>
          <w:szCs w:val="32"/>
          <w:highlight w:val="none"/>
          <w:lang w:val="en-US" w:eastAsia="zh-CN" w:bidi="ar-SA"/>
        </w:rPr>
      </w:pPr>
      <w:r>
        <w:rPr>
          <w:rFonts w:hint="eastAsia" w:ascii="Times New Roman" w:hAnsi="Times New Roman" w:eastAsia="宋体" w:cs="Times New Roman"/>
          <w:b w:val="0"/>
          <w:bCs/>
          <w:strike w:val="0"/>
          <w:dstrike w:val="0"/>
          <w:color w:val="auto"/>
          <w:kern w:val="2"/>
          <w:sz w:val="24"/>
          <w:szCs w:val="32"/>
          <w:highlight w:val="none"/>
          <w:lang w:val="en-US" w:eastAsia="zh-CN" w:bidi="ar-SA"/>
        </w:rPr>
        <w:t>若卸油未采取密闭式卸油</w:t>
      </w:r>
      <w:bookmarkStart w:id="173" w:name="OfficeAI_Add_2_12"/>
      <w:r>
        <w:rPr>
          <w:rFonts w:hint="eastAsia" w:cs="Times New Roman"/>
          <w:b w:val="0"/>
          <w:bCs/>
          <w:strike w:val="0"/>
          <w:dstrike w:val="0"/>
          <w:color w:val="auto"/>
          <w:kern w:val="2"/>
          <w:sz w:val="24"/>
          <w:szCs w:val="32"/>
          <w:highlight w:val="none"/>
          <w:lang w:val="en-US" w:eastAsia="zh-CN" w:bidi="ar-SA"/>
        </w:rPr>
        <w:t>方式</w:t>
      </w:r>
      <w:bookmarkEnd w:id="173"/>
      <w:r>
        <w:rPr>
          <w:rFonts w:hint="eastAsia" w:ascii="Times New Roman" w:hAnsi="Times New Roman" w:eastAsia="宋体" w:cs="Times New Roman"/>
          <w:b w:val="0"/>
          <w:bCs/>
          <w:strike w:val="0"/>
          <w:dstrike w:val="0"/>
          <w:color w:val="auto"/>
          <w:kern w:val="2"/>
          <w:sz w:val="24"/>
          <w:szCs w:val="32"/>
          <w:highlight w:val="none"/>
          <w:lang w:val="en-US" w:eastAsia="zh-CN" w:bidi="ar-SA"/>
        </w:rPr>
        <w:t>，连接密封效果不良，可能造成油品泄漏，遇点火源发生燃烧、爆炸事故。</w:t>
      </w:r>
    </w:p>
    <w:p w14:paraId="55874BB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trike w:val="0"/>
          <w:dstrike w:val="0"/>
          <w:color w:val="auto"/>
          <w:kern w:val="0"/>
          <w:sz w:val="24"/>
          <w:szCs w:val="24"/>
          <w:highlight w:val="none"/>
          <w:lang w:val="en-US" w:eastAsia="zh-CN" w:bidi="ar"/>
        </w:rPr>
      </w:pPr>
      <w:r>
        <w:rPr>
          <w:rFonts w:hint="eastAsia" w:ascii="Times New Roman" w:hAnsi="Times New Roman" w:eastAsia="宋体" w:cs="Times New Roman"/>
          <w:b/>
          <w:bCs/>
          <w:strike w:val="0"/>
          <w:dstrike w:val="0"/>
          <w:color w:val="auto"/>
          <w:kern w:val="0"/>
          <w:sz w:val="24"/>
          <w:szCs w:val="24"/>
          <w:highlight w:val="none"/>
          <w:lang w:val="en-US" w:eastAsia="zh-CN" w:bidi="ar"/>
        </w:rPr>
        <w:t>2）加油过程</w:t>
      </w:r>
    </w:p>
    <w:p w14:paraId="050BA2D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strike w:val="0"/>
          <w:dstrike w:val="0"/>
          <w:color w:val="auto"/>
          <w:highlight w:val="none"/>
        </w:rPr>
      </w:pPr>
      <w:r>
        <w:rPr>
          <w:rFonts w:hint="default" w:ascii="Times New Roman" w:hAnsi="Times New Roman" w:cs="Times New Roman"/>
          <w:strike w:val="0"/>
          <w:dstrike w:val="0"/>
          <w:color w:val="auto"/>
          <w:highlight w:val="none"/>
          <w:lang w:val="en-US" w:eastAsia="zh-CN"/>
        </w:rPr>
        <w:pict>
          <v:shape id="_x0000_s1035" o:spid="_x0000_s1035" o:spt="75" type="#_x0000_t75" style="position:absolute;left:0pt;margin-left:123.45pt;margin-top:41.05pt;height:46.95pt;width:171.05pt;z-index:251666432;mso-width-relative:page;mso-height-relative:page;" o:ole="t" filled="f" o:preferrelative="t" stroked="f" coordsize="21600,21600">
            <v:path/>
            <v:fill on="f" focussize="0,0"/>
            <v:stroke on="f"/>
            <v:imagedata r:id="rId43" o:title=""/>
            <o:lock v:ext="edit" aspectratio="f"/>
          </v:shape>
          <o:OLEObject Type="Embed" ProgID="Visio.Drawing.15" ShapeID="_x0000_s1035" DrawAspect="Content" ObjectID="_1468075734" r:id="rId42">
            <o:LockedField>false</o:LockedField>
          </o:OLEObject>
        </w:pict>
      </w:r>
      <w:r>
        <w:rPr>
          <w:rFonts w:hint="eastAsia" w:ascii="宋体" w:hAnsi="宋体" w:eastAsia="宋体" w:cs="宋体"/>
          <w:strike w:val="0"/>
          <w:dstrike w:val="0"/>
          <w:color w:val="auto"/>
          <w:kern w:val="0"/>
          <w:sz w:val="24"/>
          <w:szCs w:val="24"/>
          <w:highlight w:val="none"/>
          <w:lang w:val="en-US" w:eastAsia="zh-CN" w:bidi="ar"/>
        </w:rPr>
        <w:t>作业人员依据顾客需要的加油数量在加油机上预置，确认油品无误后提枪加油，加油完毕后收枪复位。作业过程如图所示。</w:t>
      </w:r>
    </w:p>
    <w:p w14:paraId="0749EC5B">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textAlignment w:val="auto"/>
        <w:outlineLvl w:val="9"/>
        <w:rPr>
          <w:rFonts w:hint="eastAsia"/>
          <w:strike w:val="0"/>
          <w:dstrike w:val="0"/>
          <w:color w:val="auto"/>
          <w:highlight w:val="none"/>
          <w:lang w:val="en-US" w:eastAsia="zh-CN"/>
        </w:rPr>
      </w:pPr>
    </w:p>
    <w:p w14:paraId="4895E54B">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jc w:val="center"/>
        <w:textAlignment w:val="auto"/>
        <w:outlineLvl w:val="9"/>
        <w:rPr>
          <w:rFonts w:hint="eastAsia"/>
          <w:strike w:val="0"/>
          <w:dstrike w:val="0"/>
          <w:color w:val="auto"/>
          <w:highlight w:val="none"/>
          <w:lang w:val="en-US" w:eastAsia="zh-CN"/>
        </w:rPr>
      </w:pPr>
      <w:r>
        <w:rPr>
          <w:rFonts w:hint="default" w:ascii="Times New Roman" w:hAnsi="Times New Roman" w:cs="Times New Roman"/>
          <w:strike w:val="0"/>
          <w:dstrike w:val="0"/>
          <w:color w:val="auto"/>
          <w:highlight w:val="none"/>
          <w:lang w:val="en-US" w:eastAsia="zh-CN"/>
        </w:rPr>
        <w:t>图5.1-</w:t>
      </w:r>
      <w:r>
        <w:rPr>
          <w:rFonts w:hint="eastAsia" w:ascii="Times New Roman" w:hAnsi="Times New Roman" w:cs="Times New Roman"/>
          <w:strike w:val="0"/>
          <w:dstrike w:val="0"/>
          <w:color w:val="auto"/>
          <w:highlight w:val="none"/>
          <w:lang w:val="en-US" w:eastAsia="zh-CN"/>
        </w:rPr>
        <w:t>2</w:t>
      </w:r>
      <w:r>
        <w:rPr>
          <w:rFonts w:hint="default" w:ascii="Times New Roman" w:hAnsi="Times New Roman" w:cs="Times New Roman"/>
          <w:strike w:val="0"/>
          <w:dstrike w:val="0"/>
          <w:color w:val="auto"/>
          <w:highlight w:val="none"/>
          <w:lang w:val="en-US" w:eastAsia="zh-CN"/>
        </w:rPr>
        <w:t xml:space="preserve">  </w:t>
      </w:r>
      <w:r>
        <w:rPr>
          <w:rFonts w:hint="eastAsia" w:ascii="Times New Roman" w:hAnsi="Times New Roman" w:cs="Times New Roman"/>
          <w:strike w:val="0"/>
          <w:dstrike w:val="0"/>
          <w:color w:val="auto"/>
          <w:highlight w:val="none"/>
          <w:lang w:val="en-US" w:eastAsia="zh-CN"/>
        </w:rPr>
        <w:t>加</w:t>
      </w:r>
      <w:r>
        <w:rPr>
          <w:rFonts w:hint="default" w:ascii="Times New Roman" w:hAnsi="Times New Roman" w:cs="Times New Roman"/>
          <w:strike w:val="0"/>
          <w:dstrike w:val="0"/>
          <w:color w:val="auto"/>
          <w:highlight w:val="none"/>
          <w:lang w:val="en-US" w:eastAsia="zh-CN"/>
        </w:rPr>
        <w:t>油作业过程</w:t>
      </w:r>
      <w:r>
        <w:rPr>
          <w:rFonts w:hint="eastAsia" w:ascii="Times New Roman" w:hAnsi="Times New Roman" w:cs="Times New Roman"/>
          <w:strike w:val="0"/>
          <w:dstrike w:val="0"/>
          <w:color w:val="auto"/>
          <w:highlight w:val="none"/>
          <w:lang w:val="en-US" w:eastAsia="zh-CN"/>
        </w:rPr>
        <w:t>图</w:t>
      </w:r>
    </w:p>
    <w:p w14:paraId="2D052296">
      <w:pPr>
        <w:keepNext w:val="0"/>
        <w:keepLines w:val="0"/>
        <w:pageBreakBefore w:val="0"/>
        <w:widowControl/>
        <w:suppressLineNumbers w:val="0"/>
        <w:kinsoku/>
        <w:wordWrap/>
        <w:overflowPunct/>
        <w:topLinePunct w:val="0"/>
        <w:bidi w:val="0"/>
        <w:snapToGrid/>
        <w:spacing w:line="360" w:lineRule="auto"/>
        <w:ind w:firstLine="480" w:firstLineChars="200"/>
        <w:jc w:val="both"/>
        <w:textAlignment w:val="auto"/>
        <w:outlineLvl w:val="9"/>
        <w:rPr>
          <w:rFonts w:hint="eastAsia" w:ascii="宋体" w:hAnsi="宋体" w:eastAsia="宋体" w:cs="宋体"/>
          <w:strike w:val="0"/>
          <w:dstrike w:val="0"/>
          <w:color w:val="auto"/>
          <w:kern w:val="0"/>
          <w:sz w:val="24"/>
          <w:szCs w:val="24"/>
          <w:highlight w:val="none"/>
          <w:lang w:val="en-US" w:eastAsia="zh-CN" w:bidi="ar"/>
        </w:rPr>
      </w:pPr>
      <w:r>
        <w:rPr>
          <w:rFonts w:hint="eastAsia" w:ascii="宋体" w:hAnsi="宋体" w:eastAsia="宋体" w:cs="宋体"/>
          <w:strike w:val="0"/>
          <w:dstrike w:val="0"/>
          <w:color w:val="auto"/>
          <w:kern w:val="0"/>
          <w:sz w:val="24"/>
          <w:szCs w:val="24"/>
          <w:highlight w:val="none"/>
          <w:lang w:val="en-US" w:eastAsia="zh-CN" w:bidi="ar"/>
        </w:rPr>
        <w:t>作业人员在加油过程中若不遵守安全规章，不严格按正确的规程作业或操作失误，可能造成漏油、油品溢出等情况，遇加油机接地松动而接触不良引起静电大量积聚放电或遇明火极易发生火灾甚至爆炸。</w:t>
      </w:r>
    </w:p>
    <w:p w14:paraId="02E8DD26">
      <w:pPr>
        <w:keepNext w:val="0"/>
        <w:keepLines w:val="0"/>
        <w:pageBreakBefore w:val="0"/>
        <w:widowControl/>
        <w:suppressLineNumbers w:val="0"/>
        <w:kinsoku/>
        <w:wordWrap/>
        <w:overflowPunct/>
        <w:topLinePunct w:val="0"/>
        <w:bidi w:val="0"/>
        <w:snapToGrid/>
        <w:spacing w:line="360" w:lineRule="auto"/>
        <w:ind w:firstLine="480" w:firstLineChars="200"/>
        <w:jc w:val="both"/>
        <w:textAlignment w:val="auto"/>
        <w:outlineLvl w:val="9"/>
        <w:rPr>
          <w:rFonts w:hint="eastAsia" w:ascii="宋体" w:hAnsi="宋体" w:eastAsia="宋体" w:cs="宋体"/>
          <w:strike w:val="0"/>
          <w:dstrike w:val="0"/>
          <w:color w:val="auto"/>
          <w:kern w:val="0"/>
          <w:sz w:val="24"/>
          <w:szCs w:val="24"/>
          <w:highlight w:val="none"/>
          <w:lang w:val="en-US" w:eastAsia="zh-CN" w:bidi="ar"/>
        </w:rPr>
      </w:pPr>
      <w:r>
        <w:rPr>
          <w:rFonts w:hint="eastAsia" w:ascii="宋体" w:hAnsi="宋体" w:eastAsia="宋体" w:cs="宋体"/>
          <w:strike w:val="0"/>
          <w:dstrike w:val="0"/>
          <w:color w:val="auto"/>
          <w:kern w:val="0"/>
          <w:sz w:val="24"/>
          <w:szCs w:val="24"/>
          <w:highlight w:val="none"/>
          <w:lang w:val="en-US" w:eastAsia="zh-CN" w:bidi="ar"/>
        </w:rPr>
        <w:t>作业人员若违反规程向塑料容器加注油品，易造成静电积聚放电，若遇油品或油蒸气，可能发生火灾；装有油品的密闭塑料容器，如温度过高，导致压力增大，有塑料容器爆裂的危险，若遇点火源，会引发火灾。加油枪、加油管损坏、加油机内接管密封垫损坏均会造成油品泄漏，遇点火源可能发生燃烧、爆炸事故。</w:t>
      </w:r>
    </w:p>
    <w:p w14:paraId="67ABB0DE">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2"/>
        <w:rPr>
          <w:rFonts w:hint="default" w:ascii="Times New Roman" w:hAnsi="Times New Roman" w:eastAsia="宋体"/>
          <w:strike w:val="0"/>
          <w:dstrike w:val="0"/>
          <w:color w:val="auto"/>
          <w:sz w:val="24"/>
          <w:szCs w:val="32"/>
          <w:highlight w:val="none"/>
          <w:lang w:val="en-US" w:eastAsia="zh-CN"/>
        </w:rPr>
      </w:pPr>
      <w:r>
        <w:rPr>
          <w:rFonts w:hint="eastAsia" w:ascii="Times New Roman" w:hAnsi="Times New Roman" w:eastAsia="宋体"/>
          <w:strike w:val="0"/>
          <w:dstrike w:val="0"/>
          <w:color w:val="auto"/>
          <w:sz w:val="24"/>
          <w:szCs w:val="32"/>
          <w:highlight w:val="none"/>
          <w:lang w:val="en-US" w:eastAsia="zh-CN"/>
        </w:rPr>
        <w:t>5.1.</w:t>
      </w:r>
      <w:r>
        <w:rPr>
          <w:rFonts w:hint="eastAsia"/>
          <w:strike w:val="0"/>
          <w:dstrike w:val="0"/>
          <w:color w:val="auto"/>
          <w:sz w:val="24"/>
          <w:szCs w:val="32"/>
          <w:highlight w:val="none"/>
          <w:lang w:val="en-US" w:eastAsia="zh-CN"/>
        </w:rPr>
        <w:t>4环境风险类型及危害分析</w:t>
      </w:r>
    </w:p>
    <w:p w14:paraId="30E26B83">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bCs/>
          <w:strike w:val="0"/>
          <w:dstrike w:val="0"/>
          <w:color w:val="auto"/>
          <w:kern w:val="2"/>
          <w:sz w:val="24"/>
          <w:szCs w:val="32"/>
          <w:highlight w:val="none"/>
          <w:lang w:val="en-US" w:eastAsia="zh-CN" w:bidi="ar-SA"/>
        </w:rPr>
      </w:pPr>
      <w:r>
        <w:rPr>
          <w:rFonts w:hint="eastAsia" w:ascii="Times New Roman" w:hAnsi="Times New Roman" w:eastAsia="宋体" w:cs="Times New Roman"/>
          <w:b w:val="0"/>
          <w:bCs/>
          <w:strike w:val="0"/>
          <w:dstrike w:val="0"/>
          <w:color w:val="auto"/>
          <w:kern w:val="2"/>
          <w:sz w:val="24"/>
          <w:szCs w:val="32"/>
          <w:highlight w:val="none"/>
          <w:lang w:val="en-US" w:eastAsia="zh-CN" w:bidi="ar-SA"/>
        </w:rPr>
        <w:t>根据《建设项目环境风险评价技术导则》（HJ169-2018）规定，根据有毒有害物质放散起因，本项目的环境风险类型为：</w:t>
      </w:r>
      <w:r>
        <w:rPr>
          <w:rFonts w:hint="eastAsia" w:cs="Times New Roman"/>
          <w:b w:val="0"/>
          <w:bCs/>
          <w:strike w:val="0"/>
          <w:dstrike w:val="0"/>
          <w:color w:val="auto"/>
          <w:kern w:val="2"/>
          <w:sz w:val="24"/>
          <w:szCs w:val="32"/>
          <w:highlight w:val="none"/>
          <w:lang w:val="en-US" w:eastAsia="zh-CN" w:bidi="ar-SA"/>
        </w:rPr>
        <w:t>汽油、柴油</w:t>
      </w:r>
      <w:r>
        <w:rPr>
          <w:rFonts w:hint="eastAsia" w:ascii="Times New Roman" w:hAnsi="Times New Roman" w:eastAsia="宋体" w:cs="Times New Roman"/>
          <w:b w:val="0"/>
          <w:bCs/>
          <w:strike w:val="0"/>
          <w:dstrike w:val="0"/>
          <w:color w:val="auto"/>
          <w:kern w:val="2"/>
          <w:sz w:val="24"/>
          <w:szCs w:val="32"/>
          <w:highlight w:val="none"/>
          <w:lang w:val="en-US" w:eastAsia="zh-CN" w:bidi="ar-SA"/>
        </w:rPr>
        <w:t>的</w:t>
      </w:r>
      <w:r>
        <w:rPr>
          <w:rFonts w:hint="eastAsia" w:cs="Times New Roman"/>
          <w:b w:val="0"/>
          <w:bCs/>
          <w:strike w:val="0"/>
          <w:dstrike w:val="0"/>
          <w:color w:val="auto"/>
          <w:kern w:val="2"/>
          <w:sz w:val="24"/>
          <w:szCs w:val="32"/>
          <w:highlight w:val="none"/>
          <w:lang w:val="en-US" w:eastAsia="zh-CN" w:bidi="ar-SA"/>
        </w:rPr>
        <w:t>泄漏</w:t>
      </w:r>
      <w:r>
        <w:rPr>
          <w:rFonts w:hint="eastAsia" w:ascii="Times New Roman" w:hAnsi="Times New Roman" w:eastAsia="宋体" w:cs="Times New Roman"/>
          <w:b w:val="0"/>
          <w:bCs/>
          <w:strike w:val="0"/>
          <w:dstrike w:val="0"/>
          <w:color w:val="auto"/>
          <w:kern w:val="2"/>
          <w:sz w:val="24"/>
          <w:szCs w:val="32"/>
          <w:highlight w:val="none"/>
          <w:lang w:val="en-US" w:eastAsia="zh-CN" w:bidi="ar-SA"/>
        </w:rPr>
        <w:t>和火灾爆炸引发的伴生/次生污染物排放</w:t>
      </w:r>
      <w:r>
        <w:rPr>
          <w:rFonts w:hint="eastAsia" w:cs="Times New Roman"/>
          <w:b w:val="0"/>
          <w:bCs/>
          <w:strike w:val="0"/>
          <w:dstrike w:val="0"/>
          <w:color w:val="auto"/>
          <w:kern w:val="2"/>
          <w:sz w:val="24"/>
          <w:szCs w:val="32"/>
          <w:highlight w:val="none"/>
          <w:lang w:val="en-US" w:eastAsia="zh-CN" w:bidi="ar-SA"/>
        </w:rPr>
        <w:t>、</w:t>
      </w:r>
      <w:r>
        <w:rPr>
          <w:rFonts w:hint="eastAsia" w:ascii="Times New Roman" w:hAnsi="Times New Roman" w:eastAsia="宋体" w:cs="Times New Roman"/>
          <w:b w:val="0"/>
          <w:bCs/>
          <w:strike w:val="0"/>
          <w:dstrike w:val="0"/>
          <w:color w:val="auto"/>
          <w:kern w:val="2"/>
          <w:sz w:val="24"/>
          <w:szCs w:val="32"/>
          <w:highlight w:val="none"/>
          <w:lang w:val="en-US" w:eastAsia="zh-CN" w:bidi="ar-SA"/>
        </w:rPr>
        <w:t>天然气的</w:t>
      </w:r>
      <w:r>
        <w:rPr>
          <w:rFonts w:hint="eastAsia" w:cs="Times New Roman"/>
          <w:b w:val="0"/>
          <w:bCs/>
          <w:strike w:val="0"/>
          <w:dstrike w:val="0"/>
          <w:color w:val="auto"/>
          <w:kern w:val="2"/>
          <w:sz w:val="24"/>
          <w:szCs w:val="32"/>
          <w:highlight w:val="none"/>
          <w:lang w:val="en-US" w:eastAsia="zh-CN" w:bidi="ar-SA"/>
        </w:rPr>
        <w:t>泄漏</w:t>
      </w:r>
      <w:r>
        <w:rPr>
          <w:rFonts w:hint="eastAsia" w:ascii="Times New Roman" w:hAnsi="Times New Roman" w:eastAsia="宋体" w:cs="Times New Roman"/>
          <w:b w:val="0"/>
          <w:bCs/>
          <w:strike w:val="0"/>
          <w:dstrike w:val="0"/>
          <w:color w:val="auto"/>
          <w:kern w:val="2"/>
          <w:sz w:val="24"/>
          <w:szCs w:val="32"/>
          <w:highlight w:val="none"/>
          <w:lang w:val="en-US" w:eastAsia="zh-CN" w:bidi="ar-SA"/>
        </w:rPr>
        <w:t>和火灾爆炸引发的伴生/次生污染物排放</w:t>
      </w:r>
      <w:r>
        <w:rPr>
          <w:rFonts w:hint="eastAsia" w:cs="Times New Roman"/>
          <w:b w:val="0"/>
          <w:bCs/>
          <w:strike w:val="0"/>
          <w:dstrike w:val="0"/>
          <w:color w:val="auto"/>
          <w:kern w:val="2"/>
          <w:sz w:val="24"/>
          <w:szCs w:val="32"/>
          <w:highlight w:val="none"/>
          <w:lang w:val="en-US" w:eastAsia="zh-CN" w:bidi="ar-SA"/>
        </w:rPr>
        <w:t>、</w:t>
      </w:r>
      <w:r>
        <w:rPr>
          <w:strike w:val="0"/>
          <w:dstrike w:val="0"/>
          <w:color w:val="auto"/>
          <w:sz w:val="24"/>
          <w:szCs w:val="32"/>
          <w:highlight w:val="none"/>
        </w:rPr>
        <w:t>充电/换电</w:t>
      </w:r>
      <w:r>
        <w:rPr>
          <w:rFonts w:hint="eastAsia"/>
          <w:strike w:val="0"/>
          <w:dstrike w:val="0"/>
          <w:color w:val="auto"/>
          <w:sz w:val="24"/>
          <w:szCs w:val="32"/>
          <w:highlight w:val="none"/>
          <w:lang w:val="en-US" w:eastAsia="zh-CN"/>
        </w:rPr>
        <w:t>预留</w:t>
      </w:r>
      <w:r>
        <w:rPr>
          <w:strike w:val="0"/>
          <w:dstrike w:val="0"/>
          <w:color w:val="auto"/>
          <w:sz w:val="24"/>
          <w:szCs w:val="32"/>
          <w:highlight w:val="none"/>
        </w:rPr>
        <w:t>位</w:t>
      </w:r>
      <w:r>
        <w:rPr>
          <w:rFonts w:hint="eastAsia" w:ascii="Times New Roman" w:hAnsi="Times New Roman" w:eastAsia="宋体" w:cs="Times New Roman"/>
          <w:b w:val="0"/>
          <w:bCs/>
          <w:strike w:val="0"/>
          <w:dstrike w:val="0"/>
          <w:color w:val="auto"/>
          <w:kern w:val="2"/>
          <w:sz w:val="24"/>
          <w:szCs w:val="32"/>
          <w:highlight w:val="none"/>
          <w:lang w:val="en-US" w:eastAsia="zh-CN" w:bidi="ar-SA"/>
        </w:rPr>
        <w:t>的火灾爆炸引发的伴生/次生污染物排放。</w:t>
      </w:r>
      <w:r>
        <w:rPr>
          <w:rFonts w:hint="eastAsia" w:cs="Times New Roman"/>
          <w:b w:val="0"/>
          <w:bCs/>
          <w:strike w:val="0"/>
          <w:dstrike w:val="0"/>
          <w:color w:val="auto"/>
          <w:kern w:val="2"/>
          <w:sz w:val="24"/>
          <w:szCs w:val="32"/>
          <w:highlight w:val="none"/>
          <w:lang w:val="en-US" w:eastAsia="zh-CN" w:bidi="ar-SA"/>
        </w:rPr>
        <w:t>汽油、柴油、</w:t>
      </w:r>
      <w:r>
        <w:rPr>
          <w:rFonts w:hint="eastAsia" w:ascii="Times New Roman" w:hAnsi="Times New Roman" w:eastAsia="宋体" w:cs="Times New Roman"/>
          <w:b w:val="0"/>
          <w:bCs/>
          <w:strike w:val="0"/>
          <w:dstrike w:val="0"/>
          <w:color w:val="auto"/>
          <w:kern w:val="2"/>
          <w:sz w:val="24"/>
          <w:szCs w:val="32"/>
          <w:highlight w:val="none"/>
          <w:lang w:val="en-US" w:eastAsia="zh-CN" w:bidi="ar-SA"/>
        </w:rPr>
        <w:t>天然气</w:t>
      </w:r>
      <w:r>
        <w:rPr>
          <w:rFonts w:hint="eastAsia" w:cs="Times New Roman"/>
          <w:b w:val="0"/>
          <w:bCs/>
          <w:strike w:val="0"/>
          <w:dstrike w:val="0"/>
          <w:color w:val="auto"/>
          <w:kern w:val="2"/>
          <w:sz w:val="24"/>
          <w:szCs w:val="32"/>
          <w:highlight w:val="none"/>
          <w:lang w:val="en-US" w:eastAsia="zh-CN" w:bidi="ar-SA"/>
        </w:rPr>
        <w:t>均</w:t>
      </w:r>
      <w:r>
        <w:rPr>
          <w:rFonts w:hint="eastAsia" w:ascii="Times New Roman" w:hAnsi="Times New Roman" w:eastAsia="宋体" w:cs="Times New Roman"/>
          <w:b w:val="0"/>
          <w:bCs/>
          <w:strike w:val="0"/>
          <w:dstrike w:val="0"/>
          <w:color w:val="auto"/>
          <w:kern w:val="2"/>
          <w:sz w:val="24"/>
          <w:szCs w:val="32"/>
          <w:highlight w:val="none"/>
          <w:lang w:val="en-US" w:eastAsia="zh-CN" w:bidi="ar-SA"/>
        </w:rPr>
        <w:t>属易燃</w:t>
      </w:r>
      <w:r>
        <w:rPr>
          <w:rFonts w:hint="eastAsia" w:cs="Times New Roman"/>
          <w:b w:val="0"/>
          <w:bCs/>
          <w:strike w:val="0"/>
          <w:dstrike w:val="0"/>
          <w:color w:val="auto"/>
          <w:kern w:val="2"/>
          <w:sz w:val="24"/>
          <w:szCs w:val="32"/>
          <w:highlight w:val="none"/>
          <w:lang w:val="en-US" w:eastAsia="zh-CN" w:bidi="ar-SA"/>
        </w:rPr>
        <w:t>物质，</w:t>
      </w:r>
      <w:r>
        <w:rPr>
          <w:rFonts w:hint="eastAsia" w:ascii="Times New Roman" w:hAnsi="Times New Roman" w:eastAsia="宋体" w:cs="Times New Roman"/>
          <w:b w:val="0"/>
          <w:bCs/>
          <w:strike w:val="0"/>
          <w:dstrike w:val="0"/>
          <w:color w:val="auto"/>
          <w:kern w:val="2"/>
          <w:sz w:val="24"/>
          <w:szCs w:val="32"/>
          <w:highlight w:val="none"/>
          <w:lang w:val="en-US" w:eastAsia="zh-CN" w:bidi="ar-SA"/>
        </w:rPr>
        <w:t>事故泄漏排放</w:t>
      </w:r>
      <w:r>
        <w:rPr>
          <w:rFonts w:hint="eastAsia" w:cs="Times New Roman"/>
          <w:b w:val="0"/>
          <w:bCs/>
          <w:strike w:val="0"/>
          <w:dstrike w:val="0"/>
          <w:color w:val="auto"/>
          <w:kern w:val="2"/>
          <w:sz w:val="24"/>
          <w:szCs w:val="32"/>
          <w:highlight w:val="none"/>
          <w:lang w:val="en-US" w:eastAsia="zh-CN" w:bidi="ar-SA"/>
        </w:rPr>
        <w:t>可能</w:t>
      </w:r>
      <w:r>
        <w:rPr>
          <w:rFonts w:hint="eastAsia" w:ascii="Times New Roman" w:hAnsi="Times New Roman" w:eastAsia="宋体" w:cs="Times New Roman"/>
          <w:b w:val="0"/>
          <w:bCs/>
          <w:strike w:val="0"/>
          <w:dstrike w:val="0"/>
          <w:color w:val="auto"/>
          <w:kern w:val="2"/>
          <w:sz w:val="24"/>
          <w:szCs w:val="32"/>
          <w:highlight w:val="none"/>
          <w:lang w:val="en-US" w:eastAsia="zh-CN" w:bidi="ar-SA"/>
        </w:rPr>
        <w:t>会对</w:t>
      </w:r>
      <w:r>
        <w:rPr>
          <w:rFonts w:hint="eastAsia" w:cs="Times New Roman"/>
          <w:b w:val="0"/>
          <w:bCs/>
          <w:strike w:val="0"/>
          <w:dstrike w:val="0"/>
          <w:color w:val="auto"/>
          <w:kern w:val="2"/>
          <w:sz w:val="24"/>
          <w:szCs w:val="32"/>
          <w:highlight w:val="none"/>
          <w:lang w:val="en-US" w:eastAsia="zh-CN" w:bidi="ar-SA"/>
        </w:rPr>
        <w:t>周围大气、水</w:t>
      </w:r>
      <w:r>
        <w:rPr>
          <w:rFonts w:hint="eastAsia" w:ascii="Times New Roman" w:hAnsi="Times New Roman" w:eastAsia="宋体" w:cs="Times New Roman"/>
          <w:b w:val="0"/>
          <w:bCs/>
          <w:strike w:val="0"/>
          <w:dstrike w:val="0"/>
          <w:color w:val="auto"/>
          <w:kern w:val="2"/>
          <w:sz w:val="24"/>
          <w:szCs w:val="32"/>
          <w:highlight w:val="none"/>
          <w:lang w:val="en-US" w:eastAsia="zh-CN" w:bidi="ar-SA"/>
        </w:rPr>
        <w:t>环境造成污染；泄漏的</w:t>
      </w:r>
      <w:r>
        <w:rPr>
          <w:rFonts w:hint="eastAsia" w:cs="Times New Roman"/>
          <w:b w:val="0"/>
          <w:bCs/>
          <w:strike w:val="0"/>
          <w:dstrike w:val="0"/>
          <w:color w:val="auto"/>
          <w:kern w:val="2"/>
          <w:sz w:val="24"/>
          <w:szCs w:val="32"/>
          <w:highlight w:val="none"/>
          <w:lang w:val="en-US" w:eastAsia="zh-CN" w:bidi="ar-SA"/>
        </w:rPr>
        <w:t>汽油、柴油、</w:t>
      </w:r>
      <w:r>
        <w:rPr>
          <w:rFonts w:hint="eastAsia" w:ascii="Times New Roman" w:hAnsi="Times New Roman" w:eastAsia="宋体" w:cs="Times New Roman"/>
          <w:b w:val="0"/>
          <w:bCs/>
          <w:strike w:val="0"/>
          <w:dstrike w:val="0"/>
          <w:color w:val="auto"/>
          <w:kern w:val="2"/>
          <w:sz w:val="24"/>
          <w:szCs w:val="32"/>
          <w:highlight w:val="none"/>
          <w:lang w:val="en-US" w:eastAsia="zh-CN" w:bidi="ar-SA"/>
        </w:rPr>
        <w:t>天然气遇明火将发生火灾爆炸事故，存在火灾爆炸的危险性，将造成较大影响，包括财产损失和人员伤亡。</w:t>
      </w:r>
    </w:p>
    <w:p w14:paraId="48F14F46">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bCs/>
          <w:strike w:val="0"/>
          <w:dstrike w:val="0"/>
          <w:color w:val="auto"/>
          <w:kern w:val="2"/>
          <w:sz w:val="24"/>
          <w:szCs w:val="32"/>
          <w:highlight w:val="none"/>
          <w:lang w:val="en-US" w:eastAsia="zh-CN" w:bidi="ar-SA"/>
        </w:rPr>
      </w:pPr>
      <w:r>
        <w:rPr>
          <w:rFonts w:hint="eastAsia" w:ascii="Times New Roman" w:hAnsi="Times New Roman" w:eastAsia="宋体" w:cs="Times New Roman"/>
          <w:b w:val="0"/>
          <w:bCs/>
          <w:strike w:val="0"/>
          <w:dstrike w:val="0"/>
          <w:color w:val="auto"/>
          <w:kern w:val="2"/>
          <w:sz w:val="24"/>
          <w:szCs w:val="32"/>
          <w:highlight w:val="none"/>
          <w:lang w:val="en-US" w:eastAsia="zh-CN" w:bidi="ar-SA"/>
        </w:rPr>
        <w:t>根据《重庆合川燃气有限责任公司合川区土场综合能源站工程（加油部分）设立安全评价报告》的安全评价结果，单个汽油储罐发生爆炸的人员死亡半径为4.00m，建筑物严重损坏半径为3.57m，人员安全距离为5.42m，建筑物安全距离为8.61m。</w:t>
      </w:r>
    </w:p>
    <w:p w14:paraId="669F2740">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bCs/>
          <w:strike w:val="0"/>
          <w:dstrike w:val="0"/>
          <w:color w:val="auto"/>
          <w:kern w:val="2"/>
          <w:sz w:val="24"/>
          <w:szCs w:val="32"/>
          <w:highlight w:val="none"/>
          <w:lang w:val="en-US" w:eastAsia="zh-CN" w:bidi="ar-SA"/>
        </w:rPr>
      </w:pPr>
      <w:r>
        <w:rPr>
          <w:rFonts w:hint="eastAsia" w:ascii="Times New Roman" w:hAnsi="Times New Roman" w:eastAsia="宋体" w:cs="Times New Roman"/>
          <w:b w:val="0"/>
          <w:bCs/>
          <w:strike w:val="0"/>
          <w:dstrike w:val="0"/>
          <w:color w:val="auto"/>
          <w:kern w:val="2"/>
          <w:sz w:val="24"/>
          <w:szCs w:val="32"/>
          <w:highlight w:val="none"/>
          <w:lang w:val="en-US" w:eastAsia="zh-CN" w:bidi="ar-SA"/>
        </w:rPr>
        <w:t>根据《重庆合川燃气有限责任公司合川区土场综合能源站工程（加气部分）设立安全评价报告》的安全评价结果，发生爆炸的死亡半径14.75m，重伤半径41.07m，轻伤半径79.89m。</w:t>
      </w:r>
    </w:p>
    <w:p w14:paraId="5D27B962">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strike w:val="0"/>
          <w:dstrike w:val="0"/>
          <w:color w:val="auto"/>
          <w:kern w:val="2"/>
          <w:sz w:val="24"/>
          <w:szCs w:val="32"/>
          <w:highlight w:val="none"/>
          <w:lang w:val="en-US" w:eastAsia="zh-CN" w:bidi="ar-SA"/>
        </w:rPr>
      </w:pPr>
      <w:r>
        <w:rPr>
          <w:rFonts w:hint="eastAsia" w:ascii="Times New Roman" w:hAnsi="Times New Roman" w:cs="Times New Roman"/>
          <w:b w:val="0"/>
          <w:bCs/>
          <w:strike w:val="0"/>
          <w:dstrike w:val="0"/>
          <w:color w:val="auto"/>
          <w:kern w:val="2"/>
          <w:sz w:val="24"/>
          <w:szCs w:val="32"/>
          <w:highlight w:val="none"/>
          <w:lang w:val="en-US" w:eastAsia="zh-CN" w:bidi="ar-SA"/>
        </w:rPr>
        <w:t>（1）火灾爆炸事故</w:t>
      </w:r>
    </w:p>
    <w:p w14:paraId="1A4228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加油加气站发生火灾爆炸事故将造成人员伤亡和财产损失。</w:t>
      </w:r>
      <w:r>
        <w:rPr>
          <w:rFonts w:hint="eastAsia" w:ascii="Times New Roman" w:hAnsi="Times New Roman" w:eastAsia="宋体" w:cs="Times New Roman"/>
          <w:strike w:val="0"/>
          <w:dstrike w:val="0"/>
          <w:color w:val="auto"/>
          <w:kern w:val="0"/>
          <w:sz w:val="24"/>
          <w:szCs w:val="24"/>
          <w:highlight w:val="none"/>
          <w:lang w:val="en-US" w:eastAsia="zh-CN" w:bidi="ar"/>
        </w:rPr>
        <w:t>本</w:t>
      </w:r>
      <w:r>
        <w:rPr>
          <w:rFonts w:hint="default" w:ascii="Times New Roman" w:hAnsi="Times New Roman" w:eastAsia="宋体" w:cs="Times New Roman"/>
          <w:strike w:val="0"/>
          <w:dstrike w:val="0"/>
          <w:color w:val="auto"/>
          <w:kern w:val="0"/>
          <w:sz w:val="24"/>
          <w:szCs w:val="24"/>
          <w:highlight w:val="none"/>
          <w:lang w:val="en-US" w:eastAsia="zh-CN" w:bidi="ar"/>
        </w:rPr>
        <w:t>项目</w:t>
      </w:r>
      <w:r>
        <w:rPr>
          <w:rFonts w:hint="eastAsia" w:ascii="Times New Roman" w:hAnsi="Times New Roman" w:eastAsia="宋体" w:cs="Times New Roman"/>
          <w:strike w:val="0"/>
          <w:dstrike w:val="0"/>
          <w:color w:val="auto"/>
          <w:kern w:val="0"/>
          <w:sz w:val="24"/>
          <w:szCs w:val="24"/>
          <w:highlight w:val="none"/>
          <w:lang w:val="en-US" w:eastAsia="zh-CN" w:bidi="ar"/>
        </w:rPr>
        <w:t>储</w:t>
      </w:r>
      <w:r>
        <w:rPr>
          <w:rFonts w:hint="default" w:ascii="Times New Roman" w:hAnsi="Times New Roman" w:eastAsia="宋体" w:cs="Times New Roman"/>
          <w:strike w:val="0"/>
          <w:dstrike w:val="0"/>
          <w:color w:val="auto"/>
          <w:kern w:val="0"/>
          <w:sz w:val="24"/>
          <w:szCs w:val="24"/>
          <w:highlight w:val="none"/>
          <w:lang w:val="en-US" w:eastAsia="zh-CN" w:bidi="ar"/>
        </w:rPr>
        <w:t>罐</w:t>
      </w:r>
      <w:r>
        <w:rPr>
          <w:rFonts w:hint="eastAsia" w:ascii="Times New Roman" w:hAnsi="Times New Roman" w:eastAsia="宋体" w:cs="Times New Roman"/>
          <w:strike w:val="0"/>
          <w:dstrike w:val="0"/>
          <w:color w:val="auto"/>
          <w:kern w:val="0"/>
          <w:sz w:val="24"/>
          <w:szCs w:val="24"/>
          <w:highlight w:val="none"/>
          <w:lang w:val="en-US" w:eastAsia="zh-CN" w:bidi="ar"/>
        </w:rPr>
        <w:t>均</w:t>
      </w:r>
      <w:r>
        <w:rPr>
          <w:rFonts w:hint="default" w:ascii="Times New Roman" w:hAnsi="Times New Roman" w:eastAsia="宋体" w:cs="Times New Roman"/>
          <w:strike w:val="0"/>
          <w:dstrike w:val="0"/>
          <w:color w:val="auto"/>
          <w:kern w:val="0"/>
          <w:sz w:val="24"/>
          <w:szCs w:val="24"/>
          <w:highlight w:val="none"/>
          <w:lang w:val="en-US" w:eastAsia="zh-CN" w:bidi="ar"/>
        </w:rPr>
        <w:t>安装阻隔防爆材料，同时在加油</w:t>
      </w:r>
      <w:r>
        <w:rPr>
          <w:rFonts w:hint="eastAsia" w:ascii="Times New Roman" w:hAnsi="Times New Roman" w:eastAsia="宋体" w:cs="Times New Roman"/>
          <w:strike w:val="0"/>
          <w:dstrike w:val="0"/>
          <w:color w:val="auto"/>
          <w:kern w:val="0"/>
          <w:sz w:val="24"/>
          <w:szCs w:val="24"/>
          <w:highlight w:val="none"/>
          <w:lang w:val="en-US" w:eastAsia="zh-CN" w:bidi="ar"/>
        </w:rPr>
        <w:t>加气</w:t>
      </w:r>
      <w:r>
        <w:rPr>
          <w:rFonts w:hint="default" w:ascii="Times New Roman" w:hAnsi="Times New Roman" w:eastAsia="宋体" w:cs="Times New Roman"/>
          <w:strike w:val="0"/>
          <w:dstrike w:val="0"/>
          <w:color w:val="auto"/>
          <w:kern w:val="0"/>
          <w:sz w:val="24"/>
          <w:szCs w:val="24"/>
          <w:highlight w:val="none"/>
          <w:lang w:val="en-US" w:eastAsia="zh-CN" w:bidi="ar"/>
        </w:rPr>
        <w:t>站与站外建筑物之间设置了非燃烧墙。项目</w:t>
      </w:r>
      <w:r>
        <w:rPr>
          <w:rFonts w:hint="eastAsia" w:ascii="Times New Roman" w:hAnsi="Times New Roman" w:eastAsia="宋体" w:cs="Times New Roman"/>
          <w:strike w:val="0"/>
          <w:dstrike w:val="0"/>
          <w:color w:val="auto"/>
          <w:kern w:val="0"/>
          <w:sz w:val="24"/>
          <w:szCs w:val="24"/>
          <w:highlight w:val="none"/>
          <w:lang w:val="en-US" w:eastAsia="zh-CN" w:bidi="ar"/>
        </w:rPr>
        <w:t>建设</w:t>
      </w:r>
      <w:r>
        <w:rPr>
          <w:rFonts w:hint="default" w:ascii="Times New Roman" w:hAnsi="Times New Roman" w:eastAsia="宋体" w:cs="Times New Roman"/>
          <w:strike w:val="0"/>
          <w:dstrike w:val="0"/>
          <w:color w:val="auto"/>
          <w:kern w:val="0"/>
          <w:sz w:val="24"/>
          <w:szCs w:val="24"/>
          <w:highlight w:val="none"/>
          <w:lang w:val="en-US" w:eastAsia="zh-CN" w:bidi="ar"/>
        </w:rPr>
        <w:t>符合《汽车加油加气加氢站技术标准》（GB50156-2021）相关规定。消防设施、器材有专人管理，消防器材设置在明显</w:t>
      </w:r>
      <w:bookmarkStart w:id="174" w:name="OfficeAI_Add_1_130"/>
      <w:r>
        <w:rPr>
          <w:rFonts w:hint="eastAsia" w:cs="Times New Roman"/>
          <w:strike w:val="0"/>
          <w:dstrike w:val="0"/>
          <w:color w:val="auto"/>
          <w:kern w:val="0"/>
          <w:sz w:val="24"/>
          <w:szCs w:val="24"/>
          <w:highlight w:val="none"/>
          <w:lang w:val="en-US" w:eastAsia="zh-CN" w:bidi="ar"/>
        </w:rPr>
        <w:t>且</w:t>
      </w:r>
      <w:bookmarkEnd w:id="174"/>
      <w:r>
        <w:rPr>
          <w:rFonts w:hint="default" w:ascii="Times New Roman" w:hAnsi="Times New Roman" w:eastAsia="宋体" w:cs="Times New Roman"/>
          <w:strike w:val="0"/>
          <w:dstrike w:val="0"/>
          <w:color w:val="auto"/>
          <w:kern w:val="0"/>
          <w:sz w:val="24"/>
          <w:szCs w:val="24"/>
          <w:highlight w:val="none"/>
          <w:lang w:val="en-US" w:eastAsia="zh-CN" w:bidi="ar"/>
        </w:rPr>
        <w:t>便于取用的地点，周围未存放其他物品，消防给水和灭火设备符合《建筑设计防火规范》（GB50016-20</w:t>
      </w:r>
      <w:r>
        <w:rPr>
          <w:rFonts w:hint="eastAsia" w:ascii="Times New Roman" w:hAnsi="Times New Roman" w:eastAsia="宋体" w:cs="Times New Roman"/>
          <w:strike w:val="0"/>
          <w:dstrike w:val="0"/>
          <w:color w:val="auto"/>
          <w:kern w:val="0"/>
          <w:sz w:val="24"/>
          <w:szCs w:val="24"/>
          <w:highlight w:val="none"/>
          <w:lang w:val="en-US" w:eastAsia="zh-CN" w:bidi="ar"/>
        </w:rPr>
        <w:t>14</w:t>
      </w:r>
      <w:r>
        <w:rPr>
          <w:rFonts w:hint="default" w:ascii="Times New Roman" w:hAnsi="Times New Roman" w:eastAsia="宋体" w:cs="Times New Roman"/>
          <w:strike w:val="0"/>
          <w:dstrike w:val="0"/>
          <w:color w:val="auto"/>
          <w:kern w:val="0"/>
          <w:sz w:val="24"/>
          <w:szCs w:val="24"/>
          <w:highlight w:val="none"/>
          <w:lang w:val="en-US" w:eastAsia="zh-CN" w:bidi="ar"/>
        </w:rPr>
        <w:t>）</w:t>
      </w:r>
      <w:r>
        <w:rPr>
          <w:rFonts w:hint="eastAsia" w:ascii="Times New Roman" w:hAnsi="Times New Roman" w:eastAsia="宋体" w:cs="Times New Roman"/>
          <w:strike w:val="0"/>
          <w:dstrike w:val="0"/>
          <w:color w:val="auto"/>
          <w:kern w:val="0"/>
          <w:sz w:val="24"/>
          <w:szCs w:val="24"/>
          <w:highlight w:val="none"/>
          <w:lang w:val="en-US" w:eastAsia="zh-CN" w:bidi="ar"/>
        </w:rPr>
        <w:t>、</w:t>
      </w:r>
      <w:r>
        <w:rPr>
          <w:rFonts w:hint="default" w:ascii="Times New Roman" w:hAnsi="Times New Roman" w:eastAsia="宋体" w:cs="Times New Roman"/>
          <w:strike w:val="0"/>
          <w:dstrike w:val="0"/>
          <w:color w:val="auto"/>
          <w:kern w:val="0"/>
          <w:sz w:val="24"/>
          <w:szCs w:val="24"/>
          <w:highlight w:val="none"/>
          <w:lang w:val="en-US" w:eastAsia="zh-CN" w:bidi="ar"/>
        </w:rPr>
        <w:t>《</w:t>
      </w:r>
      <w:r>
        <w:rPr>
          <w:rFonts w:hint="default" w:ascii="Times New Roman" w:hAnsi="Times New Roman" w:eastAsia="宋体" w:cs="Times New Roman"/>
          <w:strike w:val="0"/>
          <w:dstrike w:val="0"/>
          <w:color w:val="auto"/>
          <w:kern w:val="0"/>
          <w:sz w:val="24"/>
          <w:szCs w:val="24"/>
          <w:highlight w:val="none"/>
          <w:lang w:val="en-US" w:eastAsia="zh-CN" w:bidi="ar"/>
        </w:rPr>
        <w:fldChar w:fldCharType="begin"/>
      </w:r>
      <w:r>
        <w:rPr>
          <w:rFonts w:hint="default" w:ascii="Times New Roman" w:hAnsi="Times New Roman" w:eastAsia="宋体" w:cs="Times New Roman"/>
          <w:strike w:val="0"/>
          <w:dstrike w:val="0"/>
          <w:color w:val="auto"/>
          <w:kern w:val="0"/>
          <w:sz w:val="24"/>
          <w:szCs w:val="24"/>
          <w:highlight w:val="none"/>
          <w:lang w:val="en-US" w:eastAsia="zh-CN" w:bidi="ar"/>
        </w:rPr>
        <w:instrText xml:space="preserve"> HYPERLINK "https://baike.baidu.com/item/%E5%BB%BA%E7%AD%91%E9%98%B2%E7%81%AB%E9%80%9A%E7%94%A8%E8%A7%84%E8%8C%83/62602720?fromModule=lemma_inlink" \t "https://baike.baidu.com/item/%E5%BB%BA%E7%AD%91%E8%AE%BE%E8%AE%A1%E9%98%B2%E7%81%AB%E8%A7%84%E8%8C%83/_blank" </w:instrText>
      </w:r>
      <w:r>
        <w:rPr>
          <w:rFonts w:hint="default" w:ascii="Times New Roman" w:hAnsi="Times New Roman" w:eastAsia="宋体" w:cs="Times New Roman"/>
          <w:strike w:val="0"/>
          <w:dstrike w:val="0"/>
          <w:color w:val="auto"/>
          <w:kern w:val="0"/>
          <w:sz w:val="24"/>
          <w:szCs w:val="24"/>
          <w:highlight w:val="none"/>
          <w:lang w:val="en-US" w:eastAsia="zh-CN" w:bidi="ar"/>
        </w:rPr>
        <w:fldChar w:fldCharType="separate"/>
      </w:r>
      <w:r>
        <w:rPr>
          <w:rFonts w:hint="default" w:ascii="Times New Roman" w:hAnsi="Times New Roman" w:eastAsia="宋体" w:cs="Times New Roman"/>
          <w:strike w:val="0"/>
          <w:dstrike w:val="0"/>
          <w:color w:val="auto"/>
          <w:kern w:val="0"/>
          <w:sz w:val="24"/>
          <w:szCs w:val="24"/>
          <w:highlight w:val="none"/>
          <w:lang w:val="en-US" w:eastAsia="zh-CN" w:bidi="ar"/>
        </w:rPr>
        <w:t>建筑防火通用规范</w:t>
      </w:r>
      <w:r>
        <w:rPr>
          <w:rFonts w:hint="default" w:ascii="Times New Roman" w:hAnsi="Times New Roman" w:eastAsia="宋体" w:cs="Times New Roman"/>
          <w:strike w:val="0"/>
          <w:dstrike w:val="0"/>
          <w:color w:val="auto"/>
          <w:kern w:val="0"/>
          <w:sz w:val="24"/>
          <w:szCs w:val="24"/>
          <w:highlight w:val="none"/>
          <w:lang w:val="en-US" w:eastAsia="zh-CN" w:bidi="ar"/>
        </w:rPr>
        <w:fldChar w:fldCharType="end"/>
      </w:r>
      <w:r>
        <w:rPr>
          <w:rFonts w:hint="default" w:ascii="Times New Roman" w:hAnsi="Times New Roman" w:eastAsia="宋体" w:cs="Times New Roman"/>
          <w:strike w:val="0"/>
          <w:dstrike w:val="0"/>
          <w:color w:val="auto"/>
          <w:kern w:val="0"/>
          <w:sz w:val="24"/>
          <w:szCs w:val="24"/>
          <w:highlight w:val="none"/>
          <w:lang w:val="en-US" w:eastAsia="zh-CN" w:bidi="ar"/>
        </w:rPr>
        <w:t>》（GB 55037-2022）规定。</w:t>
      </w:r>
    </w:p>
    <w:p w14:paraId="4D4EAEE6">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trike w:val="0"/>
          <w:dstrike w:val="0"/>
          <w:color w:val="auto"/>
          <w:kern w:val="0"/>
          <w:sz w:val="24"/>
          <w:szCs w:val="24"/>
          <w:highlight w:val="none"/>
          <w:lang w:val="en-US" w:eastAsia="zh-CN" w:bidi="ar"/>
        </w:rPr>
      </w:pPr>
      <w:r>
        <w:rPr>
          <w:rFonts w:hint="default" w:ascii="Times New Roman" w:hAnsi="Times New Roman" w:eastAsia="宋体" w:cs="Times New Roman"/>
          <w:b/>
          <w:bCs/>
          <w:strike w:val="0"/>
          <w:dstrike w:val="0"/>
          <w:color w:val="auto"/>
          <w:kern w:val="0"/>
          <w:sz w:val="24"/>
          <w:szCs w:val="24"/>
          <w:highlight w:val="none"/>
          <w:lang w:val="en-US" w:eastAsia="zh-CN" w:bidi="ar"/>
        </w:rPr>
        <w:t>泄漏事故</w:t>
      </w:r>
    </w:p>
    <w:p w14:paraId="435A80A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eastAsia" w:ascii="Times New Roman" w:hAnsi="Times New Roman" w:eastAsia="宋体" w:cs="Times New Roman"/>
          <w:strike w:val="0"/>
          <w:dstrike w:val="0"/>
          <w:color w:val="auto"/>
          <w:kern w:val="0"/>
          <w:sz w:val="24"/>
          <w:szCs w:val="24"/>
          <w:highlight w:val="none"/>
          <w:lang w:val="en-US" w:eastAsia="zh-CN" w:bidi="ar"/>
        </w:rPr>
        <w:t>本</w:t>
      </w:r>
      <w:r>
        <w:rPr>
          <w:rFonts w:hint="default" w:ascii="Times New Roman" w:hAnsi="Times New Roman" w:eastAsia="宋体" w:cs="Times New Roman"/>
          <w:strike w:val="0"/>
          <w:dstrike w:val="0"/>
          <w:color w:val="auto"/>
          <w:kern w:val="0"/>
          <w:sz w:val="24"/>
          <w:szCs w:val="24"/>
          <w:highlight w:val="none"/>
          <w:lang w:val="en-US" w:eastAsia="zh-CN" w:bidi="ar"/>
        </w:rPr>
        <w:t>项目</w:t>
      </w:r>
      <w:r>
        <w:rPr>
          <w:rFonts w:hint="eastAsia" w:ascii="Times New Roman" w:hAnsi="Times New Roman" w:eastAsia="宋体" w:cs="Times New Roman"/>
          <w:strike w:val="0"/>
          <w:dstrike w:val="0"/>
          <w:color w:val="auto"/>
          <w:kern w:val="0"/>
          <w:sz w:val="24"/>
          <w:szCs w:val="24"/>
          <w:highlight w:val="none"/>
          <w:lang w:val="en-US" w:eastAsia="zh-CN" w:bidi="ar"/>
        </w:rPr>
        <w:t>可能发生</w:t>
      </w:r>
      <w:r>
        <w:rPr>
          <w:rFonts w:hint="default" w:ascii="Times New Roman" w:hAnsi="Times New Roman" w:eastAsia="宋体" w:cs="Times New Roman"/>
          <w:strike w:val="0"/>
          <w:dstrike w:val="0"/>
          <w:color w:val="auto"/>
          <w:kern w:val="0"/>
          <w:sz w:val="24"/>
          <w:szCs w:val="24"/>
          <w:highlight w:val="none"/>
          <w:lang w:val="en-US" w:eastAsia="zh-CN" w:bidi="ar"/>
        </w:rPr>
        <w:t>油品</w:t>
      </w:r>
      <w:r>
        <w:rPr>
          <w:rFonts w:hint="eastAsia" w:ascii="Times New Roman" w:hAnsi="Times New Roman" w:eastAsia="宋体" w:cs="Times New Roman"/>
          <w:strike w:val="0"/>
          <w:dstrike w:val="0"/>
          <w:color w:val="auto"/>
          <w:kern w:val="0"/>
          <w:sz w:val="24"/>
          <w:szCs w:val="24"/>
          <w:highlight w:val="none"/>
          <w:lang w:val="en-US" w:eastAsia="zh-CN" w:bidi="ar"/>
        </w:rPr>
        <w:t>/天然气泄漏事故</w:t>
      </w:r>
      <w:r>
        <w:rPr>
          <w:rFonts w:hint="default" w:ascii="Times New Roman" w:hAnsi="Times New Roman" w:eastAsia="宋体" w:cs="Times New Roman"/>
          <w:strike w:val="0"/>
          <w:dstrike w:val="0"/>
          <w:color w:val="auto"/>
          <w:kern w:val="0"/>
          <w:sz w:val="24"/>
          <w:szCs w:val="24"/>
          <w:highlight w:val="none"/>
          <w:lang w:val="en-US" w:eastAsia="zh-CN" w:bidi="ar"/>
        </w:rPr>
        <w:t>，</w:t>
      </w:r>
      <w:r>
        <w:rPr>
          <w:rFonts w:hint="eastAsia" w:ascii="Times New Roman" w:hAnsi="Times New Roman" w:eastAsia="宋体" w:cs="Times New Roman"/>
          <w:strike w:val="0"/>
          <w:dstrike w:val="0"/>
          <w:color w:val="auto"/>
          <w:kern w:val="0"/>
          <w:sz w:val="24"/>
          <w:szCs w:val="24"/>
          <w:highlight w:val="none"/>
          <w:lang w:val="en-US" w:eastAsia="zh-CN" w:bidi="ar"/>
        </w:rPr>
        <w:t>主要事故源于油品泄漏，</w:t>
      </w:r>
      <w:r>
        <w:rPr>
          <w:rFonts w:hint="default" w:ascii="Times New Roman" w:hAnsi="Times New Roman" w:eastAsia="宋体" w:cs="Times New Roman"/>
          <w:strike w:val="0"/>
          <w:dstrike w:val="0"/>
          <w:color w:val="auto"/>
          <w:kern w:val="0"/>
          <w:sz w:val="24"/>
          <w:szCs w:val="24"/>
          <w:highlight w:val="none"/>
          <w:lang w:val="en-US" w:eastAsia="zh-CN" w:bidi="ar"/>
        </w:rPr>
        <w:t>一旦发生油品</w:t>
      </w:r>
      <w:r>
        <w:rPr>
          <w:rFonts w:hint="eastAsia" w:ascii="Times New Roman" w:hAnsi="Times New Roman" w:eastAsia="宋体" w:cs="Times New Roman"/>
          <w:strike w:val="0"/>
          <w:dstrike w:val="0"/>
          <w:color w:val="auto"/>
          <w:kern w:val="0"/>
          <w:sz w:val="24"/>
          <w:szCs w:val="24"/>
          <w:highlight w:val="none"/>
          <w:lang w:val="en-US" w:eastAsia="zh-CN" w:bidi="ar"/>
        </w:rPr>
        <w:t>/天然气</w:t>
      </w:r>
      <w:r>
        <w:rPr>
          <w:rFonts w:hint="default" w:ascii="Times New Roman" w:hAnsi="Times New Roman" w:eastAsia="宋体" w:cs="Times New Roman"/>
          <w:strike w:val="0"/>
          <w:dstrike w:val="0"/>
          <w:color w:val="auto"/>
          <w:kern w:val="0"/>
          <w:sz w:val="24"/>
          <w:szCs w:val="24"/>
          <w:highlight w:val="none"/>
          <w:lang w:val="en-US" w:eastAsia="zh-CN" w:bidi="ar"/>
        </w:rPr>
        <w:t>泄漏事故，其引起的环境污染造成的后果难以估量，其成品油进入环境，将对河流、土壤、地下水、生物造成毁灭性的污染，这种污染一般范围较广、面积较大、后果较为严重，达到自然环境的完全恢复需要相当长的时间。同时，由于油品泄漏造成油品挥发，油蒸气逸散，进而发生火灾、爆炸和中毒事故。</w:t>
      </w:r>
    </w:p>
    <w:p w14:paraId="3FC3CDB2">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Chars="0" w:firstLine="482" w:firstLineChars="200"/>
        <w:jc w:val="both"/>
        <w:textAlignment w:val="auto"/>
        <w:rPr>
          <w:rFonts w:hint="default" w:ascii="Times New Roman" w:hAnsi="Times New Roman" w:eastAsia="宋体" w:cs="Times New Roman"/>
          <w:b/>
          <w:bCs/>
          <w:strike w:val="0"/>
          <w:dstrike w:val="0"/>
          <w:color w:val="auto"/>
          <w:kern w:val="0"/>
          <w:sz w:val="24"/>
          <w:szCs w:val="24"/>
          <w:highlight w:val="none"/>
          <w:lang w:val="en-US" w:eastAsia="zh-CN" w:bidi="ar"/>
        </w:rPr>
      </w:pPr>
      <w:r>
        <w:rPr>
          <w:rFonts w:hint="default" w:ascii="Times New Roman" w:hAnsi="Times New Roman" w:eastAsia="宋体" w:cs="Times New Roman"/>
          <w:b/>
          <w:bCs/>
          <w:strike w:val="0"/>
          <w:dstrike w:val="0"/>
          <w:color w:val="auto"/>
          <w:kern w:val="0"/>
          <w:sz w:val="24"/>
          <w:szCs w:val="24"/>
          <w:highlight w:val="none"/>
          <w:lang w:val="en-US" w:eastAsia="zh-CN" w:bidi="ar"/>
        </w:rPr>
        <w:t>对地表水的污染</w:t>
      </w:r>
    </w:p>
    <w:p w14:paraId="5E4EC6B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泄漏或渗漏的成品油一旦进入地表河流，将造成地表河流的污染，影响范围小到几公里，大到几十公里。污染首先将造成地表河流的景观破坏，产生严重的刺鼻气味；其次，因有机烃类物质难溶于水，大部分浮在水层表面，形成一层油膜使空气与水隔离，造成水中溶解氧浓度降低，逐渐形成死水，致使水中生物死亡；再次，成品油的主要成分是 C4～C9 的烃类、芳烃类、醇酮类以及卤代烃类的有机物，一旦进入水环境，由于可生化性较差，造成被污染水体长时间得不到净化，完全恢复则需十几年、甚至几十年的时间。</w:t>
      </w:r>
    </w:p>
    <w:p w14:paraId="150F542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eastAsia="宋体" w:cs="Times New Roman"/>
          <w:strike w:val="0"/>
          <w:dstrike w:val="0"/>
          <w:color w:val="auto"/>
          <w:kern w:val="0"/>
          <w:sz w:val="24"/>
          <w:szCs w:val="24"/>
          <w:highlight w:val="none"/>
          <w:lang w:val="en-US" w:eastAsia="zh-CN" w:bidi="ar"/>
        </w:rPr>
        <w:t>本项目</w:t>
      </w:r>
      <w:r>
        <w:rPr>
          <w:rFonts w:hint="eastAsia" w:ascii="Times New Roman" w:hAnsi="Times New Roman" w:eastAsia="宋体" w:cs="Times New Roman"/>
          <w:strike w:val="0"/>
          <w:dstrike w:val="0"/>
          <w:color w:val="auto"/>
          <w:kern w:val="0"/>
          <w:sz w:val="24"/>
          <w:szCs w:val="24"/>
          <w:highlight w:val="none"/>
          <w:lang w:val="en-US" w:eastAsia="zh-CN" w:bidi="ar"/>
        </w:rPr>
        <w:t>储油罐区</w:t>
      </w:r>
      <w:r>
        <w:rPr>
          <w:rFonts w:hint="default" w:ascii="Times New Roman" w:hAnsi="Times New Roman" w:eastAsia="宋体" w:cs="Times New Roman"/>
          <w:strike w:val="0"/>
          <w:dstrike w:val="0"/>
          <w:color w:val="auto"/>
          <w:kern w:val="0"/>
          <w:sz w:val="24"/>
          <w:szCs w:val="24"/>
          <w:highlight w:val="none"/>
          <w:lang w:val="en-US" w:eastAsia="zh-CN" w:bidi="ar"/>
        </w:rPr>
        <w:t>的油罐均为</w:t>
      </w:r>
      <w:r>
        <w:rPr>
          <w:rFonts w:hint="eastAsia" w:ascii="Times New Roman" w:hAnsi="Times New Roman" w:eastAsia="宋体" w:cs="Times New Roman"/>
          <w:strike w:val="0"/>
          <w:dstrike w:val="0"/>
          <w:color w:val="auto"/>
          <w:kern w:val="0"/>
          <w:sz w:val="24"/>
          <w:szCs w:val="24"/>
          <w:highlight w:val="none"/>
          <w:lang w:val="en-US" w:eastAsia="zh-CN" w:bidi="ar"/>
        </w:rPr>
        <w:t>SF</w:t>
      </w:r>
      <w:r>
        <w:rPr>
          <w:rFonts w:hint="default" w:ascii="Times New Roman" w:hAnsi="Times New Roman" w:eastAsia="宋体" w:cs="Times New Roman"/>
          <w:strike w:val="0"/>
          <w:dstrike w:val="0"/>
          <w:color w:val="auto"/>
          <w:kern w:val="0"/>
          <w:sz w:val="24"/>
          <w:szCs w:val="24"/>
          <w:highlight w:val="none"/>
          <w:lang w:val="en-US" w:eastAsia="zh-CN" w:bidi="ar"/>
        </w:rPr>
        <w:t>双层罐，经检验合格后使用。油罐直埋地下，覆土厚度为0.5m，符合国家标准要求。因此当</w:t>
      </w:r>
      <w:r>
        <w:rPr>
          <w:rFonts w:hint="eastAsia" w:ascii="Times New Roman" w:hAnsi="Times New Roman" w:eastAsia="宋体" w:cs="Times New Roman"/>
          <w:strike w:val="0"/>
          <w:dstrike w:val="0"/>
          <w:color w:val="auto"/>
          <w:kern w:val="0"/>
          <w:sz w:val="24"/>
          <w:szCs w:val="24"/>
          <w:highlight w:val="none"/>
          <w:lang w:val="en-US" w:eastAsia="zh-CN" w:bidi="ar"/>
        </w:rPr>
        <w:t>项目</w:t>
      </w:r>
      <w:r>
        <w:rPr>
          <w:rFonts w:hint="default" w:ascii="Times New Roman" w:hAnsi="Times New Roman" w:eastAsia="宋体" w:cs="Times New Roman"/>
          <w:strike w:val="0"/>
          <w:dstrike w:val="0"/>
          <w:color w:val="auto"/>
          <w:kern w:val="0"/>
          <w:sz w:val="24"/>
          <w:szCs w:val="24"/>
          <w:highlight w:val="none"/>
          <w:lang w:val="en-US" w:eastAsia="zh-CN" w:bidi="ar"/>
        </w:rPr>
        <w:t>一旦发生渗漏与溢出事故时，油品将积聚在储罐的强化玻璃纤维外壳，液位监测系统能及时发现异常，工作人员能及时处理，油品不会溢出储罐，也不会进入地表水体。</w:t>
      </w:r>
    </w:p>
    <w:p w14:paraId="58656BF3">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strike w:val="0"/>
          <w:dstrike w:val="0"/>
          <w:color w:val="auto"/>
          <w:kern w:val="0"/>
          <w:sz w:val="24"/>
          <w:szCs w:val="24"/>
          <w:highlight w:val="none"/>
          <w:lang w:val="en-US" w:eastAsia="zh-CN" w:bidi="ar"/>
        </w:rPr>
      </w:pPr>
      <w:r>
        <w:rPr>
          <w:rFonts w:hint="default" w:ascii="Times New Roman" w:hAnsi="Times New Roman" w:eastAsia="宋体" w:cs="Times New Roman"/>
          <w:b/>
          <w:bCs/>
          <w:strike w:val="0"/>
          <w:dstrike w:val="0"/>
          <w:color w:val="auto"/>
          <w:kern w:val="0"/>
          <w:sz w:val="24"/>
          <w:szCs w:val="24"/>
          <w:highlight w:val="none"/>
          <w:lang w:val="en-US" w:eastAsia="zh-CN" w:bidi="ar"/>
        </w:rPr>
        <w:t>对地下水的污染</w:t>
      </w:r>
    </w:p>
    <w:p w14:paraId="6524597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储油罐和输油管线的泄漏或渗漏对地下水的污染较为严重，地下水一旦遭到成品油的污染，将使地下水产生严重异味，并具有较强的致畸致癌性，根本无法饮用。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要几十年甚至上百年的时间。</w:t>
      </w:r>
    </w:p>
    <w:p w14:paraId="4C6B936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eastAsia="宋体" w:cs="Times New Roman"/>
          <w:strike w:val="0"/>
          <w:dstrike w:val="0"/>
          <w:color w:val="auto"/>
          <w:kern w:val="0"/>
          <w:sz w:val="24"/>
          <w:szCs w:val="24"/>
          <w:highlight w:val="none"/>
          <w:lang w:val="en-US" w:eastAsia="zh-CN" w:bidi="ar"/>
        </w:rPr>
        <w:t>项目选用</w:t>
      </w:r>
      <w:r>
        <w:rPr>
          <w:rFonts w:hint="eastAsia" w:ascii="Times New Roman" w:hAnsi="Times New Roman" w:eastAsia="宋体" w:cs="Times New Roman"/>
          <w:strike w:val="0"/>
          <w:dstrike w:val="0"/>
          <w:color w:val="auto"/>
          <w:kern w:val="0"/>
          <w:sz w:val="24"/>
          <w:szCs w:val="24"/>
          <w:highlight w:val="none"/>
          <w:lang w:val="en-US" w:eastAsia="zh-CN" w:bidi="ar"/>
        </w:rPr>
        <w:t>SF</w:t>
      </w:r>
      <w:r>
        <w:rPr>
          <w:rFonts w:hint="default" w:ascii="Times New Roman" w:hAnsi="Times New Roman" w:eastAsia="宋体" w:cs="Times New Roman"/>
          <w:strike w:val="0"/>
          <w:dstrike w:val="0"/>
          <w:color w:val="auto"/>
          <w:kern w:val="0"/>
          <w:sz w:val="24"/>
          <w:szCs w:val="24"/>
          <w:highlight w:val="none"/>
          <w:lang w:val="en-US" w:eastAsia="zh-CN" w:bidi="ar"/>
        </w:rPr>
        <w:t>双层罐的进行成品油的储存，并且安装液位监控系统监控异常渗油漏油事故，当双层罐里面的钢制内壳发生破损渗漏，外层强化玻璃纤维外壳的可以保障油品不会</w:t>
      </w:r>
      <w:r>
        <w:rPr>
          <w:rFonts w:hint="eastAsia" w:ascii="Times New Roman" w:hAnsi="Times New Roman" w:eastAsia="宋体" w:cs="Times New Roman"/>
          <w:strike w:val="0"/>
          <w:dstrike w:val="0"/>
          <w:color w:val="auto"/>
          <w:kern w:val="0"/>
          <w:sz w:val="24"/>
          <w:szCs w:val="24"/>
          <w:highlight w:val="none"/>
          <w:lang w:val="en-US" w:eastAsia="zh-CN" w:bidi="ar"/>
        </w:rPr>
        <w:t>泄漏</w:t>
      </w:r>
      <w:r>
        <w:rPr>
          <w:rFonts w:hint="default" w:ascii="Times New Roman" w:hAnsi="Times New Roman" w:eastAsia="宋体" w:cs="Times New Roman"/>
          <w:strike w:val="0"/>
          <w:dstrike w:val="0"/>
          <w:color w:val="auto"/>
          <w:kern w:val="0"/>
          <w:sz w:val="24"/>
          <w:szCs w:val="24"/>
          <w:highlight w:val="none"/>
          <w:lang w:val="en-US" w:eastAsia="zh-CN" w:bidi="ar"/>
        </w:rPr>
        <w:t>进入土壤环境，同时液位监测系统能及时发现液位异常，工作人员可及时处理。</w:t>
      </w:r>
    </w:p>
    <w:p w14:paraId="366A7F10">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卸油采取快速接头、自流密闭式卸油方式。</w:t>
      </w:r>
      <w:r>
        <w:rPr>
          <w:rFonts w:hint="eastAsia" w:ascii="Times New Roman" w:hAnsi="Times New Roman" w:eastAsia="宋体" w:cs="Times New Roman"/>
          <w:strike w:val="0"/>
          <w:dstrike w:val="0"/>
          <w:color w:val="auto"/>
          <w:kern w:val="0"/>
          <w:sz w:val="24"/>
          <w:szCs w:val="24"/>
          <w:highlight w:val="none"/>
          <w:lang w:val="en-US" w:eastAsia="zh-CN" w:bidi="ar"/>
        </w:rPr>
        <w:t>项目</w:t>
      </w:r>
      <w:r>
        <w:rPr>
          <w:rFonts w:hint="default" w:ascii="Times New Roman" w:hAnsi="Times New Roman" w:eastAsia="宋体" w:cs="Times New Roman"/>
          <w:strike w:val="0"/>
          <w:dstrike w:val="0"/>
          <w:color w:val="auto"/>
          <w:kern w:val="0"/>
          <w:sz w:val="24"/>
          <w:szCs w:val="24"/>
          <w:highlight w:val="none"/>
          <w:lang w:val="en-US" w:eastAsia="zh-CN" w:bidi="ar"/>
        </w:rPr>
        <w:t>储油</w:t>
      </w:r>
      <w:r>
        <w:rPr>
          <w:rFonts w:hint="eastAsia" w:ascii="Times New Roman" w:hAnsi="Times New Roman" w:eastAsia="宋体" w:cs="Times New Roman"/>
          <w:strike w:val="0"/>
          <w:dstrike w:val="0"/>
          <w:color w:val="auto"/>
          <w:kern w:val="0"/>
          <w:sz w:val="24"/>
          <w:szCs w:val="24"/>
          <w:highlight w:val="none"/>
          <w:lang w:val="en-US" w:eastAsia="zh-CN" w:bidi="ar"/>
        </w:rPr>
        <w:t>罐</w:t>
      </w:r>
      <w:r>
        <w:rPr>
          <w:rFonts w:hint="default" w:ascii="Times New Roman" w:hAnsi="Times New Roman" w:eastAsia="宋体" w:cs="Times New Roman"/>
          <w:strike w:val="0"/>
          <w:dstrike w:val="0"/>
          <w:color w:val="auto"/>
          <w:kern w:val="0"/>
          <w:sz w:val="24"/>
          <w:szCs w:val="24"/>
          <w:highlight w:val="none"/>
          <w:lang w:val="en-US" w:eastAsia="zh-CN" w:bidi="ar"/>
        </w:rPr>
        <w:t>区设置</w:t>
      </w:r>
      <w:r>
        <w:rPr>
          <w:rFonts w:hint="eastAsia" w:ascii="Times New Roman" w:hAnsi="Times New Roman" w:eastAsia="宋体" w:cs="Times New Roman"/>
          <w:strike w:val="0"/>
          <w:dstrike w:val="0"/>
          <w:color w:val="auto"/>
          <w:kern w:val="0"/>
          <w:sz w:val="24"/>
          <w:szCs w:val="24"/>
          <w:highlight w:val="none"/>
          <w:lang w:val="en-US" w:eastAsia="zh-CN" w:bidi="ar"/>
        </w:rPr>
        <w:t>重点</w:t>
      </w:r>
      <w:r>
        <w:rPr>
          <w:rFonts w:hint="default" w:ascii="Times New Roman" w:hAnsi="Times New Roman" w:eastAsia="宋体" w:cs="Times New Roman"/>
          <w:strike w:val="0"/>
          <w:dstrike w:val="0"/>
          <w:color w:val="auto"/>
          <w:kern w:val="0"/>
          <w:sz w:val="24"/>
          <w:szCs w:val="24"/>
          <w:highlight w:val="none"/>
          <w:lang w:val="en-US" w:eastAsia="zh-CN" w:bidi="ar"/>
        </w:rPr>
        <w:t>防渗层，一旦发生溢出与渗漏事故，油品将由于防渗层的保护作用，积聚在</w:t>
      </w:r>
      <w:r>
        <w:rPr>
          <w:rFonts w:hint="eastAsia" w:ascii="Times New Roman" w:hAnsi="Times New Roman" w:eastAsia="宋体" w:cs="Times New Roman"/>
          <w:strike w:val="0"/>
          <w:dstrike w:val="0"/>
          <w:color w:val="auto"/>
          <w:kern w:val="0"/>
          <w:sz w:val="24"/>
          <w:szCs w:val="24"/>
          <w:highlight w:val="none"/>
          <w:lang w:val="en-US" w:eastAsia="zh-CN" w:bidi="ar"/>
        </w:rPr>
        <w:t>储油罐区</w:t>
      </w:r>
      <w:r>
        <w:rPr>
          <w:rFonts w:hint="default" w:ascii="Times New Roman" w:hAnsi="Times New Roman" w:eastAsia="宋体" w:cs="Times New Roman"/>
          <w:strike w:val="0"/>
          <w:dstrike w:val="0"/>
          <w:color w:val="auto"/>
          <w:kern w:val="0"/>
          <w:sz w:val="24"/>
          <w:szCs w:val="24"/>
          <w:highlight w:val="none"/>
          <w:lang w:val="en-US" w:eastAsia="zh-CN" w:bidi="ar"/>
        </w:rPr>
        <w:t>。</w:t>
      </w:r>
    </w:p>
    <w:p w14:paraId="4110CF90">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strike w:val="0"/>
          <w:dstrike w:val="0"/>
          <w:color w:val="auto"/>
          <w:kern w:val="0"/>
          <w:sz w:val="24"/>
          <w:szCs w:val="24"/>
          <w:highlight w:val="none"/>
          <w:lang w:val="en-US" w:eastAsia="zh-CN" w:bidi="ar"/>
        </w:rPr>
      </w:pPr>
      <w:r>
        <w:rPr>
          <w:rFonts w:hint="default" w:ascii="Times New Roman" w:hAnsi="Times New Roman" w:eastAsia="宋体" w:cs="Times New Roman"/>
          <w:b/>
          <w:bCs/>
          <w:strike w:val="0"/>
          <w:dstrike w:val="0"/>
          <w:color w:val="auto"/>
          <w:kern w:val="0"/>
          <w:sz w:val="24"/>
          <w:szCs w:val="24"/>
          <w:highlight w:val="none"/>
          <w:lang w:val="en-US" w:eastAsia="zh-CN" w:bidi="ar"/>
        </w:rPr>
        <w:t>对大气环境的污染</w:t>
      </w:r>
    </w:p>
    <w:p w14:paraId="26BEF82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根据国内外的研究，对于突发性的事故溢油，油品溢出后在地面呈不规则的面源分布，油品的挥发速度重要影响因素为油品蒸气压、现场风速、油品溢出面积、油品蒸气平均重度。</w:t>
      </w:r>
    </w:p>
    <w:p w14:paraId="339053F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本项目采用地埋式储油罐工艺，一旦发生渗漏与溢出事故时，由于项目采取了防渗检查孔、液位监测系统等渗漏溢出检测设施，因此可及时发现储油罐渗漏，油品渗漏量较小，受SF双层油罐的保护以及受储油罐罐基及防渗层的保护，渗漏出的成品油将积聚在</w:t>
      </w:r>
      <w:r>
        <w:rPr>
          <w:rFonts w:hint="eastAsia" w:ascii="Times New Roman" w:hAnsi="Times New Roman" w:eastAsia="宋体" w:cs="Times New Roman"/>
          <w:strike w:val="0"/>
          <w:dstrike w:val="0"/>
          <w:color w:val="auto"/>
          <w:kern w:val="0"/>
          <w:sz w:val="24"/>
          <w:szCs w:val="24"/>
          <w:highlight w:val="none"/>
          <w:lang w:val="en-US" w:eastAsia="zh-CN" w:bidi="ar"/>
        </w:rPr>
        <w:t>储油罐区</w:t>
      </w:r>
      <w:r>
        <w:rPr>
          <w:rFonts w:hint="default" w:ascii="Times New Roman" w:hAnsi="Times New Roman" w:eastAsia="宋体" w:cs="Times New Roman"/>
          <w:strike w:val="0"/>
          <w:dstrike w:val="0"/>
          <w:color w:val="auto"/>
          <w:kern w:val="0"/>
          <w:sz w:val="24"/>
          <w:szCs w:val="24"/>
          <w:highlight w:val="none"/>
          <w:lang w:val="en-US" w:eastAsia="zh-CN" w:bidi="ar"/>
        </w:rPr>
        <w:t>。</w:t>
      </w:r>
      <w:r>
        <w:rPr>
          <w:rFonts w:hint="eastAsia" w:ascii="Times New Roman" w:hAnsi="Times New Roman" w:eastAsia="宋体" w:cs="Times New Roman"/>
          <w:strike w:val="0"/>
          <w:dstrike w:val="0"/>
          <w:color w:val="auto"/>
          <w:kern w:val="0"/>
          <w:sz w:val="24"/>
          <w:szCs w:val="24"/>
          <w:highlight w:val="none"/>
          <w:lang w:val="en-US" w:eastAsia="zh-CN" w:bidi="ar"/>
        </w:rPr>
        <w:t>储油罐区</w:t>
      </w:r>
      <w:r>
        <w:rPr>
          <w:rFonts w:hint="default" w:ascii="Times New Roman" w:hAnsi="Times New Roman" w:eastAsia="宋体" w:cs="Times New Roman"/>
          <w:strike w:val="0"/>
          <w:dstrike w:val="0"/>
          <w:color w:val="auto"/>
          <w:kern w:val="0"/>
          <w:sz w:val="24"/>
          <w:szCs w:val="24"/>
          <w:highlight w:val="none"/>
          <w:lang w:val="en-US" w:eastAsia="zh-CN" w:bidi="ar"/>
        </w:rPr>
        <w:t>表面采用了混凝土硬化，较为密闭，油品将主要通过</w:t>
      </w:r>
      <w:r>
        <w:rPr>
          <w:rFonts w:hint="eastAsia" w:ascii="Times New Roman" w:hAnsi="Times New Roman" w:eastAsia="宋体" w:cs="Times New Roman"/>
          <w:strike w:val="0"/>
          <w:dstrike w:val="0"/>
          <w:color w:val="auto"/>
          <w:kern w:val="0"/>
          <w:sz w:val="24"/>
          <w:szCs w:val="24"/>
          <w:highlight w:val="none"/>
          <w:lang w:val="en-US" w:eastAsia="zh-CN" w:bidi="ar"/>
        </w:rPr>
        <w:t>储油罐区</w:t>
      </w:r>
      <w:r>
        <w:rPr>
          <w:rFonts w:hint="default" w:ascii="Times New Roman" w:hAnsi="Times New Roman" w:eastAsia="宋体" w:cs="Times New Roman"/>
          <w:strike w:val="0"/>
          <w:dstrike w:val="0"/>
          <w:color w:val="auto"/>
          <w:kern w:val="0"/>
          <w:sz w:val="24"/>
          <w:szCs w:val="24"/>
          <w:highlight w:val="none"/>
          <w:lang w:val="en-US" w:eastAsia="zh-CN" w:bidi="ar"/>
        </w:rPr>
        <w:t>通气管及人孔井非密封处挥发，不会造成大面积的扩散，对大气环境影响较小。</w:t>
      </w:r>
    </w:p>
    <w:p w14:paraId="504D1A8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eastAsia="宋体" w:cs="Times New Roman"/>
          <w:strike w:val="0"/>
          <w:dstrike w:val="0"/>
          <w:color w:val="auto"/>
          <w:kern w:val="0"/>
          <w:sz w:val="24"/>
          <w:szCs w:val="24"/>
          <w:highlight w:val="none"/>
          <w:lang w:val="en-US" w:eastAsia="zh-CN" w:bidi="ar"/>
        </w:rPr>
        <w:t>综上所述，项目采取</w:t>
      </w:r>
      <w:r>
        <w:rPr>
          <w:rFonts w:hint="eastAsia" w:ascii="Times New Roman" w:hAnsi="Times New Roman" w:eastAsia="宋体" w:cs="Times New Roman"/>
          <w:strike w:val="0"/>
          <w:dstrike w:val="0"/>
          <w:color w:val="auto"/>
          <w:kern w:val="0"/>
          <w:sz w:val="24"/>
          <w:szCs w:val="24"/>
          <w:highlight w:val="none"/>
          <w:lang w:val="en-US" w:eastAsia="zh-CN" w:bidi="ar"/>
        </w:rPr>
        <w:t>相应</w:t>
      </w:r>
      <w:r>
        <w:rPr>
          <w:rFonts w:hint="default" w:ascii="Times New Roman" w:hAnsi="Times New Roman" w:eastAsia="宋体" w:cs="Times New Roman"/>
          <w:strike w:val="0"/>
          <w:dstrike w:val="0"/>
          <w:color w:val="auto"/>
          <w:kern w:val="0"/>
          <w:sz w:val="24"/>
          <w:szCs w:val="24"/>
          <w:highlight w:val="none"/>
          <w:lang w:val="en-US" w:eastAsia="zh-CN" w:bidi="ar"/>
        </w:rPr>
        <w:t>的风险防范措施</w:t>
      </w:r>
      <w:r>
        <w:rPr>
          <w:rFonts w:hint="eastAsia" w:ascii="Times New Roman" w:hAnsi="Times New Roman" w:eastAsia="宋体" w:cs="Times New Roman"/>
          <w:strike w:val="0"/>
          <w:dstrike w:val="0"/>
          <w:color w:val="auto"/>
          <w:kern w:val="0"/>
          <w:sz w:val="24"/>
          <w:szCs w:val="24"/>
          <w:highlight w:val="none"/>
          <w:lang w:val="en-US" w:eastAsia="zh-CN" w:bidi="ar"/>
        </w:rPr>
        <w:t>后</w:t>
      </w:r>
      <w:r>
        <w:rPr>
          <w:rFonts w:hint="default" w:ascii="Times New Roman" w:hAnsi="Times New Roman" w:eastAsia="宋体" w:cs="Times New Roman"/>
          <w:strike w:val="0"/>
          <w:dstrike w:val="0"/>
          <w:color w:val="auto"/>
          <w:kern w:val="0"/>
          <w:sz w:val="24"/>
          <w:szCs w:val="24"/>
          <w:highlight w:val="none"/>
          <w:lang w:val="en-US" w:eastAsia="zh-CN" w:bidi="ar"/>
        </w:rPr>
        <w:t>，项目环境风险属于可接受水平。</w:t>
      </w:r>
    </w:p>
    <w:p w14:paraId="349FB3F0">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2"/>
        <w:rPr>
          <w:rFonts w:hint="default" w:ascii="Times New Roman" w:hAnsi="Times New Roman" w:eastAsia="宋体"/>
          <w:strike w:val="0"/>
          <w:dstrike w:val="0"/>
          <w:color w:val="auto"/>
          <w:sz w:val="24"/>
          <w:szCs w:val="32"/>
          <w:highlight w:val="none"/>
          <w:lang w:val="en-US" w:eastAsia="zh-CN"/>
        </w:rPr>
      </w:pPr>
      <w:r>
        <w:rPr>
          <w:rFonts w:hint="eastAsia" w:ascii="Times New Roman" w:hAnsi="Times New Roman" w:eastAsia="宋体"/>
          <w:strike w:val="0"/>
          <w:dstrike w:val="0"/>
          <w:color w:val="auto"/>
          <w:sz w:val="24"/>
          <w:szCs w:val="32"/>
          <w:highlight w:val="none"/>
          <w:lang w:val="en-US" w:eastAsia="zh-CN"/>
        </w:rPr>
        <w:t>5.1.</w:t>
      </w:r>
      <w:r>
        <w:rPr>
          <w:rFonts w:hint="eastAsia"/>
          <w:strike w:val="0"/>
          <w:dstrike w:val="0"/>
          <w:color w:val="auto"/>
          <w:sz w:val="24"/>
          <w:szCs w:val="32"/>
          <w:highlight w:val="none"/>
          <w:lang w:val="en-US" w:eastAsia="zh-CN"/>
        </w:rPr>
        <w:t>4风险识别结果</w:t>
      </w:r>
    </w:p>
    <w:p w14:paraId="74128049">
      <w:pPr>
        <w:pStyle w:val="41"/>
        <w:keepNext w:val="0"/>
        <w:keepLines w:val="0"/>
        <w:pageBreakBefore w:val="0"/>
        <w:widowControl w:val="0"/>
        <w:kinsoku/>
        <w:wordWrap/>
        <w:overflowPunct/>
        <w:topLinePunct w:val="0"/>
        <w:autoSpaceDE/>
        <w:autoSpaceDN/>
        <w:bidi w:val="0"/>
        <w:adjustRightInd/>
        <w:snapToGrid w:val="0"/>
        <w:spacing w:before="0" w:beforeLines="0" w:line="360" w:lineRule="auto"/>
        <w:ind w:firstLine="480" w:firstLineChars="200"/>
        <w:jc w:val="both"/>
        <w:textAlignment w:val="auto"/>
        <w:outlineLvl w:val="9"/>
        <w:rPr>
          <w:rFonts w:hint="default" w:ascii="Times New Roman" w:hAnsi="Times New Roman" w:eastAsia="宋体" w:cs="Times New Roman"/>
          <w:b w:val="0"/>
          <w:bCs/>
          <w:strike w:val="0"/>
          <w:dstrike w:val="0"/>
          <w:color w:val="auto"/>
          <w:kern w:val="2"/>
          <w:sz w:val="24"/>
          <w:szCs w:val="32"/>
          <w:highlight w:val="none"/>
          <w:lang w:val="en-US" w:eastAsia="zh-CN" w:bidi="ar-SA"/>
        </w:rPr>
      </w:pPr>
      <w:r>
        <w:rPr>
          <w:rFonts w:hint="eastAsia" w:ascii="Times New Roman" w:hAnsi="Times New Roman" w:eastAsia="宋体" w:cs="Times New Roman"/>
          <w:b w:val="0"/>
          <w:bCs/>
          <w:strike w:val="0"/>
          <w:dstrike w:val="0"/>
          <w:color w:val="auto"/>
          <w:kern w:val="2"/>
          <w:sz w:val="24"/>
          <w:szCs w:val="32"/>
          <w:highlight w:val="none"/>
          <w:lang w:val="en-US" w:eastAsia="zh-CN" w:bidi="ar-SA"/>
        </w:rPr>
        <w:t>本项目128.91</w:t>
      </w:r>
      <w:r>
        <w:rPr>
          <w:rFonts w:hint="eastAsia" w:ascii="Times New Roman" w:hAnsi="Times New Roman" w:cs="Times New Roman"/>
          <w:b w:val="0"/>
          <w:bCs/>
          <w:strike w:val="0"/>
          <w:dstrike w:val="0"/>
          <w:color w:val="auto"/>
          <w:kern w:val="2"/>
          <w:sz w:val="24"/>
          <w:szCs w:val="32"/>
          <w:highlight w:val="none"/>
          <w:lang w:val="en-US" w:eastAsia="zh-CN" w:bidi="ar-SA"/>
        </w:rPr>
        <w:t>m以内无环境敏感目标，项目</w:t>
      </w:r>
      <w:r>
        <w:rPr>
          <w:rFonts w:hint="eastAsia" w:ascii="Times New Roman" w:hAnsi="Times New Roman" w:eastAsia="宋体" w:cs="Times New Roman"/>
          <w:b w:val="0"/>
          <w:bCs/>
          <w:strike w:val="0"/>
          <w:dstrike w:val="0"/>
          <w:color w:val="auto"/>
          <w:kern w:val="2"/>
          <w:sz w:val="24"/>
          <w:szCs w:val="32"/>
          <w:highlight w:val="none"/>
          <w:lang w:val="en-US" w:eastAsia="zh-CN" w:bidi="ar-SA"/>
        </w:rPr>
        <w:t>环境风险识别一览表详见表5</w:t>
      </w:r>
      <w:r>
        <w:rPr>
          <w:rFonts w:hint="eastAsia" w:ascii="Times New Roman" w:hAnsi="Times New Roman" w:cs="Times New Roman"/>
          <w:b w:val="0"/>
          <w:bCs/>
          <w:strike w:val="0"/>
          <w:dstrike w:val="0"/>
          <w:color w:val="auto"/>
          <w:kern w:val="2"/>
          <w:sz w:val="24"/>
          <w:szCs w:val="32"/>
          <w:highlight w:val="none"/>
          <w:lang w:val="en-US" w:eastAsia="zh-CN" w:bidi="ar-SA"/>
        </w:rPr>
        <w:t>.1</w:t>
      </w:r>
      <w:r>
        <w:rPr>
          <w:rFonts w:hint="eastAsia" w:ascii="Times New Roman" w:hAnsi="Times New Roman" w:eastAsia="宋体" w:cs="Times New Roman"/>
          <w:b w:val="0"/>
          <w:bCs/>
          <w:strike w:val="0"/>
          <w:dstrike w:val="0"/>
          <w:color w:val="auto"/>
          <w:kern w:val="2"/>
          <w:sz w:val="24"/>
          <w:szCs w:val="32"/>
          <w:highlight w:val="none"/>
          <w:lang w:val="en-US" w:eastAsia="zh-CN" w:bidi="ar-SA"/>
        </w:rPr>
        <w:t>-3。</w:t>
      </w:r>
    </w:p>
    <w:p w14:paraId="0A08FB8A">
      <w:pPr>
        <w:pStyle w:val="41"/>
        <w:keepNext w:val="0"/>
        <w:keepLines w:val="0"/>
        <w:pageBreakBefore w:val="0"/>
        <w:widowControl w:val="0"/>
        <w:kinsoku/>
        <w:wordWrap/>
        <w:overflowPunct/>
        <w:topLinePunct w:val="0"/>
        <w:autoSpaceDE/>
        <w:autoSpaceDN/>
        <w:bidi w:val="0"/>
        <w:adjustRightInd/>
        <w:snapToGrid w:val="0"/>
        <w:spacing w:before="0" w:beforeLines="0" w:line="360" w:lineRule="auto"/>
        <w:textAlignment w:val="auto"/>
        <w:outlineLvl w:val="9"/>
        <w:rPr>
          <w:strike w:val="0"/>
          <w:dstrike w:val="0"/>
          <w:color w:val="auto"/>
          <w:highlight w:val="none"/>
        </w:rPr>
      </w:pPr>
      <w:r>
        <w:rPr>
          <w:strike w:val="0"/>
          <w:dstrike w:val="0"/>
          <w:color w:val="auto"/>
          <w:highlight w:val="none"/>
        </w:rPr>
        <w:t>表</w:t>
      </w:r>
      <w:r>
        <w:rPr>
          <w:rFonts w:hint="eastAsia"/>
          <w:strike w:val="0"/>
          <w:dstrike w:val="0"/>
          <w:color w:val="auto"/>
          <w:highlight w:val="none"/>
          <w:lang w:val="en-US" w:eastAsia="zh-CN"/>
        </w:rPr>
        <w:t>5.1-3</w:t>
      </w:r>
      <w:r>
        <w:rPr>
          <w:strike w:val="0"/>
          <w:dstrike w:val="0"/>
          <w:color w:val="auto"/>
          <w:highlight w:val="none"/>
        </w:rPr>
        <w:t xml:space="preserve">  本项目环境风险识别</w:t>
      </w:r>
      <w:r>
        <w:rPr>
          <w:rFonts w:hint="eastAsia"/>
          <w:strike w:val="0"/>
          <w:dstrike w:val="0"/>
          <w:color w:val="auto"/>
          <w:highlight w:val="none"/>
          <w:lang w:val="en-US" w:eastAsia="zh-CN"/>
        </w:rPr>
        <w:t>一览</w:t>
      </w:r>
      <w:r>
        <w:rPr>
          <w:strike w:val="0"/>
          <w:dstrike w:val="0"/>
          <w:color w:val="auto"/>
          <w:highlight w:val="none"/>
        </w:rPr>
        <w:t>表</w:t>
      </w:r>
    </w:p>
    <w:tbl>
      <w:tblPr>
        <w:tblStyle w:val="22"/>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6"/>
        <w:gridCol w:w="708"/>
        <w:gridCol w:w="680"/>
        <w:gridCol w:w="1627"/>
        <w:gridCol w:w="1858"/>
        <w:gridCol w:w="1235"/>
        <w:gridCol w:w="1223"/>
        <w:gridCol w:w="980"/>
      </w:tblGrid>
      <w:tr w14:paraId="04EEF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366" w:type="dxa"/>
            <w:noWrap w:val="0"/>
            <w:vAlign w:val="center"/>
          </w:tcPr>
          <w:p w14:paraId="2EE8D16E">
            <w:pPr>
              <w:spacing w:line="240" w:lineRule="auto"/>
              <w:jc w:val="center"/>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bCs/>
                <w:strike w:val="0"/>
                <w:dstrike w:val="0"/>
                <w:color w:val="auto"/>
                <w:sz w:val="21"/>
                <w:szCs w:val="21"/>
                <w:highlight w:val="none"/>
              </w:rPr>
              <w:t>序号</w:t>
            </w:r>
          </w:p>
        </w:tc>
        <w:tc>
          <w:tcPr>
            <w:tcW w:w="708" w:type="dxa"/>
            <w:noWrap w:val="0"/>
            <w:vAlign w:val="center"/>
          </w:tcPr>
          <w:p w14:paraId="56F7C09F">
            <w:pPr>
              <w:spacing w:line="240" w:lineRule="auto"/>
              <w:jc w:val="center"/>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bCs/>
                <w:strike w:val="0"/>
                <w:dstrike w:val="0"/>
                <w:color w:val="auto"/>
                <w:sz w:val="21"/>
                <w:szCs w:val="21"/>
                <w:highlight w:val="none"/>
              </w:rPr>
              <w:t>环境风险单元</w:t>
            </w:r>
          </w:p>
        </w:tc>
        <w:tc>
          <w:tcPr>
            <w:tcW w:w="680" w:type="dxa"/>
            <w:noWrap w:val="0"/>
            <w:vAlign w:val="center"/>
          </w:tcPr>
          <w:p w14:paraId="6C43C7CC">
            <w:pPr>
              <w:spacing w:line="240" w:lineRule="auto"/>
              <w:jc w:val="center"/>
              <w:rPr>
                <w:rFonts w:hint="default" w:ascii="Times New Roman" w:hAnsi="Times New Roman" w:eastAsia="宋体" w:cs="Times New Roman"/>
                <w:b/>
                <w:bCs/>
                <w:strike w:val="0"/>
                <w:dstrike w:val="0"/>
                <w:color w:val="auto"/>
                <w:sz w:val="21"/>
                <w:szCs w:val="21"/>
                <w:highlight w:val="none"/>
              </w:rPr>
            </w:pPr>
            <w:r>
              <w:rPr>
                <w:rFonts w:hint="eastAsia" w:ascii="Times New Roman" w:hAnsi="Times New Roman" w:cs="Times New Roman"/>
                <w:b/>
                <w:bCs/>
                <w:strike w:val="0"/>
                <w:dstrike w:val="0"/>
                <w:color w:val="auto"/>
                <w:sz w:val="21"/>
                <w:szCs w:val="21"/>
                <w:highlight w:val="none"/>
                <w:lang w:val="en-US" w:eastAsia="zh-CN"/>
              </w:rPr>
              <w:t>主要</w:t>
            </w:r>
            <w:r>
              <w:rPr>
                <w:rFonts w:hint="default" w:ascii="Times New Roman" w:hAnsi="Times New Roman" w:eastAsia="宋体" w:cs="Times New Roman"/>
                <w:b/>
                <w:bCs/>
                <w:strike w:val="0"/>
                <w:dstrike w:val="0"/>
                <w:color w:val="auto"/>
                <w:sz w:val="21"/>
                <w:szCs w:val="21"/>
                <w:highlight w:val="none"/>
              </w:rPr>
              <w:t>风险物质</w:t>
            </w:r>
          </w:p>
        </w:tc>
        <w:tc>
          <w:tcPr>
            <w:tcW w:w="1627" w:type="dxa"/>
            <w:noWrap w:val="0"/>
            <w:vAlign w:val="center"/>
          </w:tcPr>
          <w:p w14:paraId="78DEA2BE">
            <w:pPr>
              <w:spacing w:line="240" w:lineRule="auto"/>
              <w:jc w:val="center"/>
              <w:rPr>
                <w:rFonts w:hint="default" w:ascii="Times New Roman" w:hAnsi="Times New Roman" w:eastAsia="宋体" w:cs="Times New Roman"/>
                <w:b/>
                <w:bCs/>
                <w:strike w:val="0"/>
                <w:dstrike w:val="0"/>
                <w:color w:val="auto"/>
                <w:sz w:val="21"/>
                <w:szCs w:val="21"/>
                <w:highlight w:val="none"/>
                <w:lang w:val="en-US" w:eastAsia="zh-CN"/>
              </w:rPr>
            </w:pPr>
            <w:r>
              <w:rPr>
                <w:rFonts w:hint="eastAsia" w:ascii="Times New Roman" w:hAnsi="Times New Roman" w:cs="Times New Roman"/>
                <w:b/>
                <w:bCs/>
                <w:strike w:val="0"/>
                <w:dstrike w:val="0"/>
                <w:color w:val="auto"/>
                <w:sz w:val="21"/>
                <w:szCs w:val="21"/>
                <w:highlight w:val="none"/>
                <w:lang w:val="en-US" w:eastAsia="zh-CN"/>
              </w:rPr>
              <w:t>环境风险类型</w:t>
            </w:r>
          </w:p>
        </w:tc>
        <w:tc>
          <w:tcPr>
            <w:tcW w:w="1858" w:type="dxa"/>
            <w:noWrap w:val="0"/>
            <w:vAlign w:val="center"/>
          </w:tcPr>
          <w:p w14:paraId="7287393E">
            <w:pPr>
              <w:spacing w:line="240" w:lineRule="auto"/>
              <w:jc w:val="center"/>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bCs/>
                <w:strike w:val="0"/>
                <w:dstrike w:val="0"/>
                <w:color w:val="auto"/>
                <w:sz w:val="21"/>
                <w:szCs w:val="21"/>
                <w:highlight w:val="none"/>
              </w:rPr>
              <w:t>释放条件</w:t>
            </w:r>
          </w:p>
        </w:tc>
        <w:tc>
          <w:tcPr>
            <w:tcW w:w="1235" w:type="dxa"/>
            <w:noWrap w:val="0"/>
            <w:vAlign w:val="center"/>
          </w:tcPr>
          <w:p w14:paraId="325D8A3C">
            <w:pPr>
              <w:spacing w:line="240" w:lineRule="auto"/>
              <w:jc w:val="center"/>
              <w:rPr>
                <w:rFonts w:hint="default" w:ascii="Times New Roman" w:hAnsi="Times New Roman" w:eastAsia="宋体" w:cs="Times New Roman"/>
                <w:b/>
                <w:bCs/>
                <w:strike w:val="0"/>
                <w:dstrike w:val="0"/>
                <w:color w:val="auto"/>
                <w:sz w:val="21"/>
                <w:szCs w:val="21"/>
                <w:highlight w:val="none"/>
              </w:rPr>
            </w:pPr>
            <w:r>
              <w:rPr>
                <w:rFonts w:hint="eastAsia" w:ascii="Times New Roman" w:hAnsi="Times New Roman" w:cs="Times New Roman"/>
                <w:b/>
                <w:bCs/>
                <w:strike w:val="0"/>
                <w:dstrike w:val="0"/>
                <w:color w:val="auto"/>
                <w:sz w:val="21"/>
                <w:szCs w:val="21"/>
                <w:highlight w:val="none"/>
                <w:lang w:val="en-US" w:eastAsia="zh-CN"/>
              </w:rPr>
              <w:t>环境影响</w:t>
            </w:r>
            <w:r>
              <w:rPr>
                <w:rFonts w:hint="default" w:ascii="Times New Roman" w:hAnsi="Times New Roman" w:eastAsia="宋体" w:cs="Times New Roman"/>
                <w:b/>
                <w:bCs/>
                <w:strike w:val="0"/>
                <w:dstrike w:val="0"/>
                <w:color w:val="auto"/>
                <w:sz w:val="21"/>
                <w:szCs w:val="21"/>
                <w:highlight w:val="none"/>
              </w:rPr>
              <w:t>途径</w:t>
            </w:r>
          </w:p>
        </w:tc>
        <w:tc>
          <w:tcPr>
            <w:tcW w:w="1223" w:type="dxa"/>
            <w:noWrap w:val="0"/>
            <w:vAlign w:val="center"/>
          </w:tcPr>
          <w:p w14:paraId="22A50B8D">
            <w:pPr>
              <w:spacing w:line="240" w:lineRule="auto"/>
              <w:jc w:val="center"/>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bCs/>
                <w:strike w:val="0"/>
                <w:dstrike w:val="0"/>
                <w:color w:val="auto"/>
                <w:sz w:val="21"/>
                <w:szCs w:val="21"/>
                <w:highlight w:val="none"/>
              </w:rPr>
              <w:t>涉及环境风险及应急措施环节</w:t>
            </w:r>
          </w:p>
        </w:tc>
        <w:tc>
          <w:tcPr>
            <w:tcW w:w="980" w:type="dxa"/>
            <w:noWrap w:val="0"/>
            <w:vAlign w:val="center"/>
          </w:tcPr>
          <w:p w14:paraId="44AB7E22">
            <w:pPr>
              <w:spacing w:line="240" w:lineRule="auto"/>
              <w:jc w:val="center"/>
              <w:rPr>
                <w:rFonts w:hint="default" w:ascii="Times New Roman" w:hAnsi="Times New Roman" w:eastAsia="宋体" w:cs="Times New Roman"/>
                <w:b/>
                <w:bCs/>
                <w:strike w:val="0"/>
                <w:dstrike w:val="0"/>
                <w:color w:val="auto"/>
                <w:sz w:val="21"/>
                <w:szCs w:val="21"/>
                <w:highlight w:val="none"/>
                <w:lang w:val="en-US" w:eastAsia="zh-CN"/>
              </w:rPr>
            </w:pPr>
            <w:r>
              <w:rPr>
                <w:rFonts w:hint="eastAsia" w:ascii="Times New Roman" w:hAnsi="Times New Roman" w:cs="Times New Roman"/>
                <w:b/>
                <w:bCs/>
                <w:strike w:val="0"/>
                <w:dstrike w:val="0"/>
                <w:color w:val="auto"/>
                <w:sz w:val="21"/>
                <w:szCs w:val="21"/>
                <w:highlight w:val="none"/>
                <w:lang w:val="en-US" w:eastAsia="zh-CN"/>
              </w:rPr>
              <w:t>可能受影响的环境敏感目标</w:t>
            </w:r>
          </w:p>
        </w:tc>
      </w:tr>
      <w:tr w14:paraId="0A717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6" w:type="dxa"/>
            <w:noWrap w:val="0"/>
            <w:vAlign w:val="center"/>
          </w:tcPr>
          <w:p w14:paraId="448F488D">
            <w:pPr>
              <w:spacing w:line="240" w:lineRule="auto"/>
              <w:jc w:val="center"/>
              <w:rPr>
                <w:rFonts w:hint="default"/>
                <w:strike w:val="0"/>
                <w:dstrike w:val="0"/>
                <w:color w:val="auto"/>
                <w:sz w:val="21"/>
                <w:szCs w:val="21"/>
                <w:highlight w:val="none"/>
              </w:rPr>
            </w:pPr>
            <w:r>
              <w:rPr>
                <w:rFonts w:hint="default"/>
                <w:strike w:val="0"/>
                <w:dstrike w:val="0"/>
                <w:color w:val="auto"/>
                <w:sz w:val="21"/>
                <w:szCs w:val="21"/>
                <w:highlight w:val="none"/>
              </w:rPr>
              <w:t>1</w:t>
            </w:r>
          </w:p>
        </w:tc>
        <w:tc>
          <w:tcPr>
            <w:tcW w:w="708" w:type="dxa"/>
            <w:noWrap w:val="0"/>
            <w:vAlign w:val="center"/>
          </w:tcPr>
          <w:p w14:paraId="5D3243BA">
            <w:pPr>
              <w:spacing w:line="240" w:lineRule="auto"/>
              <w:jc w:val="center"/>
              <w:rPr>
                <w:rFonts w:hint="default"/>
                <w:strike w:val="0"/>
                <w:dstrike w:val="0"/>
                <w:color w:val="auto"/>
                <w:sz w:val="21"/>
                <w:szCs w:val="21"/>
                <w:highlight w:val="none"/>
                <w:lang w:eastAsia="zh-CN"/>
              </w:rPr>
            </w:pPr>
            <w:r>
              <w:rPr>
                <w:rFonts w:hint="eastAsia"/>
                <w:strike w:val="0"/>
                <w:dstrike w:val="0"/>
                <w:color w:val="auto"/>
                <w:sz w:val="21"/>
                <w:szCs w:val="21"/>
                <w:highlight w:val="none"/>
              </w:rPr>
              <w:t>储油罐区</w:t>
            </w:r>
          </w:p>
        </w:tc>
        <w:tc>
          <w:tcPr>
            <w:tcW w:w="680" w:type="dxa"/>
            <w:noWrap w:val="0"/>
            <w:vAlign w:val="center"/>
          </w:tcPr>
          <w:p w14:paraId="313EE850">
            <w:pPr>
              <w:spacing w:line="240" w:lineRule="auto"/>
              <w:jc w:val="center"/>
              <w:rPr>
                <w:rFonts w:hint="default"/>
                <w:strike w:val="0"/>
                <w:dstrike w:val="0"/>
                <w:color w:val="auto"/>
                <w:sz w:val="21"/>
                <w:szCs w:val="21"/>
                <w:highlight w:val="none"/>
                <w:lang w:eastAsia="zh-CN"/>
              </w:rPr>
            </w:pPr>
            <w:r>
              <w:rPr>
                <w:rFonts w:hint="eastAsia"/>
                <w:strike w:val="0"/>
                <w:dstrike w:val="0"/>
                <w:color w:val="auto"/>
                <w:sz w:val="21"/>
                <w:szCs w:val="21"/>
                <w:highlight w:val="none"/>
                <w:lang w:eastAsia="zh-CN"/>
              </w:rPr>
              <w:t>柴油、汽油</w:t>
            </w:r>
          </w:p>
        </w:tc>
        <w:tc>
          <w:tcPr>
            <w:tcW w:w="1627" w:type="dxa"/>
            <w:noWrap w:val="0"/>
            <w:vAlign w:val="center"/>
          </w:tcPr>
          <w:p w14:paraId="204579B3">
            <w:pPr>
              <w:spacing w:line="240" w:lineRule="auto"/>
              <w:jc w:val="center"/>
              <w:rPr>
                <w:rFonts w:hint="default" w:eastAsia="宋体"/>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泄漏、火灾、爆炸</w:t>
            </w:r>
          </w:p>
        </w:tc>
        <w:tc>
          <w:tcPr>
            <w:tcW w:w="1858" w:type="dxa"/>
            <w:noWrap w:val="0"/>
            <w:vAlign w:val="center"/>
          </w:tcPr>
          <w:p w14:paraId="6FB94B1A">
            <w:pPr>
              <w:spacing w:line="240" w:lineRule="auto"/>
              <w:jc w:val="center"/>
              <w:rPr>
                <w:rFonts w:hint="eastAsia"/>
                <w:strike w:val="0"/>
                <w:dstrike w:val="0"/>
                <w:color w:val="auto"/>
                <w:sz w:val="21"/>
                <w:szCs w:val="21"/>
                <w:highlight w:val="none"/>
                <w:lang w:eastAsia="zh-CN"/>
              </w:rPr>
            </w:pPr>
            <w:r>
              <w:rPr>
                <w:strike w:val="0"/>
                <w:dstrike w:val="0"/>
                <w:color w:val="auto"/>
                <w:sz w:val="21"/>
                <w:szCs w:val="21"/>
                <w:highlight w:val="none"/>
              </w:rPr>
              <w:t>油罐漫溢；卸油管破裂、密封垫破损、快速接头螺丝松动</w:t>
            </w:r>
            <w:r>
              <w:rPr>
                <w:rFonts w:hint="eastAsia"/>
                <w:strike w:val="0"/>
                <w:dstrike w:val="0"/>
                <w:color w:val="auto"/>
                <w:sz w:val="21"/>
                <w:szCs w:val="21"/>
                <w:highlight w:val="none"/>
                <w:lang w:eastAsia="zh-CN"/>
              </w:rPr>
              <w:t>、</w:t>
            </w:r>
            <w:r>
              <w:rPr>
                <w:rFonts w:hint="eastAsia"/>
                <w:strike w:val="0"/>
                <w:dstrike w:val="0"/>
                <w:color w:val="auto"/>
                <w:sz w:val="21"/>
                <w:szCs w:val="21"/>
                <w:highlight w:val="none"/>
              </w:rPr>
              <w:t>油罐及其连接管道、阀门破裂；油罐冒顶、突沸</w:t>
            </w:r>
            <w:r>
              <w:rPr>
                <w:strike w:val="0"/>
                <w:dstrike w:val="0"/>
                <w:color w:val="auto"/>
                <w:sz w:val="21"/>
                <w:szCs w:val="21"/>
                <w:highlight w:val="none"/>
              </w:rPr>
              <w:t>等原因使油品</w:t>
            </w:r>
            <w:r>
              <w:rPr>
                <w:rFonts w:hint="eastAsia"/>
                <w:strike w:val="0"/>
                <w:dstrike w:val="0"/>
                <w:color w:val="auto"/>
                <w:sz w:val="21"/>
                <w:szCs w:val="21"/>
                <w:highlight w:val="none"/>
                <w:lang w:eastAsia="zh-CN"/>
              </w:rPr>
              <w:t>泄漏</w:t>
            </w:r>
            <w:r>
              <w:rPr>
                <w:strike w:val="0"/>
                <w:dstrike w:val="0"/>
                <w:color w:val="auto"/>
                <w:sz w:val="21"/>
                <w:szCs w:val="21"/>
                <w:highlight w:val="none"/>
              </w:rPr>
              <w:t>；</w:t>
            </w:r>
            <w:r>
              <w:rPr>
                <w:rFonts w:hint="eastAsia"/>
                <w:strike w:val="0"/>
                <w:dstrike w:val="0"/>
                <w:color w:val="auto"/>
                <w:sz w:val="21"/>
                <w:szCs w:val="21"/>
                <w:highlight w:val="none"/>
                <w:lang w:eastAsia="zh-CN"/>
              </w:rPr>
              <w:t>偶遇火星引发火灾、爆炸</w:t>
            </w:r>
          </w:p>
        </w:tc>
        <w:tc>
          <w:tcPr>
            <w:tcW w:w="1235" w:type="dxa"/>
            <w:noWrap w:val="0"/>
            <w:vAlign w:val="center"/>
          </w:tcPr>
          <w:p w14:paraId="12894392">
            <w:pPr>
              <w:spacing w:line="240" w:lineRule="auto"/>
              <w:jc w:val="center"/>
              <w:rPr>
                <w:rFonts w:hint="eastAsia"/>
                <w:strike w:val="0"/>
                <w:dstrike w:val="0"/>
                <w:color w:val="auto"/>
                <w:sz w:val="21"/>
                <w:szCs w:val="21"/>
                <w:highlight w:val="none"/>
                <w:lang w:eastAsia="zh-CN"/>
              </w:rPr>
            </w:pPr>
            <w:r>
              <w:rPr>
                <w:rFonts w:hint="default"/>
                <w:strike w:val="0"/>
                <w:dstrike w:val="0"/>
                <w:color w:val="auto"/>
                <w:sz w:val="21"/>
                <w:szCs w:val="21"/>
                <w:highlight w:val="none"/>
                <w:lang w:eastAsia="zh-CN"/>
              </w:rPr>
              <w:t>泄漏后可能进入水环境或土壤中</w:t>
            </w:r>
            <w:r>
              <w:rPr>
                <w:rFonts w:hint="default"/>
                <w:strike w:val="0"/>
                <w:dstrike w:val="0"/>
                <w:color w:val="auto"/>
                <w:sz w:val="21"/>
                <w:szCs w:val="21"/>
                <w:highlight w:val="none"/>
              </w:rPr>
              <w:t>；</w:t>
            </w:r>
            <w:r>
              <w:rPr>
                <w:rFonts w:hint="eastAsia"/>
                <w:strike w:val="0"/>
                <w:dstrike w:val="0"/>
                <w:color w:val="auto"/>
                <w:sz w:val="21"/>
                <w:szCs w:val="21"/>
                <w:highlight w:val="none"/>
                <w:lang w:eastAsia="zh-CN"/>
              </w:rPr>
              <w:t>事故中产生的废气</w:t>
            </w:r>
            <w:r>
              <w:rPr>
                <w:rFonts w:hint="default"/>
                <w:strike w:val="0"/>
                <w:dstrike w:val="0"/>
                <w:color w:val="auto"/>
                <w:sz w:val="21"/>
                <w:szCs w:val="21"/>
                <w:highlight w:val="none"/>
              </w:rPr>
              <w:t>进入</w:t>
            </w:r>
            <w:r>
              <w:rPr>
                <w:rFonts w:hint="eastAsia"/>
                <w:strike w:val="0"/>
                <w:dstrike w:val="0"/>
                <w:color w:val="auto"/>
                <w:sz w:val="21"/>
                <w:szCs w:val="21"/>
                <w:highlight w:val="none"/>
                <w:lang w:eastAsia="zh-CN"/>
              </w:rPr>
              <w:t>周边大气中</w:t>
            </w:r>
          </w:p>
        </w:tc>
        <w:tc>
          <w:tcPr>
            <w:tcW w:w="1223" w:type="dxa"/>
            <w:noWrap w:val="0"/>
            <w:vAlign w:val="center"/>
          </w:tcPr>
          <w:p w14:paraId="6B56575B">
            <w:pPr>
              <w:spacing w:line="240" w:lineRule="auto"/>
              <w:jc w:val="center"/>
              <w:rPr>
                <w:rFonts w:hint="eastAsia"/>
                <w:strike w:val="0"/>
                <w:dstrike w:val="0"/>
                <w:color w:val="auto"/>
                <w:sz w:val="21"/>
                <w:szCs w:val="21"/>
                <w:highlight w:val="none"/>
                <w:lang w:eastAsia="zh-CN"/>
              </w:rPr>
            </w:pPr>
            <w:r>
              <w:rPr>
                <w:rFonts w:hint="eastAsia"/>
                <w:strike w:val="0"/>
                <w:dstrike w:val="0"/>
                <w:color w:val="auto"/>
                <w:sz w:val="21"/>
                <w:szCs w:val="21"/>
                <w:highlight w:val="none"/>
                <w:lang w:eastAsia="zh-CN"/>
              </w:rPr>
              <w:t>装卸区设置防腐防渗设施；罐区采用防渗罐池，设置导流沟并与隔油池相连</w:t>
            </w:r>
          </w:p>
        </w:tc>
        <w:tc>
          <w:tcPr>
            <w:tcW w:w="980" w:type="dxa"/>
            <w:noWrap w:val="0"/>
            <w:vAlign w:val="center"/>
          </w:tcPr>
          <w:p w14:paraId="60AFF7EB">
            <w:pPr>
              <w:spacing w:line="240" w:lineRule="auto"/>
              <w:jc w:val="center"/>
              <w:rPr>
                <w:rFonts w:hint="eastAsia" w:eastAsia="宋体"/>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w:t>
            </w:r>
          </w:p>
        </w:tc>
      </w:tr>
      <w:tr w14:paraId="32555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6" w:type="dxa"/>
            <w:shd w:val="clear" w:color="auto" w:fill="auto"/>
            <w:noWrap w:val="0"/>
            <w:vAlign w:val="center"/>
          </w:tcPr>
          <w:p w14:paraId="178A2E61">
            <w:pPr>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 w:val="21"/>
                <w:szCs w:val="21"/>
                <w:highlight w:val="none"/>
                <w:lang w:val="en-US" w:eastAsia="zh-CN"/>
              </w:rPr>
              <w:t>2</w:t>
            </w:r>
          </w:p>
        </w:tc>
        <w:tc>
          <w:tcPr>
            <w:tcW w:w="708" w:type="dxa"/>
            <w:noWrap w:val="0"/>
            <w:vAlign w:val="center"/>
          </w:tcPr>
          <w:p w14:paraId="2C4297DC">
            <w:pPr>
              <w:spacing w:line="240" w:lineRule="auto"/>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储气罐区</w:t>
            </w:r>
          </w:p>
        </w:tc>
        <w:tc>
          <w:tcPr>
            <w:tcW w:w="680" w:type="dxa"/>
            <w:shd w:val="clear" w:color="auto" w:fill="auto"/>
            <w:noWrap w:val="0"/>
            <w:vAlign w:val="center"/>
          </w:tcPr>
          <w:p w14:paraId="4C269032">
            <w:pPr>
              <w:spacing w:line="240" w:lineRule="auto"/>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 w:val="21"/>
                <w:szCs w:val="21"/>
                <w:highlight w:val="none"/>
                <w:lang w:val="en-US" w:eastAsia="zh-CN"/>
              </w:rPr>
              <w:t>天然气</w:t>
            </w:r>
          </w:p>
        </w:tc>
        <w:tc>
          <w:tcPr>
            <w:tcW w:w="1627" w:type="dxa"/>
            <w:shd w:val="clear" w:color="auto" w:fill="auto"/>
            <w:noWrap w:val="0"/>
            <w:vAlign w:val="center"/>
          </w:tcPr>
          <w:p w14:paraId="210316E9">
            <w:pPr>
              <w:spacing w:line="240" w:lineRule="auto"/>
              <w:jc w:val="center"/>
              <w:rPr>
                <w:rFonts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 w:val="21"/>
                <w:szCs w:val="21"/>
                <w:highlight w:val="none"/>
                <w:lang w:val="en-US" w:eastAsia="zh-CN"/>
              </w:rPr>
              <w:t>泄漏、火灾、爆炸</w:t>
            </w:r>
          </w:p>
        </w:tc>
        <w:tc>
          <w:tcPr>
            <w:tcW w:w="1858" w:type="dxa"/>
            <w:shd w:val="clear" w:color="auto" w:fill="auto"/>
            <w:noWrap w:val="0"/>
            <w:vAlign w:val="center"/>
          </w:tcPr>
          <w:p w14:paraId="5093E0AE">
            <w:pPr>
              <w:pStyle w:val="18"/>
              <w:spacing w:before="0" w:beforeAutospacing="0" w:after="0" w:afterAutospacing="0" w:line="240" w:lineRule="auto"/>
              <w:ind w:left="0" w:leftChars="0" w:right="0" w:rightChars="0"/>
              <w:jc w:val="center"/>
              <w:rPr>
                <w:rFonts w:hint="eastAsia" w:ascii="monospace" w:hAnsi="monospace" w:eastAsia="宋体" w:cs="Times New Roman"/>
                <w:strike w:val="0"/>
                <w:dstrike w:val="0"/>
                <w:color w:val="auto"/>
                <w:kern w:val="0"/>
                <w:sz w:val="21"/>
                <w:szCs w:val="21"/>
                <w:highlight w:val="none"/>
                <w:lang w:val="en-US" w:eastAsia="zh-CN" w:bidi="ar-SA"/>
              </w:rPr>
            </w:pPr>
            <w:r>
              <w:rPr>
                <w:rFonts w:hint="eastAsia"/>
                <w:strike w:val="0"/>
                <w:dstrike w:val="0"/>
                <w:color w:val="auto"/>
                <w:sz w:val="21"/>
                <w:szCs w:val="21"/>
                <w:highlight w:val="none"/>
                <w:lang w:val="en-US" w:eastAsia="zh-CN"/>
              </w:rPr>
              <w:t>罐体破裂导致天然气</w:t>
            </w:r>
            <w:r>
              <w:rPr>
                <w:rFonts w:hint="eastAsia"/>
                <w:strike w:val="0"/>
                <w:dstrike w:val="0"/>
                <w:color w:val="auto"/>
                <w:sz w:val="21"/>
                <w:szCs w:val="21"/>
                <w:highlight w:val="none"/>
              </w:rPr>
              <w:t>泄漏</w:t>
            </w:r>
            <w:r>
              <w:rPr>
                <w:strike w:val="0"/>
                <w:dstrike w:val="0"/>
                <w:color w:val="auto"/>
                <w:sz w:val="21"/>
                <w:szCs w:val="21"/>
                <w:highlight w:val="none"/>
              </w:rPr>
              <w:t>；</w:t>
            </w:r>
            <w:r>
              <w:rPr>
                <w:rFonts w:hint="eastAsia"/>
                <w:strike w:val="0"/>
                <w:dstrike w:val="0"/>
                <w:color w:val="auto"/>
                <w:sz w:val="21"/>
                <w:szCs w:val="21"/>
                <w:highlight w:val="none"/>
                <w:lang w:eastAsia="zh-CN"/>
              </w:rPr>
              <w:t>偶遇火星引发火灾、爆炸</w:t>
            </w:r>
          </w:p>
        </w:tc>
        <w:tc>
          <w:tcPr>
            <w:tcW w:w="1235" w:type="dxa"/>
            <w:shd w:val="clear" w:color="auto" w:fill="auto"/>
            <w:noWrap w:val="0"/>
            <w:vAlign w:val="center"/>
          </w:tcPr>
          <w:p w14:paraId="03B3474D">
            <w:pPr>
              <w:pStyle w:val="18"/>
              <w:spacing w:before="0" w:beforeAutospacing="0" w:after="0" w:afterAutospacing="0" w:line="240" w:lineRule="auto"/>
              <w:ind w:left="0" w:leftChars="0" w:right="0" w:rightChars="0"/>
              <w:jc w:val="center"/>
              <w:rPr>
                <w:rFonts w:hint="default" w:ascii="monospace" w:hAnsi="monospace" w:eastAsia="宋体" w:cs="Times New Roman"/>
                <w:strike w:val="0"/>
                <w:dstrike w:val="0"/>
                <w:color w:val="auto"/>
                <w:kern w:val="0"/>
                <w:sz w:val="21"/>
                <w:szCs w:val="21"/>
                <w:highlight w:val="none"/>
                <w:lang w:val="en-US" w:eastAsia="zh-CN" w:bidi="ar-SA"/>
              </w:rPr>
            </w:pPr>
            <w:r>
              <w:rPr>
                <w:rFonts w:hint="eastAsia"/>
                <w:strike w:val="0"/>
                <w:dstrike w:val="0"/>
                <w:color w:val="auto"/>
                <w:sz w:val="21"/>
                <w:szCs w:val="21"/>
                <w:highlight w:val="none"/>
              </w:rPr>
              <w:t>泄漏</w:t>
            </w:r>
            <w:r>
              <w:rPr>
                <w:rFonts w:hint="eastAsia"/>
                <w:strike w:val="0"/>
                <w:dstrike w:val="0"/>
                <w:color w:val="auto"/>
                <w:sz w:val="21"/>
                <w:szCs w:val="21"/>
                <w:highlight w:val="none"/>
                <w:lang w:val="en-US" w:eastAsia="zh-CN"/>
              </w:rPr>
              <w:t>的天然气</w:t>
            </w:r>
            <w:r>
              <w:rPr>
                <w:rFonts w:hint="eastAsia"/>
                <w:strike w:val="0"/>
                <w:dstrike w:val="0"/>
                <w:color w:val="auto"/>
                <w:sz w:val="21"/>
                <w:szCs w:val="21"/>
                <w:highlight w:val="none"/>
              </w:rPr>
              <w:t>进入空气中</w:t>
            </w:r>
            <w:r>
              <w:rPr>
                <w:rFonts w:hint="default"/>
                <w:strike w:val="0"/>
                <w:dstrike w:val="0"/>
                <w:color w:val="auto"/>
                <w:sz w:val="21"/>
                <w:szCs w:val="21"/>
                <w:highlight w:val="none"/>
              </w:rPr>
              <w:t>；</w:t>
            </w:r>
            <w:r>
              <w:rPr>
                <w:rFonts w:hint="eastAsia"/>
                <w:strike w:val="0"/>
                <w:dstrike w:val="0"/>
                <w:color w:val="auto"/>
                <w:sz w:val="21"/>
                <w:szCs w:val="21"/>
                <w:highlight w:val="none"/>
                <w:lang w:eastAsia="zh-CN"/>
              </w:rPr>
              <w:t>事故中产生的废气</w:t>
            </w:r>
            <w:r>
              <w:rPr>
                <w:rFonts w:hint="default"/>
                <w:strike w:val="0"/>
                <w:dstrike w:val="0"/>
                <w:color w:val="auto"/>
                <w:sz w:val="21"/>
                <w:szCs w:val="21"/>
                <w:highlight w:val="none"/>
              </w:rPr>
              <w:t>进入</w:t>
            </w:r>
            <w:r>
              <w:rPr>
                <w:rFonts w:hint="eastAsia"/>
                <w:strike w:val="0"/>
                <w:dstrike w:val="0"/>
                <w:color w:val="auto"/>
                <w:sz w:val="21"/>
                <w:szCs w:val="21"/>
                <w:highlight w:val="none"/>
                <w:lang w:eastAsia="zh-CN"/>
              </w:rPr>
              <w:t>周边大气中</w:t>
            </w:r>
          </w:p>
        </w:tc>
        <w:tc>
          <w:tcPr>
            <w:tcW w:w="1223" w:type="dxa"/>
            <w:shd w:val="clear" w:color="auto" w:fill="auto"/>
            <w:noWrap w:val="0"/>
            <w:vAlign w:val="center"/>
          </w:tcPr>
          <w:p w14:paraId="69527CEC">
            <w:pPr>
              <w:pStyle w:val="18"/>
              <w:spacing w:before="0" w:beforeAutospacing="0" w:after="0" w:afterAutospacing="0" w:line="240" w:lineRule="auto"/>
              <w:ind w:left="0" w:leftChars="0" w:right="0" w:rightChars="0"/>
              <w:jc w:val="center"/>
              <w:rPr>
                <w:rFonts w:hint="eastAsia" w:ascii="monospace" w:hAnsi="monospace" w:eastAsia="宋体" w:cs="Times New Roman"/>
                <w:strike w:val="0"/>
                <w:dstrike w:val="0"/>
                <w:color w:val="auto"/>
                <w:kern w:val="0"/>
                <w:sz w:val="21"/>
                <w:szCs w:val="21"/>
                <w:highlight w:val="none"/>
                <w:lang w:val="en-US" w:eastAsia="zh-CN" w:bidi="ar-SA"/>
              </w:rPr>
            </w:pPr>
            <w:r>
              <w:rPr>
                <w:rFonts w:hint="eastAsia"/>
                <w:strike w:val="0"/>
                <w:dstrike w:val="0"/>
                <w:color w:val="auto"/>
                <w:sz w:val="21"/>
                <w:szCs w:val="21"/>
                <w:highlight w:val="none"/>
              </w:rPr>
              <w:t>组织应急处置组对</w:t>
            </w:r>
            <w:r>
              <w:rPr>
                <w:rFonts w:hint="eastAsia"/>
                <w:strike w:val="0"/>
                <w:dstrike w:val="0"/>
                <w:color w:val="auto"/>
                <w:sz w:val="21"/>
                <w:szCs w:val="21"/>
                <w:highlight w:val="none"/>
                <w:lang w:val="en-US" w:eastAsia="zh-CN"/>
              </w:rPr>
              <w:t>破损的罐体进行维修</w:t>
            </w:r>
          </w:p>
        </w:tc>
        <w:tc>
          <w:tcPr>
            <w:tcW w:w="980" w:type="dxa"/>
            <w:shd w:val="clear" w:color="auto" w:fill="auto"/>
            <w:noWrap w:val="0"/>
            <w:vAlign w:val="center"/>
          </w:tcPr>
          <w:p w14:paraId="5AC7BC29">
            <w:pPr>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 w:val="21"/>
                <w:szCs w:val="21"/>
                <w:highlight w:val="none"/>
                <w:lang w:val="en-US" w:eastAsia="zh-CN"/>
              </w:rPr>
              <w:t>/</w:t>
            </w:r>
          </w:p>
        </w:tc>
      </w:tr>
      <w:tr w14:paraId="5104D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6" w:type="dxa"/>
            <w:shd w:val="clear" w:color="auto" w:fill="auto"/>
            <w:noWrap w:val="0"/>
            <w:vAlign w:val="center"/>
          </w:tcPr>
          <w:p w14:paraId="31BCABE9">
            <w:pPr>
              <w:spacing w:line="240" w:lineRule="auto"/>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 w:val="21"/>
                <w:szCs w:val="21"/>
                <w:highlight w:val="none"/>
                <w:lang w:val="en-US" w:eastAsia="zh-CN"/>
              </w:rPr>
              <w:t>3</w:t>
            </w:r>
          </w:p>
        </w:tc>
        <w:tc>
          <w:tcPr>
            <w:tcW w:w="708" w:type="dxa"/>
            <w:noWrap w:val="0"/>
            <w:vAlign w:val="center"/>
          </w:tcPr>
          <w:p w14:paraId="37602ADE">
            <w:pPr>
              <w:spacing w:line="240" w:lineRule="auto"/>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eastAsia="zh-CN"/>
              </w:rPr>
              <w:t>加油区</w:t>
            </w:r>
            <w:r>
              <w:rPr>
                <w:rFonts w:hint="eastAsia"/>
                <w:strike w:val="0"/>
                <w:dstrike w:val="0"/>
                <w:color w:val="auto"/>
                <w:sz w:val="21"/>
                <w:szCs w:val="21"/>
                <w:highlight w:val="none"/>
                <w:lang w:val="en-US" w:eastAsia="zh-CN"/>
              </w:rPr>
              <w:t>及输送管道</w:t>
            </w:r>
          </w:p>
        </w:tc>
        <w:tc>
          <w:tcPr>
            <w:tcW w:w="680" w:type="dxa"/>
            <w:noWrap w:val="0"/>
            <w:vAlign w:val="center"/>
          </w:tcPr>
          <w:p w14:paraId="475958FE">
            <w:pPr>
              <w:spacing w:line="240" w:lineRule="auto"/>
              <w:jc w:val="center"/>
              <w:rPr>
                <w:rFonts w:hint="default"/>
                <w:strike w:val="0"/>
                <w:dstrike w:val="0"/>
                <w:color w:val="auto"/>
                <w:sz w:val="21"/>
                <w:szCs w:val="21"/>
                <w:highlight w:val="none"/>
                <w:lang w:eastAsia="zh-CN"/>
              </w:rPr>
            </w:pPr>
            <w:r>
              <w:rPr>
                <w:rFonts w:hint="eastAsia"/>
                <w:strike w:val="0"/>
                <w:dstrike w:val="0"/>
                <w:color w:val="auto"/>
                <w:sz w:val="21"/>
                <w:szCs w:val="21"/>
                <w:highlight w:val="none"/>
                <w:lang w:eastAsia="zh-CN"/>
              </w:rPr>
              <w:t>柴油、汽油</w:t>
            </w:r>
          </w:p>
        </w:tc>
        <w:tc>
          <w:tcPr>
            <w:tcW w:w="1627" w:type="dxa"/>
            <w:noWrap w:val="0"/>
            <w:vAlign w:val="center"/>
          </w:tcPr>
          <w:p w14:paraId="69BFEDD4">
            <w:pPr>
              <w:spacing w:line="240" w:lineRule="auto"/>
              <w:jc w:val="center"/>
              <w:rPr>
                <w:strike w:val="0"/>
                <w:dstrike w:val="0"/>
                <w:color w:val="auto"/>
                <w:sz w:val="21"/>
                <w:szCs w:val="21"/>
                <w:highlight w:val="none"/>
              </w:rPr>
            </w:pPr>
            <w:r>
              <w:rPr>
                <w:rFonts w:hint="eastAsia"/>
                <w:strike w:val="0"/>
                <w:dstrike w:val="0"/>
                <w:color w:val="auto"/>
                <w:sz w:val="21"/>
                <w:szCs w:val="21"/>
                <w:highlight w:val="none"/>
                <w:lang w:val="en-US" w:eastAsia="zh-CN"/>
              </w:rPr>
              <w:t>泄漏、火灾、爆炸</w:t>
            </w:r>
          </w:p>
        </w:tc>
        <w:tc>
          <w:tcPr>
            <w:tcW w:w="1858" w:type="dxa"/>
            <w:noWrap w:val="0"/>
            <w:vAlign w:val="center"/>
          </w:tcPr>
          <w:p w14:paraId="3FFAF005">
            <w:pPr>
              <w:spacing w:line="240" w:lineRule="auto"/>
              <w:jc w:val="center"/>
              <w:rPr>
                <w:rFonts w:hint="eastAsia"/>
                <w:strike w:val="0"/>
                <w:dstrike w:val="0"/>
                <w:color w:val="auto"/>
                <w:sz w:val="21"/>
                <w:szCs w:val="21"/>
                <w:highlight w:val="none"/>
                <w:lang w:eastAsia="zh-CN"/>
              </w:rPr>
            </w:pPr>
            <w:r>
              <w:rPr>
                <w:rFonts w:hint="eastAsia"/>
                <w:strike w:val="0"/>
                <w:dstrike w:val="0"/>
                <w:color w:val="auto"/>
                <w:sz w:val="21"/>
                <w:szCs w:val="21"/>
                <w:highlight w:val="none"/>
                <w:lang w:eastAsia="zh-CN"/>
              </w:rPr>
              <w:t>人员</w:t>
            </w:r>
            <w:r>
              <w:rPr>
                <w:strike w:val="0"/>
                <w:dstrike w:val="0"/>
                <w:color w:val="auto"/>
                <w:sz w:val="21"/>
                <w:szCs w:val="21"/>
                <w:highlight w:val="none"/>
              </w:rPr>
              <w:t>误操作</w:t>
            </w:r>
            <w:r>
              <w:rPr>
                <w:rFonts w:hint="eastAsia"/>
                <w:strike w:val="0"/>
                <w:dstrike w:val="0"/>
                <w:color w:val="auto"/>
                <w:sz w:val="21"/>
                <w:szCs w:val="21"/>
                <w:highlight w:val="none"/>
                <w:lang w:eastAsia="zh-CN"/>
              </w:rPr>
              <w:t>、</w:t>
            </w:r>
            <w:r>
              <w:rPr>
                <w:strike w:val="0"/>
                <w:dstrike w:val="0"/>
                <w:color w:val="auto"/>
                <w:sz w:val="21"/>
                <w:szCs w:val="21"/>
                <w:highlight w:val="none"/>
              </w:rPr>
              <w:t>外力破坏</w:t>
            </w:r>
            <w:r>
              <w:rPr>
                <w:rFonts w:hint="eastAsia"/>
                <w:strike w:val="0"/>
                <w:dstrike w:val="0"/>
                <w:color w:val="auto"/>
                <w:sz w:val="21"/>
                <w:szCs w:val="21"/>
                <w:highlight w:val="none"/>
                <w:lang w:eastAsia="zh-CN"/>
              </w:rPr>
              <w:t>、</w:t>
            </w:r>
            <w:r>
              <w:rPr>
                <w:rFonts w:hint="eastAsia"/>
                <w:strike w:val="0"/>
                <w:dstrike w:val="0"/>
                <w:color w:val="auto"/>
                <w:sz w:val="21"/>
                <w:szCs w:val="21"/>
                <w:highlight w:val="none"/>
              </w:rPr>
              <w:t>油品输送管道破裂等</w:t>
            </w:r>
            <w:r>
              <w:rPr>
                <w:rFonts w:hint="eastAsia"/>
                <w:strike w:val="0"/>
                <w:dstrike w:val="0"/>
                <w:color w:val="auto"/>
                <w:sz w:val="21"/>
                <w:szCs w:val="21"/>
                <w:highlight w:val="none"/>
                <w:lang w:eastAsia="zh-CN"/>
              </w:rPr>
              <w:t>引发油料泄漏</w:t>
            </w:r>
            <w:r>
              <w:rPr>
                <w:rFonts w:hint="eastAsia"/>
                <w:strike w:val="0"/>
                <w:dstrike w:val="0"/>
                <w:color w:val="auto"/>
                <w:sz w:val="21"/>
                <w:szCs w:val="21"/>
                <w:highlight w:val="none"/>
              </w:rPr>
              <w:t>；</w:t>
            </w:r>
            <w:r>
              <w:rPr>
                <w:strike w:val="0"/>
                <w:dstrike w:val="0"/>
                <w:color w:val="auto"/>
                <w:sz w:val="21"/>
                <w:szCs w:val="21"/>
                <w:highlight w:val="none"/>
              </w:rPr>
              <w:t>静电起火</w:t>
            </w:r>
            <w:r>
              <w:rPr>
                <w:rFonts w:hint="eastAsia"/>
                <w:strike w:val="0"/>
                <w:dstrike w:val="0"/>
                <w:color w:val="auto"/>
                <w:sz w:val="21"/>
                <w:szCs w:val="21"/>
                <w:highlight w:val="none"/>
                <w:lang w:eastAsia="zh-CN"/>
              </w:rPr>
              <w:t>、泄漏物料偶遇火星等引发火灾、爆炸</w:t>
            </w:r>
          </w:p>
        </w:tc>
        <w:tc>
          <w:tcPr>
            <w:tcW w:w="1235" w:type="dxa"/>
            <w:noWrap w:val="0"/>
            <w:vAlign w:val="center"/>
          </w:tcPr>
          <w:p w14:paraId="3141E9C9">
            <w:pPr>
              <w:spacing w:line="240" w:lineRule="auto"/>
              <w:jc w:val="center"/>
              <w:rPr>
                <w:rFonts w:hint="default"/>
                <w:strike w:val="0"/>
                <w:dstrike w:val="0"/>
                <w:color w:val="auto"/>
                <w:sz w:val="21"/>
                <w:szCs w:val="21"/>
                <w:highlight w:val="none"/>
                <w:lang w:eastAsia="zh-CN"/>
              </w:rPr>
            </w:pPr>
            <w:r>
              <w:rPr>
                <w:rFonts w:hint="default"/>
                <w:strike w:val="0"/>
                <w:dstrike w:val="0"/>
                <w:color w:val="auto"/>
                <w:sz w:val="21"/>
                <w:szCs w:val="21"/>
                <w:highlight w:val="none"/>
                <w:lang w:eastAsia="zh-CN"/>
              </w:rPr>
              <w:t>泄漏后可能进入水环境或土壤中</w:t>
            </w:r>
            <w:r>
              <w:rPr>
                <w:rFonts w:hint="default"/>
                <w:strike w:val="0"/>
                <w:dstrike w:val="0"/>
                <w:color w:val="auto"/>
                <w:sz w:val="21"/>
                <w:szCs w:val="21"/>
                <w:highlight w:val="none"/>
              </w:rPr>
              <w:t>；</w:t>
            </w:r>
            <w:r>
              <w:rPr>
                <w:rFonts w:hint="eastAsia"/>
                <w:strike w:val="0"/>
                <w:dstrike w:val="0"/>
                <w:color w:val="auto"/>
                <w:sz w:val="21"/>
                <w:szCs w:val="21"/>
                <w:highlight w:val="none"/>
                <w:lang w:eastAsia="zh-CN"/>
              </w:rPr>
              <w:t>事故中产生的废气</w:t>
            </w:r>
            <w:r>
              <w:rPr>
                <w:rFonts w:hint="default"/>
                <w:strike w:val="0"/>
                <w:dstrike w:val="0"/>
                <w:color w:val="auto"/>
                <w:sz w:val="21"/>
                <w:szCs w:val="21"/>
                <w:highlight w:val="none"/>
              </w:rPr>
              <w:t>进入</w:t>
            </w:r>
            <w:r>
              <w:rPr>
                <w:rFonts w:hint="eastAsia"/>
                <w:strike w:val="0"/>
                <w:dstrike w:val="0"/>
                <w:color w:val="auto"/>
                <w:sz w:val="21"/>
                <w:szCs w:val="21"/>
                <w:highlight w:val="none"/>
                <w:lang w:eastAsia="zh-CN"/>
              </w:rPr>
              <w:t>周边大气中</w:t>
            </w:r>
          </w:p>
        </w:tc>
        <w:tc>
          <w:tcPr>
            <w:tcW w:w="1223" w:type="dxa"/>
            <w:noWrap w:val="0"/>
            <w:vAlign w:val="center"/>
          </w:tcPr>
          <w:p w14:paraId="4BE41533">
            <w:pPr>
              <w:spacing w:line="240" w:lineRule="auto"/>
              <w:jc w:val="center"/>
              <w:rPr>
                <w:rFonts w:hint="eastAsia" w:eastAsia="宋体"/>
                <w:strike w:val="0"/>
                <w:dstrike w:val="0"/>
                <w:color w:val="auto"/>
                <w:sz w:val="21"/>
                <w:szCs w:val="21"/>
                <w:highlight w:val="none"/>
                <w:lang w:eastAsia="zh-CN"/>
              </w:rPr>
            </w:pPr>
            <w:r>
              <w:rPr>
                <w:rFonts w:hint="eastAsia"/>
                <w:strike w:val="0"/>
                <w:dstrike w:val="0"/>
                <w:color w:val="auto"/>
                <w:sz w:val="21"/>
                <w:szCs w:val="21"/>
                <w:highlight w:val="none"/>
                <w:lang w:eastAsia="zh-CN"/>
              </w:rPr>
              <w:t>加油区四周设置</w:t>
            </w:r>
            <w:r>
              <w:rPr>
                <w:rFonts w:hint="eastAsia"/>
                <w:strike w:val="0"/>
                <w:dstrike w:val="0"/>
                <w:color w:val="auto"/>
                <w:sz w:val="21"/>
                <w:szCs w:val="21"/>
                <w:highlight w:val="none"/>
                <w:lang w:val="en-US" w:eastAsia="zh-CN"/>
              </w:rPr>
              <w:t>截流沟</w:t>
            </w:r>
            <w:r>
              <w:rPr>
                <w:rFonts w:hint="eastAsia"/>
                <w:strike w:val="0"/>
                <w:dstrike w:val="0"/>
                <w:color w:val="auto"/>
                <w:sz w:val="21"/>
                <w:szCs w:val="21"/>
                <w:highlight w:val="none"/>
                <w:lang w:eastAsia="zh-CN"/>
              </w:rPr>
              <w:t>并与隔油池相连</w:t>
            </w:r>
          </w:p>
        </w:tc>
        <w:tc>
          <w:tcPr>
            <w:tcW w:w="980" w:type="dxa"/>
            <w:noWrap w:val="0"/>
            <w:vAlign w:val="center"/>
          </w:tcPr>
          <w:p w14:paraId="67490644">
            <w:pPr>
              <w:spacing w:line="240" w:lineRule="auto"/>
              <w:jc w:val="center"/>
              <w:rPr>
                <w:rFonts w:hint="default" w:eastAsia="宋体"/>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w:t>
            </w:r>
          </w:p>
        </w:tc>
      </w:tr>
      <w:tr w14:paraId="1FBF6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6" w:type="dxa"/>
            <w:noWrap w:val="0"/>
            <w:vAlign w:val="center"/>
          </w:tcPr>
          <w:p w14:paraId="2296B1EB">
            <w:pPr>
              <w:spacing w:line="240" w:lineRule="auto"/>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4</w:t>
            </w:r>
          </w:p>
        </w:tc>
        <w:tc>
          <w:tcPr>
            <w:tcW w:w="708" w:type="dxa"/>
            <w:noWrap w:val="0"/>
            <w:vAlign w:val="center"/>
          </w:tcPr>
          <w:p w14:paraId="65316222">
            <w:pPr>
              <w:spacing w:line="240" w:lineRule="auto"/>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加气区及输送管道</w:t>
            </w:r>
          </w:p>
        </w:tc>
        <w:tc>
          <w:tcPr>
            <w:tcW w:w="680" w:type="dxa"/>
            <w:shd w:val="clear" w:color="auto" w:fill="auto"/>
            <w:noWrap w:val="0"/>
            <w:vAlign w:val="center"/>
          </w:tcPr>
          <w:p w14:paraId="0C3D7887">
            <w:pPr>
              <w:spacing w:line="240" w:lineRule="auto"/>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 w:val="21"/>
                <w:szCs w:val="21"/>
                <w:highlight w:val="none"/>
                <w:lang w:val="en-US" w:eastAsia="zh-CN"/>
              </w:rPr>
              <w:t>天然气</w:t>
            </w:r>
          </w:p>
        </w:tc>
        <w:tc>
          <w:tcPr>
            <w:tcW w:w="1627" w:type="dxa"/>
            <w:shd w:val="clear" w:color="auto" w:fill="auto"/>
            <w:noWrap w:val="0"/>
            <w:vAlign w:val="center"/>
          </w:tcPr>
          <w:p w14:paraId="66F0676D">
            <w:pPr>
              <w:spacing w:line="240" w:lineRule="auto"/>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 w:val="21"/>
                <w:szCs w:val="21"/>
                <w:highlight w:val="none"/>
                <w:lang w:val="en-US" w:eastAsia="zh-CN"/>
              </w:rPr>
              <w:t>泄漏、火灾、爆炸</w:t>
            </w:r>
          </w:p>
        </w:tc>
        <w:tc>
          <w:tcPr>
            <w:tcW w:w="1858" w:type="dxa"/>
            <w:shd w:val="clear" w:color="auto" w:fill="auto"/>
            <w:noWrap w:val="0"/>
            <w:vAlign w:val="center"/>
          </w:tcPr>
          <w:p w14:paraId="01B8E21E">
            <w:pPr>
              <w:pStyle w:val="18"/>
              <w:spacing w:before="0" w:beforeAutospacing="0" w:after="0" w:afterAutospacing="0" w:line="240" w:lineRule="auto"/>
              <w:ind w:left="0" w:leftChars="0" w:right="0" w:rightChars="0"/>
              <w:jc w:val="center"/>
              <w:rPr>
                <w:rFonts w:hint="eastAsia" w:ascii="monospace" w:hAnsi="monospace" w:eastAsia="宋体" w:cs="Times New Roman"/>
                <w:strike w:val="0"/>
                <w:dstrike w:val="0"/>
                <w:color w:val="auto"/>
                <w:kern w:val="0"/>
                <w:sz w:val="21"/>
                <w:szCs w:val="21"/>
                <w:highlight w:val="none"/>
                <w:lang w:val="en-US" w:eastAsia="zh-CN" w:bidi="ar-SA"/>
              </w:rPr>
            </w:pPr>
            <w:r>
              <w:rPr>
                <w:rFonts w:hint="eastAsia"/>
                <w:strike w:val="0"/>
                <w:dstrike w:val="0"/>
                <w:color w:val="auto"/>
                <w:sz w:val="21"/>
                <w:szCs w:val="21"/>
                <w:highlight w:val="none"/>
                <w:lang w:eastAsia="zh-CN"/>
              </w:rPr>
              <w:t>人员</w:t>
            </w:r>
            <w:r>
              <w:rPr>
                <w:strike w:val="0"/>
                <w:dstrike w:val="0"/>
                <w:color w:val="auto"/>
                <w:sz w:val="21"/>
                <w:szCs w:val="21"/>
                <w:highlight w:val="none"/>
              </w:rPr>
              <w:t>误操作</w:t>
            </w:r>
            <w:r>
              <w:rPr>
                <w:rFonts w:hint="eastAsia"/>
                <w:strike w:val="0"/>
                <w:dstrike w:val="0"/>
                <w:color w:val="auto"/>
                <w:sz w:val="21"/>
                <w:szCs w:val="21"/>
                <w:highlight w:val="none"/>
                <w:lang w:eastAsia="zh-CN"/>
              </w:rPr>
              <w:t>、</w:t>
            </w:r>
            <w:r>
              <w:rPr>
                <w:strike w:val="0"/>
                <w:dstrike w:val="0"/>
                <w:color w:val="auto"/>
                <w:sz w:val="21"/>
                <w:szCs w:val="21"/>
                <w:highlight w:val="none"/>
              </w:rPr>
              <w:t>外力破坏</w:t>
            </w:r>
            <w:r>
              <w:rPr>
                <w:rFonts w:hint="eastAsia"/>
                <w:strike w:val="0"/>
                <w:dstrike w:val="0"/>
                <w:color w:val="auto"/>
                <w:sz w:val="21"/>
                <w:szCs w:val="21"/>
                <w:highlight w:val="none"/>
                <w:lang w:eastAsia="zh-CN"/>
              </w:rPr>
              <w:t>、</w:t>
            </w:r>
            <w:r>
              <w:rPr>
                <w:rFonts w:hint="eastAsia"/>
                <w:strike w:val="0"/>
                <w:dstrike w:val="0"/>
                <w:color w:val="auto"/>
                <w:sz w:val="21"/>
                <w:szCs w:val="21"/>
                <w:highlight w:val="none"/>
                <w:lang w:val="en-US" w:eastAsia="zh-CN"/>
              </w:rPr>
              <w:t>天然气</w:t>
            </w:r>
            <w:r>
              <w:rPr>
                <w:rFonts w:hint="eastAsia"/>
                <w:strike w:val="0"/>
                <w:dstrike w:val="0"/>
                <w:color w:val="auto"/>
                <w:sz w:val="21"/>
                <w:szCs w:val="21"/>
                <w:highlight w:val="none"/>
              </w:rPr>
              <w:t>输送管道破裂等</w:t>
            </w:r>
            <w:r>
              <w:rPr>
                <w:rFonts w:hint="eastAsia"/>
                <w:strike w:val="0"/>
                <w:dstrike w:val="0"/>
                <w:color w:val="auto"/>
                <w:sz w:val="21"/>
                <w:szCs w:val="21"/>
                <w:highlight w:val="none"/>
                <w:lang w:eastAsia="zh-CN"/>
              </w:rPr>
              <w:t>引发</w:t>
            </w:r>
            <w:r>
              <w:rPr>
                <w:rFonts w:hint="eastAsia"/>
                <w:strike w:val="0"/>
                <w:dstrike w:val="0"/>
                <w:color w:val="auto"/>
                <w:sz w:val="21"/>
                <w:szCs w:val="21"/>
                <w:highlight w:val="none"/>
                <w:lang w:val="en-US" w:eastAsia="zh-CN"/>
              </w:rPr>
              <w:t>天然气</w:t>
            </w:r>
            <w:r>
              <w:rPr>
                <w:rFonts w:hint="eastAsia"/>
                <w:strike w:val="0"/>
                <w:dstrike w:val="0"/>
                <w:color w:val="auto"/>
                <w:sz w:val="21"/>
                <w:szCs w:val="21"/>
                <w:highlight w:val="none"/>
                <w:lang w:eastAsia="zh-CN"/>
              </w:rPr>
              <w:t>泄漏</w:t>
            </w:r>
            <w:r>
              <w:rPr>
                <w:strike w:val="0"/>
                <w:dstrike w:val="0"/>
                <w:color w:val="auto"/>
                <w:sz w:val="21"/>
                <w:szCs w:val="21"/>
                <w:highlight w:val="none"/>
              </w:rPr>
              <w:t>；</w:t>
            </w:r>
            <w:r>
              <w:rPr>
                <w:rFonts w:hint="eastAsia"/>
                <w:strike w:val="0"/>
                <w:dstrike w:val="0"/>
                <w:color w:val="auto"/>
                <w:sz w:val="21"/>
                <w:szCs w:val="21"/>
                <w:highlight w:val="none"/>
                <w:lang w:eastAsia="zh-CN"/>
              </w:rPr>
              <w:t>偶遇火星引发火灾、爆炸</w:t>
            </w:r>
          </w:p>
        </w:tc>
        <w:tc>
          <w:tcPr>
            <w:tcW w:w="1235" w:type="dxa"/>
            <w:shd w:val="clear" w:color="auto" w:fill="auto"/>
            <w:noWrap w:val="0"/>
            <w:vAlign w:val="center"/>
          </w:tcPr>
          <w:p w14:paraId="59CEF5E3">
            <w:pPr>
              <w:pStyle w:val="18"/>
              <w:spacing w:before="0" w:beforeAutospacing="0" w:after="0" w:afterAutospacing="0" w:line="240" w:lineRule="auto"/>
              <w:ind w:left="0" w:leftChars="0" w:right="0" w:rightChars="0"/>
              <w:jc w:val="center"/>
              <w:rPr>
                <w:rFonts w:hint="eastAsia" w:ascii="monospace" w:hAnsi="monospace" w:eastAsia="宋体" w:cs="Times New Roman"/>
                <w:strike w:val="0"/>
                <w:dstrike w:val="0"/>
                <w:color w:val="auto"/>
                <w:kern w:val="0"/>
                <w:sz w:val="21"/>
                <w:szCs w:val="21"/>
                <w:highlight w:val="none"/>
                <w:lang w:val="en-US" w:eastAsia="zh-CN" w:bidi="ar-SA"/>
              </w:rPr>
            </w:pPr>
            <w:r>
              <w:rPr>
                <w:rFonts w:hint="eastAsia"/>
                <w:strike w:val="0"/>
                <w:dstrike w:val="0"/>
                <w:color w:val="auto"/>
                <w:sz w:val="21"/>
                <w:szCs w:val="21"/>
                <w:highlight w:val="none"/>
              </w:rPr>
              <w:t>泄漏</w:t>
            </w:r>
            <w:r>
              <w:rPr>
                <w:rFonts w:hint="eastAsia"/>
                <w:strike w:val="0"/>
                <w:dstrike w:val="0"/>
                <w:color w:val="auto"/>
                <w:sz w:val="21"/>
                <w:szCs w:val="21"/>
                <w:highlight w:val="none"/>
                <w:lang w:val="en-US" w:eastAsia="zh-CN"/>
              </w:rPr>
              <w:t>的天然气</w:t>
            </w:r>
            <w:r>
              <w:rPr>
                <w:rFonts w:hint="eastAsia"/>
                <w:strike w:val="0"/>
                <w:dstrike w:val="0"/>
                <w:color w:val="auto"/>
                <w:sz w:val="21"/>
                <w:szCs w:val="21"/>
                <w:highlight w:val="none"/>
              </w:rPr>
              <w:t>进入空气中</w:t>
            </w:r>
            <w:r>
              <w:rPr>
                <w:rFonts w:hint="default"/>
                <w:strike w:val="0"/>
                <w:dstrike w:val="0"/>
                <w:color w:val="auto"/>
                <w:sz w:val="21"/>
                <w:szCs w:val="21"/>
                <w:highlight w:val="none"/>
              </w:rPr>
              <w:t>；</w:t>
            </w:r>
            <w:r>
              <w:rPr>
                <w:rFonts w:hint="eastAsia"/>
                <w:strike w:val="0"/>
                <w:dstrike w:val="0"/>
                <w:color w:val="auto"/>
                <w:sz w:val="21"/>
                <w:szCs w:val="21"/>
                <w:highlight w:val="none"/>
                <w:lang w:eastAsia="zh-CN"/>
              </w:rPr>
              <w:t>事故中产生的废气</w:t>
            </w:r>
            <w:r>
              <w:rPr>
                <w:rFonts w:hint="default"/>
                <w:strike w:val="0"/>
                <w:dstrike w:val="0"/>
                <w:color w:val="auto"/>
                <w:sz w:val="21"/>
                <w:szCs w:val="21"/>
                <w:highlight w:val="none"/>
              </w:rPr>
              <w:t>进入</w:t>
            </w:r>
            <w:r>
              <w:rPr>
                <w:rFonts w:hint="eastAsia"/>
                <w:strike w:val="0"/>
                <w:dstrike w:val="0"/>
                <w:color w:val="auto"/>
                <w:sz w:val="21"/>
                <w:szCs w:val="21"/>
                <w:highlight w:val="none"/>
                <w:lang w:eastAsia="zh-CN"/>
              </w:rPr>
              <w:t>周边大气中</w:t>
            </w:r>
          </w:p>
        </w:tc>
        <w:tc>
          <w:tcPr>
            <w:tcW w:w="1223" w:type="dxa"/>
            <w:shd w:val="clear" w:color="auto" w:fill="auto"/>
            <w:noWrap w:val="0"/>
            <w:vAlign w:val="center"/>
          </w:tcPr>
          <w:p w14:paraId="4D1D6884">
            <w:pPr>
              <w:pStyle w:val="18"/>
              <w:spacing w:before="0" w:beforeAutospacing="0" w:after="0" w:afterAutospacing="0" w:line="240" w:lineRule="auto"/>
              <w:ind w:left="0" w:leftChars="0" w:right="0" w:rightChars="0"/>
              <w:jc w:val="center"/>
              <w:rPr>
                <w:rFonts w:hint="eastAsia" w:ascii="monospace" w:hAnsi="monospace" w:eastAsia="宋体" w:cs="Times New Roman"/>
                <w:strike w:val="0"/>
                <w:dstrike w:val="0"/>
                <w:color w:val="auto"/>
                <w:kern w:val="0"/>
                <w:sz w:val="21"/>
                <w:szCs w:val="21"/>
                <w:highlight w:val="none"/>
                <w:lang w:val="en-US" w:eastAsia="zh-CN" w:bidi="ar-SA"/>
              </w:rPr>
            </w:pPr>
            <w:r>
              <w:rPr>
                <w:rFonts w:hint="eastAsia"/>
                <w:strike w:val="0"/>
                <w:dstrike w:val="0"/>
                <w:color w:val="auto"/>
                <w:sz w:val="21"/>
                <w:szCs w:val="21"/>
                <w:highlight w:val="none"/>
              </w:rPr>
              <w:t>组织应急处置组对</w:t>
            </w:r>
            <w:r>
              <w:rPr>
                <w:rFonts w:hint="eastAsia"/>
                <w:strike w:val="0"/>
                <w:dstrike w:val="0"/>
                <w:color w:val="auto"/>
                <w:sz w:val="21"/>
                <w:szCs w:val="21"/>
                <w:highlight w:val="none"/>
                <w:lang w:val="en-US" w:eastAsia="zh-CN"/>
              </w:rPr>
              <w:t>破损的管道进行维修</w:t>
            </w:r>
          </w:p>
        </w:tc>
        <w:tc>
          <w:tcPr>
            <w:tcW w:w="980" w:type="dxa"/>
            <w:noWrap w:val="0"/>
            <w:vAlign w:val="center"/>
          </w:tcPr>
          <w:p w14:paraId="277EFBBF">
            <w:pPr>
              <w:pStyle w:val="18"/>
              <w:spacing w:before="0" w:beforeAutospacing="0" w:after="0" w:afterAutospacing="0" w:line="240" w:lineRule="auto"/>
              <w:ind w:left="0" w:leftChars="0" w:right="0" w:rightChars="0"/>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w:t>
            </w:r>
          </w:p>
        </w:tc>
      </w:tr>
      <w:tr w14:paraId="2E8F6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6" w:type="dxa"/>
            <w:noWrap w:val="0"/>
            <w:vAlign w:val="center"/>
          </w:tcPr>
          <w:p w14:paraId="0C2DFBDD">
            <w:pPr>
              <w:spacing w:line="240" w:lineRule="auto"/>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5</w:t>
            </w:r>
          </w:p>
        </w:tc>
        <w:tc>
          <w:tcPr>
            <w:tcW w:w="708" w:type="dxa"/>
            <w:noWrap w:val="0"/>
            <w:vAlign w:val="center"/>
          </w:tcPr>
          <w:p w14:paraId="5ED2F29F">
            <w:pPr>
              <w:spacing w:line="240" w:lineRule="auto"/>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充电/换电预留位</w:t>
            </w:r>
          </w:p>
        </w:tc>
        <w:tc>
          <w:tcPr>
            <w:tcW w:w="680" w:type="dxa"/>
            <w:noWrap w:val="0"/>
            <w:vAlign w:val="center"/>
          </w:tcPr>
          <w:p w14:paraId="47C6170C">
            <w:pPr>
              <w:spacing w:line="240" w:lineRule="auto"/>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w:t>
            </w:r>
          </w:p>
        </w:tc>
        <w:tc>
          <w:tcPr>
            <w:tcW w:w="1627" w:type="dxa"/>
            <w:noWrap w:val="0"/>
            <w:vAlign w:val="center"/>
          </w:tcPr>
          <w:p w14:paraId="0364DBF3">
            <w:pPr>
              <w:spacing w:line="240" w:lineRule="auto"/>
              <w:jc w:val="center"/>
              <w:rPr>
                <w:rFonts w:hint="default"/>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火灾、爆炸</w:t>
            </w:r>
          </w:p>
        </w:tc>
        <w:tc>
          <w:tcPr>
            <w:tcW w:w="1858" w:type="dxa"/>
            <w:noWrap w:val="0"/>
            <w:vAlign w:val="center"/>
          </w:tcPr>
          <w:p w14:paraId="6041F727">
            <w:pPr>
              <w:pStyle w:val="18"/>
              <w:spacing w:before="0" w:beforeAutospacing="0" w:after="0" w:afterAutospacing="0" w:line="240" w:lineRule="auto"/>
              <w:ind w:left="0" w:leftChars="0" w:right="0" w:rightChars="0"/>
              <w:jc w:val="center"/>
              <w:rPr>
                <w:rFonts w:hint="eastAsia"/>
                <w:strike w:val="0"/>
                <w:dstrike w:val="0"/>
                <w:color w:val="auto"/>
                <w:sz w:val="21"/>
                <w:szCs w:val="21"/>
                <w:highlight w:val="none"/>
                <w:lang w:eastAsia="zh-CN"/>
              </w:rPr>
            </w:pPr>
            <w:r>
              <w:rPr>
                <w:rFonts w:ascii="Times New Roman" w:hAnsi="Times New Roman" w:eastAsia="宋体" w:cs="Times New Roman"/>
                <w:b w:val="0"/>
                <w:bCs/>
                <w:strike w:val="0"/>
                <w:dstrike w:val="0"/>
                <w:color w:val="auto"/>
                <w:kern w:val="2"/>
                <w:sz w:val="21"/>
                <w:szCs w:val="21"/>
                <w:highlight w:val="none"/>
                <w:lang w:val="en-US" w:eastAsia="zh-CN" w:bidi="ar-SA"/>
              </w:rPr>
              <w:t>过度充电</w:t>
            </w:r>
            <w:r>
              <w:rPr>
                <w:rFonts w:hint="eastAsia" w:ascii="Times New Roman" w:hAnsi="Times New Roman" w:eastAsia="宋体" w:cs="Times New Roman"/>
                <w:b w:val="0"/>
                <w:bCs/>
                <w:strike w:val="0"/>
                <w:dstrike w:val="0"/>
                <w:color w:val="auto"/>
                <w:kern w:val="2"/>
                <w:sz w:val="21"/>
                <w:szCs w:val="21"/>
                <w:highlight w:val="none"/>
                <w:lang w:val="en-US" w:eastAsia="zh-CN" w:bidi="ar-SA"/>
              </w:rPr>
              <w:t>，</w:t>
            </w:r>
            <w:r>
              <w:rPr>
                <w:rFonts w:ascii="Times New Roman" w:hAnsi="Times New Roman" w:eastAsia="宋体" w:cs="Times New Roman"/>
                <w:b w:val="0"/>
                <w:bCs/>
                <w:strike w:val="0"/>
                <w:dstrike w:val="0"/>
                <w:color w:val="auto"/>
                <w:kern w:val="2"/>
                <w:sz w:val="21"/>
                <w:szCs w:val="21"/>
                <w:highlight w:val="none"/>
                <w:lang w:val="en-US" w:eastAsia="zh-CN" w:bidi="ar-SA"/>
              </w:rPr>
              <w:t>蓄电池中或空气中的含氢量累积至爆炸极限时，遇到明火就会形成</w:t>
            </w:r>
            <w:r>
              <w:rPr>
                <w:rFonts w:hint="eastAsia" w:cs="Times New Roman"/>
                <w:b w:val="0"/>
                <w:bCs/>
                <w:strike w:val="0"/>
                <w:dstrike w:val="0"/>
                <w:color w:val="auto"/>
                <w:kern w:val="2"/>
                <w:sz w:val="21"/>
                <w:szCs w:val="21"/>
                <w:highlight w:val="none"/>
                <w:lang w:val="en-US" w:eastAsia="zh-CN" w:bidi="ar-SA"/>
              </w:rPr>
              <w:t>火灾、</w:t>
            </w:r>
            <w:r>
              <w:rPr>
                <w:rFonts w:ascii="Times New Roman" w:hAnsi="Times New Roman" w:eastAsia="宋体" w:cs="Times New Roman"/>
                <w:b w:val="0"/>
                <w:bCs/>
                <w:strike w:val="0"/>
                <w:dstrike w:val="0"/>
                <w:color w:val="auto"/>
                <w:kern w:val="2"/>
                <w:sz w:val="21"/>
                <w:szCs w:val="21"/>
                <w:highlight w:val="none"/>
                <w:lang w:val="en-US" w:eastAsia="zh-CN" w:bidi="ar-SA"/>
              </w:rPr>
              <w:t>爆炸</w:t>
            </w:r>
          </w:p>
        </w:tc>
        <w:tc>
          <w:tcPr>
            <w:tcW w:w="1235" w:type="dxa"/>
            <w:noWrap w:val="0"/>
            <w:vAlign w:val="center"/>
          </w:tcPr>
          <w:p w14:paraId="3BBDD306">
            <w:pPr>
              <w:pStyle w:val="18"/>
              <w:spacing w:before="0" w:beforeAutospacing="0" w:after="0" w:afterAutospacing="0" w:line="240" w:lineRule="auto"/>
              <w:ind w:left="0" w:leftChars="0" w:right="0" w:rightChars="0"/>
              <w:jc w:val="center"/>
              <w:rPr>
                <w:rFonts w:hint="eastAsia"/>
                <w:strike w:val="0"/>
                <w:dstrike w:val="0"/>
                <w:color w:val="auto"/>
                <w:sz w:val="21"/>
                <w:szCs w:val="21"/>
                <w:highlight w:val="none"/>
              </w:rPr>
            </w:pPr>
            <w:r>
              <w:rPr>
                <w:rFonts w:hint="eastAsia"/>
                <w:strike w:val="0"/>
                <w:dstrike w:val="0"/>
                <w:color w:val="auto"/>
                <w:sz w:val="21"/>
                <w:szCs w:val="21"/>
                <w:highlight w:val="none"/>
                <w:lang w:eastAsia="zh-CN"/>
              </w:rPr>
              <w:t>事故中产生的废气</w:t>
            </w:r>
            <w:r>
              <w:rPr>
                <w:rFonts w:hint="default"/>
                <w:strike w:val="0"/>
                <w:dstrike w:val="0"/>
                <w:color w:val="auto"/>
                <w:sz w:val="21"/>
                <w:szCs w:val="21"/>
                <w:highlight w:val="none"/>
              </w:rPr>
              <w:t>进入</w:t>
            </w:r>
            <w:r>
              <w:rPr>
                <w:rFonts w:hint="eastAsia"/>
                <w:strike w:val="0"/>
                <w:dstrike w:val="0"/>
                <w:color w:val="auto"/>
                <w:sz w:val="21"/>
                <w:szCs w:val="21"/>
                <w:highlight w:val="none"/>
                <w:lang w:eastAsia="zh-CN"/>
              </w:rPr>
              <w:t>周边大气中</w:t>
            </w:r>
          </w:p>
        </w:tc>
        <w:tc>
          <w:tcPr>
            <w:tcW w:w="1223" w:type="dxa"/>
            <w:shd w:val="clear" w:color="auto" w:fill="auto"/>
            <w:noWrap w:val="0"/>
            <w:vAlign w:val="center"/>
          </w:tcPr>
          <w:p w14:paraId="58B759BA">
            <w:pPr>
              <w:pStyle w:val="18"/>
              <w:spacing w:before="0" w:beforeAutospacing="0" w:after="0" w:afterAutospacing="0" w:line="240" w:lineRule="auto"/>
              <w:ind w:left="0" w:leftChars="0" w:right="0" w:rightChars="0"/>
              <w:jc w:val="center"/>
              <w:rPr>
                <w:rFonts w:hint="eastAsia" w:ascii="monospace" w:hAnsi="monospace" w:eastAsia="宋体" w:cs="Times New Roman"/>
                <w:strike w:val="0"/>
                <w:dstrike w:val="0"/>
                <w:color w:val="auto"/>
                <w:kern w:val="0"/>
                <w:sz w:val="21"/>
                <w:szCs w:val="21"/>
                <w:highlight w:val="none"/>
                <w:lang w:val="en-US" w:eastAsia="zh-CN" w:bidi="ar-SA"/>
              </w:rPr>
            </w:pPr>
            <w:r>
              <w:rPr>
                <w:rFonts w:hint="eastAsia"/>
                <w:strike w:val="0"/>
                <w:dstrike w:val="0"/>
                <w:color w:val="auto"/>
                <w:sz w:val="21"/>
                <w:szCs w:val="21"/>
                <w:highlight w:val="none"/>
              </w:rPr>
              <w:t>组织应急处置组对</w:t>
            </w:r>
            <w:r>
              <w:rPr>
                <w:rFonts w:hint="eastAsia"/>
                <w:strike w:val="0"/>
                <w:dstrike w:val="0"/>
                <w:color w:val="auto"/>
                <w:sz w:val="21"/>
                <w:szCs w:val="21"/>
                <w:highlight w:val="none"/>
                <w:lang w:val="en-US" w:eastAsia="zh-CN"/>
              </w:rPr>
              <w:t>破损的管道进行维修</w:t>
            </w:r>
          </w:p>
        </w:tc>
        <w:tc>
          <w:tcPr>
            <w:tcW w:w="980" w:type="dxa"/>
            <w:noWrap w:val="0"/>
            <w:vAlign w:val="center"/>
          </w:tcPr>
          <w:p w14:paraId="12083C43">
            <w:pPr>
              <w:pStyle w:val="18"/>
              <w:spacing w:before="0" w:beforeAutospacing="0" w:after="0" w:afterAutospacing="0" w:line="240" w:lineRule="auto"/>
              <w:ind w:left="0" w:leftChars="0" w:right="0" w:rightChars="0"/>
              <w:jc w:val="center"/>
              <w:rPr>
                <w:rFonts w:hint="eastAsia" w:eastAsia="宋体"/>
                <w:strike w:val="0"/>
                <w:dstrike w:val="0"/>
                <w:color w:val="auto"/>
                <w:sz w:val="21"/>
                <w:szCs w:val="21"/>
                <w:highlight w:val="none"/>
                <w:lang w:val="en-US" w:eastAsia="zh-CN"/>
              </w:rPr>
            </w:pPr>
            <w:r>
              <w:rPr>
                <w:rFonts w:hint="eastAsia"/>
                <w:strike w:val="0"/>
                <w:dstrike w:val="0"/>
                <w:color w:val="auto"/>
                <w:sz w:val="21"/>
                <w:szCs w:val="21"/>
                <w:highlight w:val="none"/>
                <w:lang w:val="en-US" w:eastAsia="zh-CN"/>
              </w:rPr>
              <w:t>/</w:t>
            </w:r>
          </w:p>
        </w:tc>
      </w:tr>
    </w:tbl>
    <w:p w14:paraId="5786D42F">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default" w:ascii="Times New Roman" w:hAnsi="Times New Roman" w:eastAsia="宋体" w:cs="Times New Roman"/>
          <w:strike w:val="0"/>
          <w:dstrike w:val="0"/>
          <w:color w:val="auto"/>
          <w:highlight w:val="none"/>
          <w:lang w:val="en-US"/>
        </w:rPr>
      </w:pPr>
      <w:r>
        <w:rPr>
          <w:rFonts w:ascii="Times New Roman" w:hAnsi="Times New Roman" w:eastAsia="宋体" w:cs="Times New Roman"/>
          <w:strike w:val="0"/>
          <w:dstrike w:val="0"/>
          <w:color w:val="auto"/>
          <w:highlight w:val="none"/>
        </w:rPr>
        <w:t>5.</w:t>
      </w:r>
      <w:r>
        <w:rPr>
          <w:rFonts w:hint="eastAsia" w:ascii="Times New Roman" w:hAnsi="Times New Roman" w:eastAsia="宋体" w:cs="Times New Roman"/>
          <w:strike w:val="0"/>
          <w:dstrike w:val="0"/>
          <w:color w:val="auto"/>
          <w:highlight w:val="none"/>
          <w:lang w:val="en-US" w:eastAsia="zh-CN"/>
        </w:rPr>
        <w:t>2风险事故情形分析</w:t>
      </w:r>
    </w:p>
    <w:p w14:paraId="236CBD76">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2"/>
        <w:rPr>
          <w:rFonts w:hint="eastAsia" w:ascii="Times New Roman" w:hAnsi="Times New Roman" w:eastAsia="宋体" w:cs="Times New Roman"/>
          <w:strike w:val="0"/>
          <w:dstrike w:val="0"/>
          <w:color w:val="auto"/>
          <w:sz w:val="24"/>
          <w:szCs w:val="32"/>
          <w:highlight w:val="none"/>
          <w:lang w:val="en-US" w:eastAsia="zh-CN"/>
        </w:rPr>
      </w:pPr>
      <w:r>
        <w:rPr>
          <w:rFonts w:hint="eastAsia" w:ascii="Times New Roman" w:hAnsi="Times New Roman" w:eastAsia="宋体" w:cs="Times New Roman"/>
          <w:strike w:val="0"/>
          <w:dstrike w:val="0"/>
          <w:color w:val="auto"/>
          <w:sz w:val="24"/>
          <w:szCs w:val="32"/>
          <w:highlight w:val="none"/>
          <w:lang w:val="en-US" w:eastAsia="zh-CN"/>
        </w:rPr>
        <w:t>5.2.1管道事故典型案例</w:t>
      </w:r>
    </w:p>
    <w:p w14:paraId="140B87F5">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随着我国大口径、长距离、高压力的大型管道系统的修建（如西气东输管道、陕京输气管道、忠武输气管道、川气东送管道等），管道的安全运行日益受到重视。天然气管道事故是指输送介质从天然气管道内泄漏并影响正常输气的意外事故。管道事故率通常是指事故次数与管道运行长度和服役年限的比值，一般干线管道事故率被定义为：每年每km管道上发生事故的平均次数。我国输气管道典型泄漏事故案例见下表。</w:t>
      </w:r>
    </w:p>
    <w:p w14:paraId="480D6114">
      <w:pPr>
        <w:pStyle w:val="41"/>
        <w:keepNext w:val="0"/>
        <w:keepLines w:val="0"/>
        <w:pageBreakBefore w:val="0"/>
        <w:widowControl w:val="0"/>
        <w:kinsoku/>
        <w:wordWrap/>
        <w:overflowPunct/>
        <w:topLinePunct w:val="0"/>
        <w:autoSpaceDE/>
        <w:autoSpaceDN/>
        <w:bidi w:val="0"/>
        <w:adjustRightInd/>
        <w:snapToGrid w:val="0"/>
        <w:spacing w:before="0" w:beforeLines="0" w:line="360" w:lineRule="auto"/>
        <w:ind w:firstLine="482" w:firstLineChars="200"/>
        <w:textAlignment w:val="auto"/>
        <w:outlineLvl w:val="9"/>
        <w:rPr>
          <w:rFonts w:hint="default" w:eastAsia="宋体"/>
          <w:strike w:val="0"/>
          <w:dstrike w:val="0"/>
          <w:color w:val="auto"/>
          <w:highlight w:val="none"/>
          <w:lang w:val="en-US" w:eastAsia="zh-CN"/>
        </w:rPr>
      </w:pPr>
      <w:r>
        <w:rPr>
          <w:rFonts w:hint="eastAsia"/>
          <w:strike w:val="0"/>
          <w:dstrike w:val="0"/>
          <w:color w:val="auto"/>
          <w:highlight w:val="none"/>
          <w:lang w:eastAsia="zh-CN"/>
        </w:rPr>
        <w:t>表5.2-1</w:t>
      </w:r>
      <w:r>
        <w:rPr>
          <w:strike w:val="0"/>
          <w:dstrike w:val="0"/>
          <w:color w:val="auto"/>
          <w:highlight w:val="none"/>
        </w:rPr>
        <w:t xml:space="preserve">  国内输气管道天然气泄漏事故</w:t>
      </w:r>
      <w:r>
        <w:rPr>
          <w:rFonts w:hint="eastAsia"/>
          <w:strike w:val="0"/>
          <w:dstrike w:val="0"/>
          <w:color w:val="auto"/>
          <w:highlight w:val="none"/>
          <w:lang w:val="en-US" w:eastAsia="zh-CN"/>
        </w:rPr>
        <w:t>典型案例表</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1402"/>
        <w:gridCol w:w="1161"/>
        <w:gridCol w:w="2230"/>
        <w:gridCol w:w="3296"/>
      </w:tblGrid>
      <w:tr w14:paraId="7B31E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 w:type="pct"/>
            <w:vAlign w:val="center"/>
          </w:tcPr>
          <w:p w14:paraId="7F5BA06A">
            <w:pPr>
              <w:pStyle w:val="42"/>
              <w:rPr>
                <w:b/>
                <w:bCs/>
                <w:strike w:val="0"/>
                <w:dstrike w:val="0"/>
                <w:color w:val="auto"/>
                <w:sz w:val="21"/>
                <w:szCs w:val="21"/>
                <w:highlight w:val="none"/>
              </w:rPr>
            </w:pPr>
            <w:r>
              <w:rPr>
                <w:b/>
                <w:bCs/>
                <w:strike w:val="0"/>
                <w:dstrike w:val="0"/>
                <w:color w:val="auto"/>
                <w:sz w:val="21"/>
                <w:szCs w:val="21"/>
                <w:highlight w:val="none"/>
              </w:rPr>
              <w:t>序号</w:t>
            </w:r>
          </w:p>
        </w:tc>
        <w:tc>
          <w:tcPr>
            <w:tcW w:w="823" w:type="pct"/>
            <w:vAlign w:val="center"/>
          </w:tcPr>
          <w:p w14:paraId="79260854">
            <w:pPr>
              <w:pStyle w:val="42"/>
              <w:rPr>
                <w:b/>
                <w:bCs/>
                <w:strike w:val="0"/>
                <w:dstrike w:val="0"/>
                <w:color w:val="auto"/>
                <w:sz w:val="21"/>
                <w:szCs w:val="21"/>
                <w:highlight w:val="none"/>
              </w:rPr>
            </w:pPr>
            <w:r>
              <w:rPr>
                <w:b/>
                <w:bCs/>
                <w:strike w:val="0"/>
                <w:dstrike w:val="0"/>
                <w:color w:val="auto"/>
                <w:sz w:val="21"/>
                <w:szCs w:val="21"/>
                <w:highlight w:val="none"/>
              </w:rPr>
              <w:t>管道</w:t>
            </w:r>
          </w:p>
        </w:tc>
        <w:tc>
          <w:tcPr>
            <w:tcW w:w="681" w:type="pct"/>
            <w:vAlign w:val="center"/>
          </w:tcPr>
          <w:p w14:paraId="431A683D">
            <w:pPr>
              <w:pStyle w:val="42"/>
              <w:rPr>
                <w:b/>
                <w:bCs/>
                <w:strike w:val="0"/>
                <w:dstrike w:val="0"/>
                <w:color w:val="auto"/>
                <w:sz w:val="21"/>
                <w:szCs w:val="21"/>
                <w:highlight w:val="none"/>
              </w:rPr>
            </w:pPr>
            <w:r>
              <w:rPr>
                <w:b/>
                <w:bCs/>
                <w:strike w:val="0"/>
                <w:dstrike w:val="0"/>
                <w:color w:val="auto"/>
                <w:sz w:val="21"/>
                <w:szCs w:val="21"/>
                <w:highlight w:val="none"/>
              </w:rPr>
              <w:t>发生时间</w:t>
            </w:r>
          </w:p>
        </w:tc>
        <w:tc>
          <w:tcPr>
            <w:tcW w:w="1309" w:type="pct"/>
            <w:vAlign w:val="center"/>
          </w:tcPr>
          <w:p w14:paraId="671DD163">
            <w:pPr>
              <w:pStyle w:val="42"/>
              <w:rPr>
                <w:b/>
                <w:bCs/>
                <w:strike w:val="0"/>
                <w:dstrike w:val="0"/>
                <w:color w:val="auto"/>
                <w:sz w:val="21"/>
                <w:szCs w:val="21"/>
                <w:highlight w:val="none"/>
              </w:rPr>
            </w:pPr>
            <w:r>
              <w:rPr>
                <w:b/>
                <w:bCs/>
                <w:strike w:val="0"/>
                <w:dstrike w:val="0"/>
                <w:color w:val="auto"/>
                <w:sz w:val="21"/>
                <w:szCs w:val="21"/>
                <w:highlight w:val="none"/>
              </w:rPr>
              <w:t>事故原因</w:t>
            </w:r>
          </w:p>
        </w:tc>
        <w:tc>
          <w:tcPr>
            <w:tcW w:w="1934" w:type="pct"/>
            <w:vAlign w:val="center"/>
          </w:tcPr>
          <w:p w14:paraId="7DF6AC03">
            <w:pPr>
              <w:pStyle w:val="42"/>
              <w:rPr>
                <w:b/>
                <w:bCs/>
                <w:strike w:val="0"/>
                <w:dstrike w:val="0"/>
                <w:color w:val="auto"/>
                <w:sz w:val="21"/>
                <w:szCs w:val="21"/>
                <w:highlight w:val="none"/>
              </w:rPr>
            </w:pPr>
            <w:r>
              <w:rPr>
                <w:b/>
                <w:bCs/>
                <w:strike w:val="0"/>
                <w:dstrike w:val="0"/>
                <w:color w:val="auto"/>
                <w:sz w:val="21"/>
                <w:szCs w:val="21"/>
                <w:highlight w:val="none"/>
              </w:rPr>
              <w:t>事故描述</w:t>
            </w:r>
          </w:p>
        </w:tc>
      </w:tr>
      <w:tr w14:paraId="0303D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 w:type="pct"/>
            <w:vAlign w:val="center"/>
          </w:tcPr>
          <w:p w14:paraId="43C1B87F">
            <w:pPr>
              <w:pStyle w:val="42"/>
              <w:rPr>
                <w:strike w:val="0"/>
                <w:dstrike w:val="0"/>
                <w:color w:val="auto"/>
                <w:sz w:val="21"/>
                <w:szCs w:val="21"/>
                <w:highlight w:val="none"/>
              </w:rPr>
            </w:pPr>
            <w:r>
              <w:rPr>
                <w:strike w:val="0"/>
                <w:dstrike w:val="0"/>
                <w:color w:val="auto"/>
                <w:sz w:val="21"/>
                <w:szCs w:val="21"/>
                <w:highlight w:val="none"/>
              </w:rPr>
              <w:t>1</w:t>
            </w:r>
          </w:p>
        </w:tc>
        <w:tc>
          <w:tcPr>
            <w:tcW w:w="823" w:type="pct"/>
            <w:vAlign w:val="center"/>
          </w:tcPr>
          <w:p w14:paraId="79CFB4BA">
            <w:pPr>
              <w:pStyle w:val="42"/>
              <w:rPr>
                <w:strike w:val="0"/>
                <w:dstrike w:val="0"/>
                <w:color w:val="auto"/>
                <w:sz w:val="21"/>
                <w:szCs w:val="21"/>
                <w:highlight w:val="none"/>
              </w:rPr>
            </w:pPr>
            <w:r>
              <w:rPr>
                <w:strike w:val="0"/>
                <w:dstrike w:val="0"/>
                <w:color w:val="auto"/>
                <w:sz w:val="21"/>
                <w:szCs w:val="21"/>
                <w:highlight w:val="none"/>
              </w:rPr>
              <w:t>仁寿县富加镇的中石油西南油气田分公司富加输气站的出站管道</w:t>
            </w:r>
          </w:p>
        </w:tc>
        <w:tc>
          <w:tcPr>
            <w:tcW w:w="681" w:type="pct"/>
            <w:vAlign w:val="center"/>
          </w:tcPr>
          <w:p w14:paraId="3055468C">
            <w:pPr>
              <w:pStyle w:val="42"/>
              <w:rPr>
                <w:strike w:val="0"/>
                <w:dstrike w:val="0"/>
                <w:color w:val="auto"/>
                <w:sz w:val="21"/>
                <w:szCs w:val="21"/>
                <w:highlight w:val="none"/>
              </w:rPr>
            </w:pPr>
            <w:r>
              <w:rPr>
                <w:strike w:val="0"/>
                <w:dstrike w:val="0"/>
                <w:color w:val="auto"/>
                <w:sz w:val="21"/>
                <w:szCs w:val="21"/>
                <w:highlight w:val="none"/>
              </w:rPr>
              <w:t>2006.1.20</w:t>
            </w:r>
          </w:p>
        </w:tc>
        <w:tc>
          <w:tcPr>
            <w:tcW w:w="1309" w:type="pct"/>
            <w:vAlign w:val="center"/>
          </w:tcPr>
          <w:p w14:paraId="52802FD1">
            <w:pPr>
              <w:pStyle w:val="42"/>
              <w:rPr>
                <w:strike w:val="0"/>
                <w:dstrike w:val="0"/>
                <w:color w:val="auto"/>
                <w:sz w:val="21"/>
                <w:szCs w:val="21"/>
                <w:highlight w:val="none"/>
              </w:rPr>
            </w:pPr>
            <w:r>
              <w:rPr>
                <w:strike w:val="0"/>
                <w:dstrike w:val="0"/>
                <w:color w:val="auto"/>
                <w:sz w:val="21"/>
                <w:szCs w:val="21"/>
                <w:highlight w:val="none"/>
              </w:rPr>
              <w:t>φ720管材螺旋焊缝存在焊接缺陷，在一定内压作用下管道出现裂纹，导致天然气大量泄漏，泄漏的天然气携带硫化亚铁粉末从裂缝中喷射出来遇空气自燃，引发泄漏天然气管外爆炸，因管外爆炸后的猛烈燃烧，又引起两次剧烈的管内爆炸</w:t>
            </w:r>
          </w:p>
        </w:tc>
        <w:tc>
          <w:tcPr>
            <w:tcW w:w="1934" w:type="pct"/>
            <w:vAlign w:val="center"/>
          </w:tcPr>
          <w:p w14:paraId="1AB73F4B">
            <w:pPr>
              <w:pStyle w:val="42"/>
              <w:rPr>
                <w:strike w:val="0"/>
                <w:dstrike w:val="0"/>
                <w:color w:val="auto"/>
                <w:sz w:val="21"/>
                <w:szCs w:val="21"/>
                <w:highlight w:val="none"/>
              </w:rPr>
            </w:pPr>
            <w:r>
              <w:rPr>
                <w:strike w:val="0"/>
                <w:dstrike w:val="0"/>
                <w:color w:val="auto"/>
                <w:sz w:val="21"/>
                <w:szCs w:val="21"/>
                <w:highlight w:val="none"/>
              </w:rPr>
              <w:t>首先发生爆炸，埋在地下的管道爆炸形成十几米长、两三米深的大坑。几分钟后，该输气站的进站管道也发生爆炸，爆炸引起火灾，并将镇上100m范围内建筑物的门窗和玻璃震坏，截至1月20日23时，爆炸事故共造成10人死亡，3人重伤，47人轻伤。爆炸现场1公里范围内的1837名群众被迫疏散</w:t>
            </w:r>
          </w:p>
        </w:tc>
      </w:tr>
      <w:tr w14:paraId="5F48B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 w:type="pct"/>
            <w:vAlign w:val="center"/>
          </w:tcPr>
          <w:p w14:paraId="45346E00">
            <w:pPr>
              <w:pStyle w:val="42"/>
              <w:rPr>
                <w:strike w:val="0"/>
                <w:dstrike w:val="0"/>
                <w:color w:val="auto"/>
                <w:sz w:val="21"/>
                <w:szCs w:val="21"/>
                <w:highlight w:val="none"/>
              </w:rPr>
            </w:pPr>
            <w:r>
              <w:rPr>
                <w:strike w:val="0"/>
                <w:dstrike w:val="0"/>
                <w:color w:val="auto"/>
                <w:sz w:val="21"/>
                <w:szCs w:val="21"/>
                <w:highlight w:val="none"/>
              </w:rPr>
              <w:t>2</w:t>
            </w:r>
          </w:p>
        </w:tc>
        <w:tc>
          <w:tcPr>
            <w:tcW w:w="823" w:type="pct"/>
            <w:vAlign w:val="center"/>
          </w:tcPr>
          <w:p w14:paraId="076CC6DB">
            <w:pPr>
              <w:pStyle w:val="42"/>
              <w:rPr>
                <w:strike w:val="0"/>
                <w:dstrike w:val="0"/>
                <w:color w:val="auto"/>
                <w:sz w:val="21"/>
                <w:szCs w:val="21"/>
                <w:highlight w:val="none"/>
              </w:rPr>
            </w:pPr>
            <w:r>
              <w:rPr>
                <w:strike w:val="0"/>
                <w:dstrike w:val="0"/>
                <w:color w:val="auto"/>
                <w:sz w:val="21"/>
                <w:szCs w:val="21"/>
                <w:highlight w:val="none"/>
              </w:rPr>
              <w:t>沪州市天然气公司安富天然气管理所直径108mm管道</w:t>
            </w:r>
          </w:p>
        </w:tc>
        <w:tc>
          <w:tcPr>
            <w:tcW w:w="681" w:type="pct"/>
            <w:vAlign w:val="center"/>
          </w:tcPr>
          <w:p w14:paraId="7315634C">
            <w:pPr>
              <w:pStyle w:val="42"/>
              <w:rPr>
                <w:strike w:val="0"/>
                <w:dstrike w:val="0"/>
                <w:color w:val="auto"/>
                <w:sz w:val="21"/>
                <w:szCs w:val="21"/>
                <w:highlight w:val="none"/>
              </w:rPr>
            </w:pPr>
            <w:r>
              <w:rPr>
                <w:strike w:val="0"/>
                <w:dstrike w:val="0"/>
                <w:color w:val="auto"/>
                <w:sz w:val="21"/>
                <w:szCs w:val="21"/>
                <w:highlight w:val="none"/>
              </w:rPr>
              <w:t>2004.5.29</w:t>
            </w:r>
          </w:p>
        </w:tc>
        <w:tc>
          <w:tcPr>
            <w:tcW w:w="1309" w:type="pct"/>
            <w:vAlign w:val="center"/>
          </w:tcPr>
          <w:p w14:paraId="168F4D1A">
            <w:pPr>
              <w:pStyle w:val="42"/>
              <w:rPr>
                <w:strike w:val="0"/>
                <w:dstrike w:val="0"/>
                <w:color w:val="auto"/>
                <w:sz w:val="21"/>
                <w:szCs w:val="21"/>
                <w:highlight w:val="none"/>
              </w:rPr>
            </w:pPr>
            <w:r>
              <w:rPr>
                <w:strike w:val="0"/>
                <w:dstrike w:val="0"/>
                <w:color w:val="auto"/>
                <w:sz w:val="21"/>
                <w:szCs w:val="21"/>
                <w:highlight w:val="none"/>
              </w:rPr>
              <w:t>管道局部的防腐层受到外力破坏，导致腐蚀穿孔、检修不及时、管理失误造成</w:t>
            </w:r>
          </w:p>
        </w:tc>
        <w:tc>
          <w:tcPr>
            <w:tcW w:w="1934" w:type="pct"/>
            <w:vAlign w:val="center"/>
          </w:tcPr>
          <w:p w14:paraId="128DA6E7">
            <w:pPr>
              <w:pStyle w:val="42"/>
              <w:rPr>
                <w:strike w:val="0"/>
                <w:dstrike w:val="0"/>
                <w:color w:val="auto"/>
                <w:sz w:val="21"/>
                <w:szCs w:val="21"/>
                <w:highlight w:val="none"/>
              </w:rPr>
            </w:pPr>
            <w:r>
              <w:rPr>
                <w:strike w:val="0"/>
                <w:dstrike w:val="0"/>
                <w:color w:val="auto"/>
                <w:sz w:val="21"/>
                <w:szCs w:val="21"/>
                <w:highlight w:val="none"/>
              </w:rPr>
              <w:t>造成沪州市纳溪区炳灵路一栋居民楼前的人行道突然发生爆炸，大楼附一层的10多户人家顷刻之间变为废墟。这起爆炸事故共造成5人死亡，35人受伤，10多户居民的家园被彻底摧毁，80多户居民受灾，数万人的正常生活受到影响</w:t>
            </w:r>
          </w:p>
        </w:tc>
      </w:tr>
      <w:tr w14:paraId="6ABA1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 w:type="pct"/>
            <w:vAlign w:val="center"/>
          </w:tcPr>
          <w:p w14:paraId="03CF2C8F">
            <w:pPr>
              <w:pStyle w:val="42"/>
              <w:rPr>
                <w:strike w:val="0"/>
                <w:dstrike w:val="0"/>
                <w:color w:val="auto"/>
                <w:sz w:val="21"/>
                <w:szCs w:val="21"/>
                <w:highlight w:val="none"/>
              </w:rPr>
            </w:pPr>
            <w:r>
              <w:rPr>
                <w:strike w:val="0"/>
                <w:dstrike w:val="0"/>
                <w:color w:val="auto"/>
                <w:sz w:val="21"/>
                <w:szCs w:val="21"/>
                <w:highlight w:val="none"/>
              </w:rPr>
              <w:t>3</w:t>
            </w:r>
          </w:p>
        </w:tc>
        <w:tc>
          <w:tcPr>
            <w:tcW w:w="823" w:type="pct"/>
            <w:vAlign w:val="center"/>
          </w:tcPr>
          <w:p w14:paraId="3DED2DFC">
            <w:pPr>
              <w:pStyle w:val="42"/>
              <w:rPr>
                <w:strike w:val="0"/>
                <w:dstrike w:val="0"/>
                <w:color w:val="auto"/>
                <w:sz w:val="21"/>
                <w:szCs w:val="21"/>
                <w:highlight w:val="none"/>
              </w:rPr>
            </w:pPr>
            <w:r>
              <w:rPr>
                <w:strike w:val="0"/>
                <w:dstrike w:val="0"/>
                <w:color w:val="auto"/>
                <w:sz w:val="21"/>
                <w:szCs w:val="21"/>
                <w:highlight w:val="none"/>
              </w:rPr>
              <w:t>重庆开县天然气主管道</w:t>
            </w:r>
          </w:p>
        </w:tc>
        <w:tc>
          <w:tcPr>
            <w:tcW w:w="681" w:type="pct"/>
            <w:vAlign w:val="center"/>
          </w:tcPr>
          <w:p w14:paraId="4F09F3B0">
            <w:pPr>
              <w:pStyle w:val="42"/>
              <w:rPr>
                <w:strike w:val="0"/>
                <w:dstrike w:val="0"/>
                <w:color w:val="auto"/>
                <w:sz w:val="21"/>
                <w:szCs w:val="21"/>
                <w:highlight w:val="none"/>
              </w:rPr>
            </w:pPr>
            <w:r>
              <w:rPr>
                <w:strike w:val="0"/>
                <w:dstrike w:val="0"/>
                <w:color w:val="auto"/>
                <w:sz w:val="21"/>
                <w:szCs w:val="21"/>
                <w:highlight w:val="none"/>
              </w:rPr>
              <w:t>2005.11.25</w:t>
            </w:r>
          </w:p>
        </w:tc>
        <w:tc>
          <w:tcPr>
            <w:tcW w:w="1309" w:type="pct"/>
            <w:vAlign w:val="center"/>
          </w:tcPr>
          <w:p w14:paraId="4BD68A4B">
            <w:pPr>
              <w:pStyle w:val="42"/>
              <w:rPr>
                <w:strike w:val="0"/>
                <w:dstrike w:val="0"/>
                <w:color w:val="auto"/>
                <w:sz w:val="21"/>
                <w:szCs w:val="21"/>
                <w:highlight w:val="none"/>
              </w:rPr>
            </w:pPr>
            <w:r>
              <w:rPr>
                <w:strike w:val="0"/>
                <w:dstrike w:val="0"/>
                <w:color w:val="auto"/>
                <w:sz w:val="21"/>
                <w:szCs w:val="21"/>
                <w:highlight w:val="none"/>
              </w:rPr>
              <w:t>直径100mm天然气主管道突然发生爆裂</w:t>
            </w:r>
          </w:p>
        </w:tc>
        <w:tc>
          <w:tcPr>
            <w:tcW w:w="1934" w:type="pct"/>
            <w:vAlign w:val="center"/>
          </w:tcPr>
          <w:p w14:paraId="0084338B">
            <w:pPr>
              <w:pStyle w:val="42"/>
              <w:rPr>
                <w:strike w:val="0"/>
                <w:dstrike w:val="0"/>
                <w:color w:val="auto"/>
                <w:sz w:val="21"/>
                <w:szCs w:val="21"/>
                <w:highlight w:val="none"/>
              </w:rPr>
            </w:pPr>
            <w:r>
              <w:rPr>
                <w:strike w:val="0"/>
                <w:dstrike w:val="0"/>
                <w:color w:val="auto"/>
                <w:sz w:val="21"/>
                <w:szCs w:val="21"/>
                <w:highlight w:val="none"/>
              </w:rPr>
              <w:t>2万余居民疏散转移</w:t>
            </w:r>
          </w:p>
        </w:tc>
      </w:tr>
      <w:tr w14:paraId="6F14A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 w:type="pct"/>
            <w:vAlign w:val="center"/>
          </w:tcPr>
          <w:p w14:paraId="00DA013E">
            <w:pPr>
              <w:pStyle w:val="42"/>
              <w:rPr>
                <w:strike w:val="0"/>
                <w:dstrike w:val="0"/>
                <w:color w:val="auto"/>
                <w:sz w:val="21"/>
                <w:szCs w:val="21"/>
                <w:highlight w:val="none"/>
              </w:rPr>
            </w:pPr>
            <w:r>
              <w:rPr>
                <w:strike w:val="0"/>
                <w:dstrike w:val="0"/>
                <w:color w:val="auto"/>
                <w:sz w:val="21"/>
                <w:szCs w:val="21"/>
                <w:highlight w:val="none"/>
              </w:rPr>
              <w:t>4</w:t>
            </w:r>
          </w:p>
        </w:tc>
        <w:tc>
          <w:tcPr>
            <w:tcW w:w="823" w:type="pct"/>
            <w:vAlign w:val="center"/>
          </w:tcPr>
          <w:p w14:paraId="466E657D">
            <w:pPr>
              <w:pStyle w:val="42"/>
              <w:rPr>
                <w:strike w:val="0"/>
                <w:dstrike w:val="0"/>
                <w:color w:val="auto"/>
                <w:sz w:val="21"/>
                <w:szCs w:val="21"/>
                <w:highlight w:val="none"/>
              </w:rPr>
            </w:pPr>
            <w:r>
              <w:rPr>
                <w:strike w:val="0"/>
                <w:dstrike w:val="0"/>
                <w:color w:val="auto"/>
                <w:sz w:val="21"/>
                <w:szCs w:val="21"/>
                <w:highlight w:val="none"/>
              </w:rPr>
              <w:t>重庆沙坪坝区井口镇天然气输气管道</w:t>
            </w:r>
          </w:p>
        </w:tc>
        <w:tc>
          <w:tcPr>
            <w:tcW w:w="681" w:type="pct"/>
            <w:vAlign w:val="center"/>
          </w:tcPr>
          <w:p w14:paraId="14384E92">
            <w:pPr>
              <w:pStyle w:val="42"/>
              <w:rPr>
                <w:strike w:val="0"/>
                <w:dstrike w:val="0"/>
                <w:color w:val="auto"/>
                <w:sz w:val="21"/>
                <w:szCs w:val="21"/>
                <w:highlight w:val="none"/>
              </w:rPr>
            </w:pPr>
            <w:r>
              <w:rPr>
                <w:strike w:val="0"/>
                <w:dstrike w:val="0"/>
                <w:color w:val="auto"/>
                <w:sz w:val="21"/>
                <w:szCs w:val="21"/>
                <w:highlight w:val="none"/>
              </w:rPr>
              <w:t>2005.9.6</w:t>
            </w:r>
          </w:p>
        </w:tc>
        <w:tc>
          <w:tcPr>
            <w:tcW w:w="1309" w:type="pct"/>
            <w:vAlign w:val="center"/>
          </w:tcPr>
          <w:p w14:paraId="4F2AF408">
            <w:pPr>
              <w:pStyle w:val="42"/>
              <w:rPr>
                <w:strike w:val="0"/>
                <w:dstrike w:val="0"/>
                <w:color w:val="auto"/>
                <w:sz w:val="21"/>
                <w:szCs w:val="21"/>
                <w:highlight w:val="none"/>
              </w:rPr>
            </w:pPr>
            <w:r>
              <w:rPr>
                <w:strike w:val="0"/>
                <w:dstrike w:val="0"/>
                <w:color w:val="auto"/>
                <w:sz w:val="21"/>
                <w:szCs w:val="21"/>
                <w:highlight w:val="none"/>
              </w:rPr>
              <w:t>野蛮施工，堆土加载管道受外力影响变形断裂</w:t>
            </w:r>
          </w:p>
        </w:tc>
        <w:tc>
          <w:tcPr>
            <w:tcW w:w="1934" w:type="pct"/>
            <w:vAlign w:val="center"/>
          </w:tcPr>
          <w:p w14:paraId="3DE0AB33">
            <w:pPr>
              <w:pStyle w:val="42"/>
              <w:rPr>
                <w:strike w:val="0"/>
                <w:dstrike w:val="0"/>
                <w:color w:val="auto"/>
                <w:sz w:val="21"/>
                <w:szCs w:val="21"/>
                <w:highlight w:val="none"/>
              </w:rPr>
            </w:pPr>
            <w:r>
              <w:rPr>
                <w:strike w:val="0"/>
                <w:dstrike w:val="0"/>
                <w:color w:val="auto"/>
                <w:sz w:val="21"/>
                <w:szCs w:val="21"/>
                <w:highlight w:val="none"/>
              </w:rPr>
              <w:t>天然气大量泄漏后发生爆炸燃烧，高温火柱将附近百余米处民房引燃。酿成5人重伤，13人轻伤，造成直接经济损失370余万元，影响到云、贵、川、渝四地的天然气输送</w:t>
            </w:r>
          </w:p>
        </w:tc>
      </w:tr>
      <w:tr w14:paraId="0E828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 w:type="pct"/>
            <w:vAlign w:val="center"/>
          </w:tcPr>
          <w:p w14:paraId="06E2B9EF">
            <w:pPr>
              <w:pStyle w:val="42"/>
              <w:rPr>
                <w:strike w:val="0"/>
                <w:dstrike w:val="0"/>
                <w:color w:val="auto"/>
                <w:sz w:val="21"/>
                <w:szCs w:val="21"/>
                <w:highlight w:val="none"/>
              </w:rPr>
            </w:pPr>
            <w:r>
              <w:rPr>
                <w:strike w:val="0"/>
                <w:dstrike w:val="0"/>
                <w:color w:val="auto"/>
                <w:sz w:val="21"/>
                <w:szCs w:val="21"/>
                <w:highlight w:val="none"/>
              </w:rPr>
              <w:t>5</w:t>
            </w:r>
          </w:p>
        </w:tc>
        <w:tc>
          <w:tcPr>
            <w:tcW w:w="823" w:type="pct"/>
            <w:vAlign w:val="center"/>
          </w:tcPr>
          <w:p w14:paraId="4303B867">
            <w:pPr>
              <w:pStyle w:val="42"/>
              <w:rPr>
                <w:strike w:val="0"/>
                <w:dstrike w:val="0"/>
                <w:color w:val="auto"/>
                <w:sz w:val="21"/>
                <w:szCs w:val="21"/>
                <w:highlight w:val="none"/>
              </w:rPr>
            </w:pPr>
            <w:r>
              <w:rPr>
                <w:strike w:val="0"/>
                <w:dstrike w:val="0"/>
                <w:color w:val="auto"/>
                <w:sz w:val="21"/>
                <w:szCs w:val="21"/>
                <w:highlight w:val="none"/>
              </w:rPr>
              <w:t>靖西线天然气管道</w:t>
            </w:r>
          </w:p>
        </w:tc>
        <w:tc>
          <w:tcPr>
            <w:tcW w:w="681" w:type="pct"/>
            <w:vAlign w:val="center"/>
          </w:tcPr>
          <w:p w14:paraId="00C61233">
            <w:pPr>
              <w:pStyle w:val="42"/>
              <w:rPr>
                <w:strike w:val="0"/>
                <w:dstrike w:val="0"/>
                <w:color w:val="auto"/>
                <w:sz w:val="21"/>
                <w:szCs w:val="21"/>
                <w:highlight w:val="none"/>
              </w:rPr>
            </w:pPr>
            <w:r>
              <w:rPr>
                <w:strike w:val="0"/>
                <w:dstrike w:val="0"/>
                <w:color w:val="auto"/>
                <w:sz w:val="21"/>
                <w:szCs w:val="21"/>
                <w:highlight w:val="none"/>
              </w:rPr>
              <w:t>2005.5.22</w:t>
            </w:r>
          </w:p>
        </w:tc>
        <w:tc>
          <w:tcPr>
            <w:tcW w:w="1309" w:type="pct"/>
            <w:vAlign w:val="center"/>
          </w:tcPr>
          <w:p w14:paraId="49B4ECA5">
            <w:pPr>
              <w:pStyle w:val="42"/>
              <w:rPr>
                <w:strike w:val="0"/>
                <w:dstrike w:val="0"/>
                <w:color w:val="auto"/>
                <w:sz w:val="21"/>
                <w:szCs w:val="21"/>
                <w:highlight w:val="none"/>
              </w:rPr>
            </w:pPr>
            <w:r>
              <w:rPr>
                <w:strike w:val="0"/>
                <w:dstrike w:val="0"/>
                <w:color w:val="auto"/>
                <w:sz w:val="21"/>
                <w:szCs w:val="21"/>
                <w:highlight w:val="none"/>
              </w:rPr>
              <w:t>施工挖破</w:t>
            </w:r>
          </w:p>
        </w:tc>
        <w:tc>
          <w:tcPr>
            <w:tcW w:w="1934" w:type="pct"/>
            <w:vAlign w:val="center"/>
          </w:tcPr>
          <w:p w14:paraId="3CE73FAC">
            <w:pPr>
              <w:pStyle w:val="42"/>
              <w:rPr>
                <w:strike w:val="0"/>
                <w:dstrike w:val="0"/>
                <w:color w:val="auto"/>
                <w:sz w:val="21"/>
                <w:szCs w:val="21"/>
                <w:highlight w:val="none"/>
              </w:rPr>
            </w:pPr>
            <w:r>
              <w:rPr>
                <w:strike w:val="0"/>
                <w:dstrike w:val="0"/>
                <w:color w:val="auto"/>
                <w:sz w:val="21"/>
                <w:szCs w:val="21"/>
                <w:highlight w:val="none"/>
              </w:rPr>
              <w:t>发生严重天然气泄漏事故</w:t>
            </w:r>
          </w:p>
        </w:tc>
      </w:tr>
      <w:tr w14:paraId="2F3A6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 w:type="pct"/>
            <w:vAlign w:val="center"/>
          </w:tcPr>
          <w:p w14:paraId="4025B6A0">
            <w:pPr>
              <w:pStyle w:val="42"/>
              <w:rPr>
                <w:strike w:val="0"/>
                <w:dstrike w:val="0"/>
                <w:color w:val="auto"/>
                <w:sz w:val="21"/>
                <w:szCs w:val="21"/>
                <w:highlight w:val="none"/>
              </w:rPr>
            </w:pPr>
            <w:r>
              <w:rPr>
                <w:strike w:val="0"/>
                <w:dstrike w:val="0"/>
                <w:color w:val="auto"/>
                <w:sz w:val="21"/>
                <w:szCs w:val="21"/>
                <w:highlight w:val="none"/>
              </w:rPr>
              <w:t>6</w:t>
            </w:r>
          </w:p>
        </w:tc>
        <w:tc>
          <w:tcPr>
            <w:tcW w:w="823" w:type="pct"/>
            <w:vAlign w:val="center"/>
          </w:tcPr>
          <w:p w14:paraId="01DBF830">
            <w:pPr>
              <w:pStyle w:val="42"/>
              <w:rPr>
                <w:strike w:val="0"/>
                <w:dstrike w:val="0"/>
                <w:color w:val="auto"/>
                <w:sz w:val="21"/>
                <w:szCs w:val="21"/>
                <w:highlight w:val="none"/>
              </w:rPr>
            </w:pPr>
            <w:r>
              <w:rPr>
                <w:strike w:val="0"/>
                <w:dstrike w:val="0"/>
                <w:color w:val="auto"/>
                <w:sz w:val="21"/>
                <w:szCs w:val="21"/>
                <w:highlight w:val="none"/>
              </w:rPr>
              <w:t>陕京天然气管道神木县</w:t>
            </w:r>
          </w:p>
        </w:tc>
        <w:tc>
          <w:tcPr>
            <w:tcW w:w="681" w:type="pct"/>
            <w:vAlign w:val="center"/>
          </w:tcPr>
          <w:p w14:paraId="6ECCF7AA">
            <w:pPr>
              <w:pStyle w:val="42"/>
              <w:rPr>
                <w:strike w:val="0"/>
                <w:dstrike w:val="0"/>
                <w:color w:val="auto"/>
                <w:sz w:val="21"/>
                <w:szCs w:val="21"/>
                <w:highlight w:val="none"/>
              </w:rPr>
            </w:pPr>
            <w:r>
              <w:rPr>
                <w:strike w:val="0"/>
                <w:dstrike w:val="0"/>
                <w:color w:val="auto"/>
                <w:sz w:val="21"/>
                <w:szCs w:val="21"/>
                <w:highlight w:val="none"/>
              </w:rPr>
              <w:t>2004.10.6</w:t>
            </w:r>
          </w:p>
        </w:tc>
        <w:tc>
          <w:tcPr>
            <w:tcW w:w="1309" w:type="pct"/>
            <w:vAlign w:val="center"/>
          </w:tcPr>
          <w:p w14:paraId="484637BC">
            <w:pPr>
              <w:pStyle w:val="42"/>
              <w:rPr>
                <w:strike w:val="0"/>
                <w:dstrike w:val="0"/>
                <w:color w:val="auto"/>
                <w:sz w:val="21"/>
                <w:szCs w:val="21"/>
                <w:highlight w:val="none"/>
              </w:rPr>
            </w:pPr>
            <w:r>
              <w:rPr>
                <w:strike w:val="0"/>
                <w:dstrike w:val="0"/>
                <w:color w:val="auto"/>
                <w:sz w:val="21"/>
                <w:szCs w:val="21"/>
                <w:highlight w:val="none"/>
              </w:rPr>
              <w:t>机动车挖掘破坏埋地管道且没有及时发现、爆炸</w:t>
            </w:r>
          </w:p>
        </w:tc>
        <w:tc>
          <w:tcPr>
            <w:tcW w:w="1934" w:type="pct"/>
            <w:vAlign w:val="center"/>
          </w:tcPr>
          <w:p w14:paraId="48D50555">
            <w:pPr>
              <w:pStyle w:val="42"/>
              <w:rPr>
                <w:strike w:val="0"/>
                <w:dstrike w:val="0"/>
                <w:color w:val="auto"/>
                <w:sz w:val="21"/>
                <w:szCs w:val="21"/>
                <w:highlight w:val="none"/>
              </w:rPr>
            </w:pPr>
            <w:r>
              <w:rPr>
                <w:strike w:val="0"/>
                <w:dstrike w:val="0"/>
                <w:color w:val="auto"/>
                <w:sz w:val="21"/>
                <w:szCs w:val="21"/>
                <w:highlight w:val="none"/>
              </w:rPr>
              <w:t>天然气泄漏200万m</w:t>
            </w:r>
            <w:r>
              <w:rPr>
                <w:strike w:val="0"/>
                <w:dstrike w:val="0"/>
                <w:color w:val="auto"/>
                <w:sz w:val="21"/>
                <w:szCs w:val="21"/>
                <w:highlight w:val="none"/>
                <w:vertAlign w:val="superscript"/>
              </w:rPr>
              <w:t>3</w:t>
            </w:r>
            <w:r>
              <w:rPr>
                <w:strike w:val="0"/>
                <w:dstrike w:val="0"/>
                <w:color w:val="auto"/>
                <w:sz w:val="21"/>
                <w:szCs w:val="21"/>
                <w:highlight w:val="none"/>
              </w:rPr>
              <w:t>。泄漏时间长达7小时。经济损失600余万元，未造成人员伤亡</w:t>
            </w:r>
          </w:p>
        </w:tc>
      </w:tr>
      <w:tr w14:paraId="14F74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 w:type="pct"/>
            <w:vAlign w:val="center"/>
          </w:tcPr>
          <w:p w14:paraId="6E6D723B">
            <w:pPr>
              <w:pStyle w:val="42"/>
              <w:rPr>
                <w:strike w:val="0"/>
                <w:dstrike w:val="0"/>
                <w:color w:val="auto"/>
                <w:sz w:val="21"/>
                <w:szCs w:val="21"/>
                <w:highlight w:val="none"/>
              </w:rPr>
            </w:pPr>
            <w:r>
              <w:rPr>
                <w:strike w:val="0"/>
                <w:dstrike w:val="0"/>
                <w:color w:val="auto"/>
                <w:sz w:val="21"/>
                <w:szCs w:val="21"/>
                <w:highlight w:val="none"/>
              </w:rPr>
              <w:t>7</w:t>
            </w:r>
          </w:p>
        </w:tc>
        <w:tc>
          <w:tcPr>
            <w:tcW w:w="823" w:type="pct"/>
            <w:vAlign w:val="center"/>
          </w:tcPr>
          <w:p w14:paraId="77C424A3">
            <w:pPr>
              <w:pStyle w:val="42"/>
              <w:rPr>
                <w:strike w:val="0"/>
                <w:dstrike w:val="0"/>
                <w:color w:val="auto"/>
                <w:sz w:val="21"/>
                <w:szCs w:val="21"/>
                <w:highlight w:val="none"/>
              </w:rPr>
            </w:pPr>
            <w:r>
              <w:rPr>
                <w:strike w:val="0"/>
                <w:dstrike w:val="0"/>
                <w:color w:val="auto"/>
                <w:sz w:val="21"/>
                <w:szCs w:val="21"/>
                <w:highlight w:val="none"/>
              </w:rPr>
              <w:t>胜利油田至齐鲁石化输气管道</w:t>
            </w:r>
          </w:p>
        </w:tc>
        <w:tc>
          <w:tcPr>
            <w:tcW w:w="681" w:type="pct"/>
            <w:vAlign w:val="center"/>
          </w:tcPr>
          <w:p w14:paraId="3ABE6DF0">
            <w:pPr>
              <w:pStyle w:val="42"/>
              <w:rPr>
                <w:strike w:val="0"/>
                <w:dstrike w:val="0"/>
                <w:color w:val="auto"/>
                <w:sz w:val="21"/>
                <w:szCs w:val="21"/>
                <w:highlight w:val="none"/>
              </w:rPr>
            </w:pPr>
            <w:r>
              <w:rPr>
                <w:strike w:val="0"/>
                <w:dstrike w:val="0"/>
                <w:color w:val="auto"/>
                <w:sz w:val="21"/>
                <w:szCs w:val="21"/>
                <w:highlight w:val="none"/>
              </w:rPr>
              <w:t>2003.9.24</w:t>
            </w:r>
          </w:p>
        </w:tc>
        <w:tc>
          <w:tcPr>
            <w:tcW w:w="1309" w:type="pct"/>
            <w:vAlign w:val="center"/>
          </w:tcPr>
          <w:p w14:paraId="368C593E">
            <w:pPr>
              <w:pStyle w:val="42"/>
              <w:rPr>
                <w:strike w:val="0"/>
                <w:dstrike w:val="0"/>
                <w:color w:val="auto"/>
                <w:sz w:val="21"/>
                <w:szCs w:val="21"/>
                <w:highlight w:val="none"/>
              </w:rPr>
            </w:pPr>
            <w:r>
              <w:rPr>
                <w:strike w:val="0"/>
                <w:dstrike w:val="0"/>
                <w:color w:val="auto"/>
                <w:sz w:val="21"/>
                <w:szCs w:val="21"/>
                <w:highlight w:val="none"/>
              </w:rPr>
              <w:t>施工破坏</w:t>
            </w:r>
          </w:p>
        </w:tc>
        <w:tc>
          <w:tcPr>
            <w:tcW w:w="1934" w:type="pct"/>
            <w:vAlign w:val="center"/>
          </w:tcPr>
          <w:p w14:paraId="41487D2F">
            <w:pPr>
              <w:pStyle w:val="42"/>
              <w:rPr>
                <w:strike w:val="0"/>
                <w:dstrike w:val="0"/>
                <w:color w:val="auto"/>
                <w:sz w:val="21"/>
                <w:szCs w:val="21"/>
                <w:highlight w:val="none"/>
              </w:rPr>
            </w:pPr>
            <w:r>
              <w:rPr>
                <w:strike w:val="0"/>
                <w:dstrike w:val="0"/>
                <w:color w:val="auto"/>
                <w:sz w:val="21"/>
                <w:szCs w:val="21"/>
                <w:highlight w:val="none"/>
              </w:rPr>
              <w:t>临淄北外环路施工，一铲土机铲破天然气管道，导致天然气溢出</w:t>
            </w:r>
          </w:p>
        </w:tc>
      </w:tr>
    </w:tbl>
    <w:p w14:paraId="6B005D2B">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outlineLvl w:val="2"/>
        <w:rPr>
          <w:rFonts w:hint="eastAsia" w:ascii="Times New Roman" w:hAnsi="Times New Roman" w:eastAsia="宋体" w:cs="Times New Roman"/>
          <w:strike w:val="0"/>
          <w:dstrike w:val="0"/>
          <w:color w:val="auto"/>
          <w:sz w:val="24"/>
          <w:szCs w:val="32"/>
          <w:highlight w:val="none"/>
          <w:lang w:val="en-US" w:eastAsia="zh-CN"/>
        </w:rPr>
      </w:pPr>
      <w:r>
        <w:rPr>
          <w:rFonts w:hint="eastAsia" w:ascii="Times New Roman" w:hAnsi="Times New Roman" w:eastAsia="宋体" w:cs="Times New Roman"/>
          <w:strike w:val="0"/>
          <w:dstrike w:val="0"/>
          <w:color w:val="auto"/>
          <w:sz w:val="24"/>
          <w:szCs w:val="32"/>
          <w:highlight w:val="none"/>
          <w:lang w:val="en-US" w:eastAsia="zh-CN"/>
        </w:rPr>
        <w:t>5.2.2国内同类型项目事故统计</w:t>
      </w:r>
    </w:p>
    <w:p w14:paraId="0EB42E1C">
      <w:pPr>
        <w:spacing w:line="360" w:lineRule="auto"/>
        <w:ind w:firstLine="480" w:firstLineChars="200"/>
        <w:rPr>
          <w:strike w:val="0"/>
          <w:dstrike w:val="0"/>
          <w:color w:val="auto"/>
          <w:sz w:val="24"/>
          <w:szCs w:val="24"/>
          <w:highlight w:val="none"/>
        </w:rPr>
      </w:pPr>
      <w:r>
        <w:rPr>
          <w:strike w:val="0"/>
          <w:dstrike w:val="0"/>
          <w:color w:val="auto"/>
          <w:sz w:val="24"/>
          <w:szCs w:val="24"/>
          <w:highlight w:val="none"/>
        </w:rPr>
        <w:t>国内同</w:t>
      </w:r>
      <w:r>
        <w:rPr>
          <w:rFonts w:hint="eastAsia"/>
          <w:strike w:val="0"/>
          <w:dstrike w:val="0"/>
          <w:color w:val="auto"/>
          <w:sz w:val="24"/>
          <w:szCs w:val="24"/>
          <w:highlight w:val="none"/>
          <w:lang w:val="en-US" w:eastAsia="zh-CN"/>
        </w:rPr>
        <w:t>类型项目</w:t>
      </w:r>
      <w:r>
        <w:rPr>
          <w:strike w:val="0"/>
          <w:dstrike w:val="0"/>
          <w:color w:val="auto"/>
          <w:sz w:val="24"/>
          <w:szCs w:val="24"/>
          <w:highlight w:val="none"/>
        </w:rPr>
        <w:t>突发环境事件见</w:t>
      </w:r>
      <w:r>
        <w:rPr>
          <w:rFonts w:hint="eastAsia"/>
          <w:strike w:val="0"/>
          <w:dstrike w:val="0"/>
          <w:color w:val="auto"/>
          <w:sz w:val="24"/>
          <w:szCs w:val="24"/>
          <w:highlight w:val="none"/>
          <w:lang w:eastAsia="zh-CN"/>
        </w:rPr>
        <w:t>表5.2-2</w:t>
      </w:r>
      <w:r>
        <w:rPr>
          <w:strike w:val="0"/>
          <w:dstrike w:val="0"/>
          <w:color w:val="auto"/>
          <w:sz w:val="24"/>
          <w:szCs w:val="24"/>
          <w:highlight w:val="none"/>
        </w:rPr>
        <w:t>。</w:t>
      </w:r>
    </w:p>
    <w:p w14:paraId="2A569957">
      <w:pPr>
        <w:spacing w:line="360" w:lineRule="auto"/>
        <w:jc w:val="center"/>
        <w:rPr>
          <w:rFonts w:hint="eastAsia"/>
          <w:strike w:val="0"/>
          <w:dstrike w:val="0"/>
          <w:color w:val="auto"/>
          <w:sz w:val="24"/>
          <w:szCs w:val="32"/>
          <w:highlight w:val="none"/>
          <w:lang w:val="en-US" w:eastAsia="zh-CN"/>
        </w:rPr>
      </w:pPr>
      <w:r>
        <w:rPr>
          <w:rFonts w:hint="eastAsia" w:ascii="Times New Roman" w:hAnsi="Times New Roman" w:eastAsia="宋体" w:cs="Times New Roman"/>
          <w:b/>
          <w:bCs/>
          <w:i w:val="0"/>
          <w:iCs w:val="0"/>
          <w:strike w:val="0"/>
          <w:dstrike w:val="0"/>
          <w:color w:val="auto"/>
          <w:sz w:val="24"/>
          <w:szCs w:val="24"/>
          <w:highlight w:val="none"/>
          <w:lang w:val="en-US" w:eastAsia="zh-CN"/>
        </w:rPr>
        <w:t>表5.2-2</w:t>
      </w:r>
      <w:r>
        <w:rPr>
          <w:rFonts w:hint="eastAsia" w:ascii="Times New Roman" w:hAnsi="Times New Roman" w:cs="Times New Roman"/>
          <w:b/>
          <w:bCs/>
          <w:i w:val="0"/>
          <w:iCs w:val="0"/>
          <w:strike w:val="0"/>
          <w:dstrike w:val="0"/>
          <w:color w:val="auto"/>
          <w:sz w:val="24"/>
          <w:szCs w:val="24"/>
          <w:highlight w:val="none"/>
          <w:lang w:val="en-US" w:eastAsia="zh-CN"/>
        </w:rPr>
        <w:t xml:space="preserve"> </w:t>
      </w:r>
      <w:r>
        <w:rPr>
          <w:rFonts w:hint="default" w:ascii="Times New Roman" w:hAnsi="Times New Roman" w:eastAsia="宋体" w:cs="Times New Roman"/>
          <w:b/>
          <w:bCs/>
          <w:i w:val="0"/>
          <w:iCs w:val="0"/>
          <w:strike w:val="0"/>
          <w:dstrike w:val="0"/>
          <w:color w:val="auto"/>
          <w:sz w:val="24"/>
          <w:szCs w:val="24"/>
          <w:highlight w:val="none"/>
          <w:lang w:val="en-US" w:eastAsia="zh-CN"/>
        </w:rPr>
        <w:t xml:space="preserve"> 国</w:t>
      </w:r>
      <w:r>
        <w:rPr>
          <w:rFonts w:hint="eastAsia" w:ascii="Times New Roman" w:hAnsi="Times New Roman" w:cs="Times New Roman"/>
          <w:b/>
          <w:bCs/>
          <w:i w:val="0"/>
          <w:iCs w:val="0"/>
          <w:strike w:val="0"/>
          <w:dstrike w:val="0"/>
          <w:color w:val="auto"/>
          <w:sz w:val="24"/>
          <w:szCs w:val="24"/>
          <w:highlight w:val="none"/>
          <w:lang w:val="en-US" w:eastAsia="zh-CN"/>
        </w:rPr>
        <w:t>内</w:t>
      </w:r>
      <w:r>
        <w:rPr>
          <w:rFonts w:hint="default" w:ascii="Times New Roman" w:hAnsi="Times New Roman" w:eastAsia="宋体" w:cs="Times New Roman"/>
          <w:b/>
          <w:bCs/>
          <w:i w:val="0"/>
          <w:iCs w:val="0"/>
          <w:strike w:val="0"/>
          <w:dstrike w:val="0"/>
          <w:color w:val="auto"/>
          <w:sz w:val="24"/>
          <w:szCs w:val="24"/>
          <w:highlight w:val="none"/>
          <w:lang w:val="en-US" w:eastAsia="zh-CN"/>
        </w:rPr>
        <w:t>同</w:t>
      </w:r>
      <w:r>
        <w:rPr>
          <w:rFonts w:hint="eastAsia" w:ascii="Times New Roman" w:hAnsi="Times New Roman" w:eastAsia="宋体" w:cs="Times New Roman"/>
          <w:b/>
          <w:bCs/>
          <w:i w:val="0"/>
          <w:iCs w:val="0"/>
          <w:strike w:val="0"/>
          <w:dstrike w:val="0"/>
          <w:color w:val="auto"/>
          <w:sz w:val="24"/>
          <w:szCs w:val="24"/>
          <w:highlight w:val="none"/>
          <w:lang w:val="en-US" w:eastAsia="zh-CN"/>
        </w:rPr>
        <w:t>类型</w:t>
      </w:r>
      <w:r>
        <w:rPr>
          <w:rFonts w:hint="eastAsia" w:ascii="Times New Roman" w:hAnsi="Times New Roman" w:cs="Times New Roman"/>
          <w:b/>
          <w:bCs/>
          <w:i w:val="0"/>
          <w:iCs w:val="0"/>
          <w:strike w:val="0"/>
          <w:dstrike w:val="0"/>
          <w:color w:val="auto"/>
          <w:sz w:val="24"/>
          <w:szCs w:val="24"/>
          <w:highlight w:val="none"/>
          <w:lang w:val="en-US" w:eastAsia="zh-CN"/>
        </w:rPr>
        <w:t>企业</w:t>
      </w:r>
      <w:r>
        <w:rPr>
          <w:rFonts w:hint="default" w:ascii="Times New Roman" w:hAnsi="Times New Roman" w:eastAsia="宋体" w:cs="Times New Roman"/>
          <w:b/>
          <w:bCs/>
          <w:i w:val="0"/>
          <w:iCs w:val="0"/>
          <w:strike w:val="0"/>
          <w:dstrike w:val="0"/>
          <w:color w:val="auto"/>
          <w:sz w:val="24"/>
          <w:szCs w:val="24"/>
          <w:highlight w:val="none"/>
          <w:lang w:val="en-US" w:eastAsia="zh-CN"/>
        </w:rPr>
        <w:t>事故一览表</w:t>
      </w:r>
    </w:p>
    <w:tbl>
      <w:tblPr>
        <w:tblStyle w:val="22"/>
        <w:tblW w:w="878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57" w:type="dxa"/>
          <w:bottom w:w="0" w:type="dxa"/>
          <w:right w:w="57" w:type="dxa"/>
        </w:tblCellMar>
      </w:tblPr>
      <w:tblGrid>
        <w:gridCol w:w="758"/>
        <w:gridCol w:w="4712"/>
        <w:gridCol w:w="3317"/>
      </w:tblGrid>
      <w:tr w14:paraId="503FE2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758" w:type="dxa"/>
            <w:tcBorders>
              <w:tl2br w:val="nil"/>
              <w:tr2bl w:val="nil"/>
            </w:tcBorders>
            <w:noWrap w:val="0"/>
            <w:vAlign w:val="center"/>
          </w:tcPr>
          <w:p w14:paraId="26ED3CD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strike w:val="0"/>
                <w:dstrike w:val="0"/>
                <w:color w:val="auto"/>
                <w:sz w:val="21"/>
                <w:szCs w:val="21"/>
                <w:highlight w:val="none"/>
              </w:rPr>
            </w:pPr>
            <w:r>
              <w:rPr>
                <w:strike w:val="0"/>
                <w:dstrike w:val="0"/>
                <w:color w:val="auto"/>
                <w:sz w:val="21"/>
                <w:szCs w:val="21"/>
                <w:highlight w:val="none"/>
              </w:rPr>
              <w:t>序号</w:t>
            </w:r>
          </w:p>
        </w:tc>
        <w:tc>
          <w:tcPr>
            <w:tcW w:w="4712" w:type="dxa"/>
            <w:tcBorders>
              <w:tl2br w:val="nil"/>
              <w:tr2bl w:val="nil"/>
            </w:tcBorders>
            <w:noWrap w:val="0"/>
            <w:vAlign w:val="center"/>
          </w:tcPr>
          <w:p w14:paraId="5DCBED6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strike w:val="0"/>
                <w:dstrike w:val="0"/>
                <w:color w:val="auto"/>
                <w:sz w:val="21"/>
                <w:szCs w:val="21"/>
                <w:highlight w:val="none"/>
              </w:rPr>
            </w:pPr>
            <w:r>
              <w:rPr>
                <w:strike w:val="0"/>
                <w:dstrike w:val="0"/>
                <w:color w:val="auto"/>
                <w:sz w:val="21"/>
                <w:szCs w:val="21"/>
                <w:highlight w:val="none"/>
              </w:rPr>
              <w:t>事故经过和危害</w:t>
            </w:r>
          </w:p>
        </w:tc>
        <w:tc>
          <w:tcPr>
            <w:tcW w:w="3317" w:type="dxa"/>
            <w:tcBorders>
              <w:tl2br w:val="nil"/>
              <w:tr2bl w:val="nil"/>
            </w:tcBorders>
            <w:noWrap w:val="0"/>
            <w:vAlign w:val="center"/>
          </w:tcPr>
          <w:p w14:paraId="7BE2853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strike w:val="0"/>
                <w:dstrike w:val="0"/>
                <w:color w:val="auto"/>
                <w:sz w:val="21"/>
                <w:szCs w:val="21"/>
                <w:highlight w:val="none"/>
              </w:rPr>
            </w:pPr>
            <w:r>
              <w:rPr>
                <w:strike w:val="0"/>
                <w:dstrike w:val="0"/>
                <w:color w:val="auto"/>
                <w:sz w:val="21"/>
                <w:szCs w:val="21"/>
                <w:highlight w:val="none"/>
              </w:rPr>
              <w:t>事故原因分析</w:t>
            </w:r>
          </w:p>
        </w:tc>
      </w:tr>
      <w:tr w14:paraId="1321B8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758" w:type="dxa"/>
            <w:tcBorders>
              <w:tl2br w:val="nil"/>
              <w:tr2bl w:val="nil"/>
            </w:tcBorders>
            <w:noWrap w:val="0"/>
            <w:vAlign w:val="center"/>
          </w:tcPr>
          <w:p w14:paraId="3478D41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strike w:val="0"/>
                <w:dstrike w:val="0"/>
                <w:color w:val="auto"/>
                <w:sz w:val="21"/>
                <w:szCs w:val="21"/>
                <w:highlight w:val="none"/>
              </w:rPr>
            </w:pPr>
            <w:r>
              <w:rPr>
                <w:strike w:val="0"/>
                <w:dstrike w:val="0"/>
                <w:color w:val="auto"/>
                <w:sz w:val="21"/>
                <w:szCs w:val="21"/>
                <w:highlight w:val="none"/>
              </w:rPr>
              <w:t>1</w:t>
            </w:r>
          </w:p>
        </w:tc>
        <w:tc>
          <w:tcPr>
            <w:tcW w:w="4712" w:type="dxa"/>
            <w:tcBorders>
              <w:tl2br w:val="nil"/>
              <w:tr2bl w:val="nil"/>
            </w:tcBorders>
            <w:noWrap w:val="0"/>
            <w:vAlign w:val="center"/>
          </w:tcPr>
          <w:p w14:paraId="74001E6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strike w:val="0"/>
                <w:dstrike w:val="0"/>
                <w:color w:val="auto"/>
                <w:sz w:val="21"/>
                <w:szCs w:val="21"/>
                <w:highlight w:val="none"/>
                <w:lang w:eastAsia="zh-CN"/>
              </w:rPr>
            </w:pPr>
            <w:r>
              <w:rPr>
                <w:rFonts w:hint="eastAsia"/>
                <w:strike w:val="0"/>
                <w:dstrike w:val="0"/>
                <w:color w:val="auto"/>
                <w:sz w:val="21"/>
                <w:szCs w:val="21"/>
                <w:highlight w:val="none"/>
              </w:rPr>
              <w:t>2015年6月3日，山东省某LNG加气站现场操作人员对车辆进行加液操作，在拔下加液枪枪头时，车载气瓶内LNG大量喷出，将操作人员防护面罩打飞，造成操作人员身体两处皮肤低温冻伤。喷溅发生后，操作人员迅速按下紧急切断阀，离开加液区域，同时脱下防静电服，用冷水清洗喷溅部位。随后受伤人员被送到医院对冻伤部位进行处理，留院观察。</w:t>
            </w:r>
          </w:p>
        </w:tc>
        <w:tc>
          <w:tcPr>
            <w:tcW w:w="3317" w:type="dxa"/>
            <w:tcBorders>
              <w:tl2br w:val="nil"/>
              <w:tr2bl w:val="nil"/>
            </w:tcBorders>
            <w:noWrap w:val="0"/>
            <w:vAlign w:val="center"/>
          </w:tcPr>
          <w:p w14:paraId="1F7C142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strike w:val="0"/>
                <w:dstrike w:val="0"/>
                <w:color w:val="auto"/>
                <w:sz w:val="21"/>
                <w:szCs w:val="21"/>
                <w:highlight w:val="none"/>
              </w:rPr>
            </w:pPr>
            <w:r>
              <w:rPr>
                <w:rFonts w:hint="eastAsia"/>
                <w:strike w:val="0"/>
                <w:dstrike w:val="0"/>
                <w:color w:val="auto"/>
                <w:sz w:val="21"/>
                <w:szCs w:val="21"/>
                <w:highlight w:val="none"/>
              </w:rPr>
              <w:t>直接原因：①车载LNG气瓶充装口接口的阀芯未正常复位，进液单向阀失效，导致气瓶内外连通，在有压力作用下，气瓶内LNG大量喷出；②加气车辆未按照国家规定对气瓶进行定期检测。</w:t>
            </w:r>
          </w:p>
          <w:p w14:paraId="012B102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strike w:val="0"/>
                <w:dstrike w:val="0"/>
                <w:color w:val="auto"/>
                <w:sz w:val="21"/>
                <w:szCs w:val="21"/>
                <w:highlight w:val="none"/>
              </w:rPr>
            </w:pPr>
            <w:r>
              <w:rPr>
                <w:rFonts w:hint="eastAsia"/>
                <w:strike w:val="0"/>
                <w:dstrike w:val="0"/>
                <w:color w:val="auto"/>
                <w:sz w:val="21"/>
                <w:szCs w:val="21"/>
                <w:highlight w:val="none"/>
              </w:rPr>
              <w:t>间接原因：①加气前，加气员工未按照加气作业“十禁止”的要求进行检查；②操作人员在作业现场未正确穿戴劳动防护用品。</w:t>
            </w:r>
          </w:p>
          <w:p w14:paraId="2CAC0EB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strike w:val="0"/>
                <w:dstrike w:val="0"/>
                <w:color w:val="auto"/>
                <w:sz w:val="21"/>
                <w:szCs w:val="21"/>
                <w:highlight w:val="none"/>
              </w:rPr>
            </w:pPr>
            <w:r>
              <w:rPr>
                <w:rFonts w:hint="eastAsia"/>
                <w:strike w:val="0"/>
                <w:dstrike w:val="0"/>
                <w:color w:val="auto"/>
                <w:sz w:val="21"/>
                <w:szCs w:val="21"/>
                <w:highlight w:val="none"/>
              </w:rPr>
              <w:t>上述事故的原因在于：</w:t>
            </w:r>
          </w:p>
          <w:p w14:paraId="0AEF69A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strike w:val="0"/>
                <w:dstrike w:val="0"/>
                <w:color w:val="auto"/>
                <w:sz w:val="21"/>
                <w:szCs w:val="21"/>
                <w:highlight w:val="none"/>
                <w:lang w:eastAsia="zh-CN"/>
              </w:rPr>
            </w:pPr>
            <w:r>
              <w:rPr>
                <w:rFonts w:hint="eastAsia"/>
                <w:strike w:val="0"/>
                <w:dstrike w:val="0"/>
                <w:color w:val="auto"/>
                <w:sz w:val="21"/>
                <w:szCs w:val="21"/>
                <w:highlight w:val="none"/>
              </w:rPr>
              <w:t>安全管理主体责任不落实，安全培训不到位。管理人员法制意识、安全生产意识淡薄，违章指挥、违规操作，日常监管不到位；从业人员安全意识差，对作业场所存在的危险性认识不足，违章作业现象严重。</w:t>
            </w:r>
          </w:p>
        </w:tc>
      </w:tr>
      <w:tr w14:paraId="63F926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758" w:type="dxa"/>
            <w:tcBorders>
              <w:tl2br w:val="nil"/>
              <w:tr2bl w:val="nil"/>
            </w:tcBorders>
            <w:noWrap w:val="0"/>
            <w:vAlign w:val="center"/>
          </w:tcPr>
          <w:p w14:paraId="4F8B120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strike w:val="0"/>
                <w:dstrike w:val="0"/>
                <w:color w:val="auto"/>
                <w:sz w:val="21"/>
                <w:szCs w:val="21"/>
                <w:highlight w:val="none"/>
              </w:rPr>
            </w:pPr>
            <w:r>
              <w:rPr>
                <w:strike w:val="0"/>
                <w:dstrike w:val="0"/>
                <w:color w:val="auto"/>
                <w:sz w:val="21"/>
                <w:szCs w:val="21"/>
                <w:highlight w:val="none"/>
              </w:rPr>
              <w:t>2</w:t>
            </w:r>
          </w:p>
        </w:tc>
        <w:tc>
          <w:tcPr>
            <w:tcW w:w="4712" w:type="dxa"/>
            <w:tcBorders>
              <w:tl2br w:val="nil"/>
              <w:tr2bl w:val="nil"/>
            </w:tcBorders>
            <w:noWrap w:val="0"/>
            <w:vAlign w:val="center"/>
          </w:tcPr>
          <w:p w14:paraId="15F0785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eastAsia="宋体"/>
                <w:strike w:val="0"/>
                <w:dstrike w:val="0"/>
                <w:color w:val="auto"/>
                <w:sz w:val="21"/>
                <w:szCs w:val="21"/>
                <w:highlight w:val="none"/>
                <w:lang w:eastAsia="zh-CN"/>
              </w:rPr>
            </w:pPr>
            <w:r>
              <w:rPr>
                <w:rFonts w:hint="eastAsia"/>
                <w:strike w:val="0"/>
                <w:dstrike w:val="0"/>
                <w:color w:val="auto"/>
                <w:sz w:val="21"/>
                <w:szCs w:val="21"/>
                <w:highlight w:val="none"/>
              </w:rPr>
              <w:t>2014年9月8日15:40左右，山东济南分公司第63加油站在安装加油机和潜油泵过程中，由于油罐人孔盖不符合安装潜油泵的条件，对油罐人孔盖进行改造，承包商天津华北有色建设工程公司山东分公司的施工人员，擅自用自带泵将2号埋地罐中的注水抽空，并在无人监控的情况下，在操作井边沿用气割对油罐法兰盘、管线短管开坡口，切割过程中，引燃油罐内残余油气发生闪爆，李洪革当即受伤，送医院经抢救无效，于9月9日凌晨死亡</w:t>
            </w:r>
            <w:r>
              <w:rPr>
                <w:rFonts w:hint="eastAsia"/>
                <w:strike w:val="0"/>
                <w:dstrike w:val="0"/>
                <w:color w:val="auto"/>
                <w:sz w:val="21"/>
                <w:szCs w:val="21"/>
                <w:highlight w:val="none"/>
                <w:lang w:eastAsia="zh-CN"/>
              </w:rPr>
              <w:t>。</w:t>
            </w:r>
          </w:p>
        </w:tc>
        <w:tc>
          <w:tcPr>
            <w:tcW w:w="3317" w:type="dxa"/>
            <w:tcBorders>
              <w:tl2br w:val="nil"/>
              <w:tr2bl w:val="nil"/>
            </w:tcBorders>
            <w:noWrap w:val="0"/>
            <w:vAlign w:val="center"/>
          </w:tcPr>
          <w:p w14:paraId="4A6E70C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strike w:val="0"/>
                <w:dstrike w:val="0"/>
                <w:color w:val="auto"/>
                <w:sz w:val="21"/>
                <w:szCs w:val="21"/>
                <w:highlight w:val="none"/>
              </w:rPr>
            </w:pPr>
            <w:r>
              <w:rPr>
                <w:rFonts w:hint="eastAsia"/>
                <w:strike w:val="0"/>
                <w:dstrike w:val="0"/>
                <w:color w:val="auto"/>
                <w:sz w:val="21"/>
                <w:szCs w:val="21"/>
                <w:highlight w:val="none"/>
              </w:rPr>
              <w:t>事故发生的直接原因：施工单位施工人员严重违反施工安全规定，安装潜油泵过程中将油罐注水抽出，造成油罐及操作井口油气积聚。在当天无动火作业计划、没有办理动火作业票的情况下，施工人员擅自变更作业地点，在靠近油罐口的区域内进行动火作业，造成闪爆。</w:t>
            </w:r>
          </w:p>
        </w:tc>
      </w:tr>
      <w:tr w14:paraId="0D95E6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758" w:type="dxa"/>
            <w:tcBorders>
              <w:tl2br w:val="nil"/>
              <w:tr2bl w:val="nil"/>
            </w:tcBorders>
            <w:noWrap w:val="0"/>
            <w:vAlign w:val="center"/>
          </w:tcPr>
          <w:p w14:paraId="0D35CCC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strike w:val="0"/>
                <w:dstrike w:val="0"/>
                <w:color w:val="auto"/>
                <w:sz w:val="21"/>
                <w:szCs w:val="21"/>
                <w:highlight w:val="none"/>
              </w:rPr>
            </w:pPr>
            <w:r>
              <w:rPr>
                <w:strike w:val="0"/>
                <w:dstrike w:val="0"/>
                <w:color w:val="auto"/>
                <w:sz w:val="21"/>
                <w:szCs w:val="21"/>
                <w:highlight w:val="none"/>
              </w:rPr>
              <w:t>3</w:t>
            </w:r>
          </w:p>
        </w:tc>
        <w:tc>
          <w:tcPr>
            <w:tcW w:w="4712" w:type="dxa"/>
            <w:tcBorders>
              <w:tl2br w:val="nil"/>
              <w:tr2bl w:val="nil"/>
            </w:tcBorders>
            <w:noWrap w:val="0"/>
            <w:vAlign w:val="center"/>
          </w:tcPr>
          <w:p w14:paraId="748E88E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strike w:val="0"/>
                <w:dstrike w:val="0"/>
                <w:color w:val="auto"/>
                <w:sz w:val="21"/>
                <w:szCs w:val="21"/>
                <w:highlight w:val="none"/>
              </w:rPr>
            </w:pPr>
            <w:r>
              <w:rPr>
                <w:rFonts w:hint="eastAsia"/>
                <w:strike w:val="0"/>
                <w:dstrike w:val="0"/>
                <w:color w:val="auto"/>
                <w:sz w:val="21"/>
                <w:szCs w:val="21"/>
                <w:highlight w:val="none"/>
              </w:rPr>
              <w:t>2014年5月份，安徽安庆分公司红光加油站改造完成后，在筹备开业期间，发现油罐内有少量水杂，5月14日下午，原施工方运通公司检维修人员利用手摇泵排除油水，但发现排不干净，就擅自违规打开人孔盖，佩戴TF型过滤式防毒面具进入油罐清理水杂，致使施工人员晕倒在油罐内，经拨打报警电话，消防人员佩戴隔离式防护面具进入油罐将其背出罐外，经送医院抢救无效死亡。清理水杂过程中，站长仅对防毒面具的安全性能提出质疑，但没有制止清罐作业，也未向零管部和ME汇报。</w:t>
            </w:r>
          </w:p>
        </w:tc>
        <w:tc>
          <w:tcPr>
            <w:tcW w:w="3317" w:type="dxa"/>
            <w:tcBorders>
              <w:tl2br w:val="nil"/>
              <w:tr2bl w:val="nil"/>
            </w:tcBorders>
            <w:noWrap w:val="0"/>
            <w:vAlign w:val="center"/>
          </w:tcPr>
          <w:p w14:paraId="2148479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strike w:val="0"/>
                <w:dstrike w:val="0"/>
                <w:color w:val="auto"/>
                <w:sz w:val="21"/>
                <w:szCs w:val="21"/>
                <w:highlight w:val="none"/>
              </w:rPr>
            </w:pPr>
            <w:r>
              <w:rPr>
                <w:rFonts w:hint="eastAsia"/>
                <w:strike w:val="0"/>
                <w:dstrike w:val="0"/>
                <w:color w:val="auto"/>
                <w:sz w:val="21"/>
                <w:szCs w:val="21"/>
                <w:highlight w:val="none"/>
              </w:rPr>
              <w:t>这是一起典型的违规操作造成的安全事故。施工方缺乏安全专业知识、没有从事危险化学品资质，擅自扩大作业范围、盲目施工、违章操作是导致事故发生的主要原因。</w:t>
            </w:r>
          </w:p>
        </w:tc>
      </w:tr>
    </w:tbl>
    <w:p w14:paraId="3F524D40">
      <w:pPr>
        <w:adjustRightInd w:val="0"/>
        <w:snapToGrid w:val="0"/>
        <w:spacing w:line="360" w:lineRule="auto"/>
        <w:ind w:firstLine="560"/>
        <w:rPr>
          <w:rFonts w:hint="eastAsia"/>
          <w:strike w:val="0"/>
          <w:dstrike w:val="0"/>
          <w:color w:val="auto"/>
          <w:sz w:val="24"/>
          <w:szCs w:val="24"/>
          <w:highlight w:val="none"/>
          <w:lang w:val="en-US" w:eastAsia="zh-CN"/>
        </w:rPr>
      </w:pPr>
      <w:r>
        <w:rPr>
          <w:rFonts w:hint="eastAsia"/>
          <w:strike w:val="0"/>
          <w:dstrike w:val="0"/>
          <w:color w:val="auto"/>
          <w:sz w:val="24"/>
          <w:szCs w:val="24"/>
          <w:highlight w:val="none"/>
          <w:lang w:val="en-US" w:eastAsia="zh-CN"/>
        </w:rPr>
        <w:t>上述事故案例经验教训：</w:t>
      </w:r>
    </w:p>
    <w:p w14:paraId="638DBD68">
      <w:pPr>
        <w:adjustRightInd w:val="0"/>
        <w:snapToGrid w:val="0"/>
        <w:spacing w:line="360" w:lineRule="auto"/>
        <w:ind w:firstLine="560"/>
        <w:rPr>
          <w:rFonts w:hint="eastAsia"/>
          <w:strike w:val="0"/>
          <w:dstrike w:val="0"/>
          <w:color w:val="auto"/>
          <w:sz w:val="24"/>
          <w:szCs w:val="24"/>
          <w:highlight w:val="none"/>
          <w:lang w:val="en-US" w:eastAsia="zh-CN"/>
        </w:rPr>
      </w:pPr>
      <w:r>
        <w:rPr>
          <w:rFonts w:hint="eastAsia"/>
          <w:strike w:val="0"/>
          <w:dstrike w:val="0"/>
          <w:color w:val="auto"/>
          <w:sz w:val="24"/>
          <w:szCs w:val="24"/>
          <w:highlight w:val="none"/>
          <w:lang w:val="en-US" w:eastAsia="zh-CN"/>
        </w:rPr>
        <w:t>①强化LNG低温气瓶/储油罐充装前检查，对不符合要求的车辆禁止加气/加油。</w:t>
      </w:r>
    </w:p>
    <w:p w14:paraId="77F4FA6D">
      <w:pPr>
        <w:adjustRightInd w:val="0"/>
        <w:snapToGrid w:val="0"/>
        <w:spacing w:line="360" w:lineRule="auto"/>
        <w:ind w:firstLine="560"/>
        <w:rPr>
          <w:rFonts w:hint="eastAsia"/>
          <w:strike w:val="0"/>
          <w:dstrike w:val="0"/>
          <w:color w:val="auto"/>
          <w:sz w:val="24"/>
          <w:szCs w:val="24"/>
          <w:highlight w:val="none"/>
          <w:lang w:val="en-US" w:eastAsia="zh-CN"/>
        </w:rPr>
      </w:pPr>
      <w:r>
        <w:rPr>
          <w:rFonts w:hint="eastAsia"/>
          <w:strike w:val="0"/>
          <w:dstrike w:val="0"/>
          <w:color w:val="auto"/>
          <w:sz w:val="24"/>
          <w:szCs w:val="24"/>
          <w:highlight w:val="none"/>
          <w:lang w:val="en-US" w:eastAsia="zh-CN"/>
        </w:rPr>
        <w:t>②规范员工气瓶充装操作，规范员工</w:t>
      </w:r>
      <w:bookmarkStart w:id="175" w:name="OfficeAI_Add_2_16"/>
      <w:r>
        <w:rPr>
          <w:rFonts w:hint="eastAsia"/>
          <w:strike w:val="0"/>
          <w:dstrike w:val="0"/>
          <w:color w:val="auto"/>
          <w:sz w:val="24"/>
          <w:szCs w:val="24"/>
          <w:highlight w:val="none"/>
          <w:lang w:val="en-US" w:eastAsia="zh-CN"/>
        </w:rPr>
        <w:t>在</w:t>
      </w:r>
      <w:bookmarkEnd w:id="175"/>
      <w:r>
        <w:rPr>
          <w:rFonts w:hint="eastAsia"/>
          <w:strike w:val="0"/>
          <w:dstrike w:val="0"/>
          <w:color w:val="auto"/>
          <w:sz w:val="24"/>
          <w:szCs w:val="24"/>
          <w:highlight w:val="none"/>
          <w:lang w:val="en-US" w:eastAsia="zh-CN"/>
        </w:rPr>
        <w:t>加油区</w:t>
      </w:r>
      <w:bookmarkStart w:id="176" w:name="OfficeAI_Add_2_20"/>
      <w:r>
        <w:rPr>
          <w:rFonts w:hint="eastAsia"/>
          <w:strike w:val="0"/>
          <w:dstrike w:val="0"/>
          <w:color w:val="auto"/>
          <w:sz w:val="24"/>
          <w:szCs w:val="24"/>
          <w:highlight w:val="none"/>
          <w:lang w:val="en-US" w:eastAsia="zh-CN"/>
        </w:rPr>
        <w:t>的</w:t>
      </w:r>
      <w:bookmarkEnd w:id="176"/>
      <w:r>
        <w:rPr>
          <w:rFonts w:hint="eastAsia"/>
          <w:strike w:val="0"/>
          <w:dstrike w:val="0"/>
          <w:color w:val="auto"/>
          <w:sz w:val="24"/>
          <w:szCs w:val="24"/>
          <w:highlight w:val="none"/>
          <w:lang w:val="en-US" w:eastAsia="zh-CN"/>
        </w:rPr>
        <w:t>充装操作。</w:t>
      </w:r>
    </w:p>
    <w:p w14:paraId="7C01EA73">
      <w:pPr>
        <w:adjustRightInd w:val="0"/>
        <w:snapToGrid w:val="0"/>
        <w:spacing w:line="360" w:lineRule="auto"/>
        <w:ind w:firstLine="560"/>
        <w:rPr>
          <w:rFonts w:hint="eastAsia"/>
          <w:strike w:val="0"/>
          <w:dstrike w:val="0"/>
          <w:color w:val="auto"/>
          <w:sz w:val="24"/>
          <w:szCs w:val="24"/>
          <w:highlight w:val="none"/>
          <w:lang w:val="en-US" w:eastAsia="zh-CN"/>
        </w:rPr>
      </w:pPr>
      <w:r>
        <w:rPr>
          <w:rFonts w:hint="eastAsia"/>
          <w:strike w:val="0"/>
          <w:dstrike w:val="0"/>
          <w:color w:val="auto"/>
          <w:sz w:val="24"/>
          <w:szCs w:val="24"/>
          <w:highlight w:val="none"/>
          <w:lang w:val="en-US" w:eastAsia="zh-CN"/>
        </w:rPr>
        <w:t>③规范员工劳保着装，定期</w:t>
      </w:r>
      <w:bookmarkStart w:id="177" w:name="OfficeAI_Add_3_12"/>
      <w:r>
        <w:rPr>
          <w:rFonts w:hint="eastAsia"/>
          <w:strike w:val="0"/>
          <w:dstrike w:val="0"/>
          <w:color w:val="auto"/>
          <w:sz w:val="24"/>
          <w:szCs w:val="24"/>
          <w:highlight w:val="none"/>
          <w:lang w:val="en-US" w:eastAsia="zh-CN"/>
        </w:rPr>
        <w:t>进行</w:t>
      </w:r>
      <w:bookmarkEnd w:id="177"/>
      <w:r>
        <w:rPr>
          <w:rFonts w:hint="eastAsia"/>
          <w:strike w:val="0"/>
          <w:dstrike w:val="0"/>
          <w:color w:val="auto"/>
          <w:sz w:val="24"/>
          <w:szCs w:val="24"/>
          <w:highlight w:val="none"/>
          <w:lang w:val="en-US" w:eastAsia="zh-CN"/>
        </w:rPr>
        <w:t>检查。</w:t>
      </w:r>
    </w:p>
    <w:p w14:paraId="61FEB8A5">
      <w:pPr>
        <w:adjustRightInd w:val="0"/>
        <w:snapToGrid w:val="0"/>
        <w:spacing w:line="360" w:lineRule="auto"/>
        <w:ind w:firstLine="560"/>
        <w:rPr>
          <w:rFonts w:hint="eastAsia"/>
          <w:strike w:val="0"/>
          <w:dstrike w:val="0"/>
          <w:color w:val="auto"/>
          <w:sz w:val="24"/>
          <w:szCs w:val="24"/>
          <w:highlight w:val="none"/>
          <w:lang w:val="en-US" w:eastAsia="zh-CN"/>
        </w:rPr>
      </w:pPr>
      <w:r>
        <w:rPr>
          <w:rFonts w:hint="eastAsia"/>
          <w:strike w:val="0"/>
          <w:dstrike w:val="0"/>
          <w:color w:val="auto"/>
          <w:sz w:val="24"/>
          <w:szCs w:val="24"/>
          <w:highlight w:val="none"/>
          <w:lang w:val="en-US" w:eastAsia="zh-CN"/>
        </w:rPr>
        <w:t>④落实全员安全责任制，加强</w:t>
      </w:r>
      <w:bookmarkStart w:id="178" w:name="OfficeAI_Add_4_13"/>
      <w:r>
        <w:rPr>
          <w:rFonts w:hint="eastAsia"/>
          <w:strike w:val="0"/>
          <w:dstrike w:val="0"/>
          <w:color w:val="auto"/>
          <w:sz w:val="24"/>
          <w:szCs w:val="24"/>
          <w:highlight w:val="none"/>
          <w:lang w:val="en-US" w:eastAsia="zh-CN"/>
        </w:rPr>
        <w:t>对</w:t>
      </w:r>
      <w:bookmarkEnd w:id="178"/>
      <w:r>
        <w:rPr>
          <w:rFonts w:hint="eastAsia"/>
          <w:strike w:val="0"/>
          <w:dstrike w:val="0"/>
          <w:color w:val="auto"/>
          <w:sz w:val="24"/>
          <w:szCs w:val="24"/>
          <w:highlight w:val="none"/>
          <w:lang w:val="en-US" w:eastAsia="zh-CN"/>
        </w:rPr>
        <w:t>从业者</w:t>
      </w:r>
      <w:bookmarkStart w:id="179" w:name="OfficeAI_Add_4_17"/>
      <w:r>
        <w:rPr>
          <w:rFonts w:hint="eastAsia"/>
          <w:strike w:val="0"/>
          <w:dstrike w:val="0"/>
          <w:color w:val="auto"/>
          <w:sz w:val="24"/>
          <w:szCs w:val="24"/>
          <w:highlight w:val="none"/>
          <w:lang w:val="en-US" w:eastAsia="zh-CN"/>
        </w:rPr>
        <w:t>的</w:t>
      </w:r>
      <w:bookmarkEnd w:id="179"/>
      <w:r>
        <w:rPr>
          <w:rFonts w:hint="eastAsia"/>
          <w:strike w:val="0"/>
          <w:dstrike w:val="0"/>
          <w:color w:val="auto"/>
          <w:sz w:val="24"/>
          <w:szCs w:val="24"/>
          <w:highlight w:val="none"/>
          <w:lang w:val="en-US" w:eastAsia="zh-CN"/>
        </w:rPr>
        <w:t>教育培训。</w:t>
      </w:r>
    </w:p>
    <w:p w14:paraId="4693B292">
      <w:pPr>
        <w:adjustRightInd w:val="0"/>
        <w:snapToGrid w:val="0"/>
        <w:spacing w:line="360" w:lineRule="auto"/>
        <w:ind w:firstLine="560"/>
        <w:rPr>
          <w:rFonts w:hint="eastAsia"/>
          <w:strike w:val="0"/>
          <w:dstrike w:val="0"/>
          <w:color w:val="auto"/>
          <w:sz w:val="24"/>
          <w:szCs w:val="24"/>
          <w:highlight w:val="none"/>
          <w:lang w:val="en-US" w:eastAsia="zh-CN"/>
        </w:rPr>
      </w:pPr>
      <w:r>
        <w:rPr>
          <w:rFonts w:hint="eastAsia"/>
          <w:strike w:val="0"/>
          <w:dstrike w:val="0"/>
          <w:color w:val="auto"/>
          <w:sz w:val="24"/>
          <w:szCs w:val="24"/>
          <w:highlight w:val="none"/>
          <w:lang w:val="en-US" w:eastAsia="zh-CN"/>
        </w:rPr>
        <w:t>⑤规范加气区域物品摆放，确保员工逃生通道畅通。</w:t>
      </w:r>
    </w:p>
    <w:p w14:paraId="16F791C2">
      <w:pPr>
        <w:pStyle w:val="3"/>
        <w:jc w:val="center"/>
        <w:rPr>
          <w:rFonts w:hint="default" w:eastAsia="微软雅黑 Regular"/>
          <w:b w:val="0"/>
          <w:bCs w:val="0"/>
          <w:strike w:val="0"/>
          <w:dstrike w:val="0"/>
          <w:color w:val="auto"/>
          <w:sz w:val="24"/>
          <w:szCs w:val="24"/>
          <w:highlight w:val="none"/>
          <w:lang w:val="en-US" w:eastAsia="zh-CN"/>
        </w:rPr>
      </w:pPr>
      <w:r>
        <w:rPr>
          <w:rFonts w:eastAsia="宋体"/>
          <w:b w:val="0"/>
          <w:bCs w:val="0"/>
          <w:strike w:val="0"/>
          <w:dstrike w:val="0"/>
          <w:color w:val="auto"/>
          <w:sz w:val="24"/>
          <w:szCs w:val="24"/>
          <w:highlight w:val="none"/>
        </w:rPr>
        <w:br w:type="page"/>
      </w:r>
      <w:r>
        <w:rPr>
          <w:rFonts w:eastAsia="宋体"/>
          <w:strike w:val="0"/>
          <w:dstrike w:val="0"/>
          <w:color w:val="auto"/>
          <w:highlight w:val="none"/>
        </w:rPr>
        <w:t>6</w:t>
      </w:r>
      <w:r>
        <w:rPr>
          <w:rFonts w:hint="eastAsia" w:eastAsia="宋体"/>
          <w:strike w:val="0"/>
          <w:dstrike w:val="0"/>
          <w:color w:val="auto"/>
          <w:highlight w:val="none"/>
          <w:lang w:val="en-US" w:eastAsia="zh-CN"/>
        </w:rPr>
        <w:t>风险预测与评价</w:t>
      </w:r>
    </w:p>
    <w:p w14:paraId="468BBA49">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6.1汽油、柴油泄漏、火灾、爆炸影响分析</w:t>
      </w:r>
    </w:p>
    <w:p w14:paraId="331A51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strike w:val="0"/>
          <w:dstrike w:val="0"/>
          <w:color w:val="auto"/>
          <w:kern w:val="2"/>
          <w:sz w:val="24"/>
          <w:szCs w:val="24"/>
          <w:highlight w:val="none"/>
          <w:lang w:val="en-US" w:eastAsia="zh-CN" w:bidi="ar-SA"/>
        </w:rPr>
      </w:pPr>
      <w:r>
        <w:rPr>
          <w:rFonts w:hint="eastAsia" w:ascii="Times New Roman" w:hAnsi="Times New Roman" w:eastAsia="宋体" w:cs="Times New Roman"/>
          <w:bCs/>
          <w:strike w:val="0"/>
          <w:dstrike w:val="0"/>
          <w:color w:val="auto"/>
          <w:kern w:val="2"/>
          <w:sz w:val="24"/>
          <w:szCs w:val="24"/>
          <w:highlight w:val="none"/>
          <w:lang w:val="en-US" w:eastAsia="zh-CN" w:bidi="ar-SA"/>
        </w:rPr>
        <w:t>本项目可能发生油品/天然气泄漏事故，主要事故源于油品泄漏，一旦发生油品泄漏事故，其引起的环境污染造成的后果难以估量，其成品油进入环境，将对河流、土壤、地下水、生物造成毁灭性的污染，这种污染一般范围较广、面积较大、后果较为严重，达到自然环境的完全恢复需要相当长的时间。同时，由于油品泄漏造成油品挥发，油蒸气逸散，进而发生火灾、爆炸事故。</w:t>
      </w:r>
    </w:p>
    <w:p w14:paraId="3D7479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strike w:val="0"/>
          <w:dstrike w:val="0"/>
          <w:color w:val="auto"/>
          <w:kern w:val="2"/>
          <w:sz w:val="24"/>
          <w:szCs w:val="24"/>
          <w:highlight w:val="none"/>
          <w:lang w:val="en-US" w:eastAsia="zh-CN" w:bidi="ar-SA"/>
        </w:rPr>
      </w:pPr>
      <w:r>
        <w:rPr>
          <w:rFonts w:hint="eastAsia" w:ascii="Times New Roman" w:hAnsi="Times New Roman" w:eastAsia="宋体" w:cs="Times New Roman"/>
          <w:bCs/>
          <w:strike w:val="0"/>
          <w:dstrike w:val="0"/>
          <w:color w:val="auto"/>
          <w:kern w:val="2"/>
          <w:sz w:val="24"/>
          <w:szCs w:val="24"/>
          <w:highlight w:val="none"/>
          <w:lang w:val="en-US" w:eastAsia="zh-CN" w:bidi="ar-SA"/>
        </w:rPr>
        <w:t>本项目埋地油罐安装阻隔防爆材料，同时在站区与站外建筑物之间设置了非燃烧墙。项目符合</w:t>
      </w:r>
      <w:r>
        <w:rPr>
          <w:rFonts w:hint="eastAsia" w:ascii="Times New Roman" w:hAnsi="Times New Roman" w:cs="Times New Roman"/>
          <w:bCs/>
          <w:strike w:val="0"/>
          <w:dstrike w:val="0"/>
          <w:color w:val="auto"/>
          <w:kern w:val="2"/>
          <w:sz w:val="24"/>
          <w:szCs w:val="24"/>
          <w:highlight w:val="none"/>
          <w:lang w:val="en-US" w:eastAsia="zh-CN" w:bidi="ar-SA"/>
        </w:rPr>
        <w:t>《汽车加油加气加氢站技术标准》（GB50156-2021）</w:t>
      </w:r>
      <w:r>
        <w:rPr>
          <w:rFonts w:hint="eastAsia" w:ascii="Times New Roman" w:hAnsi="Times New Roman" w:eastAsia="宋体" w:cs="Times New Roman"/>
          <w:bCs/>
          <w:strike w:val="0"/>
          <w:dstrike w:val="0"/>
          <w:color w:val="auto"/>
          <w:kern w:val="2"/>
          <w:sz w:val="24"/>
          <w:szCs w:val="24"/>
          <w:highlight w:val="none"/>
          <w:lang w:val="en-US" w:eastAsia="zh-CN" w:bidi="ar-SA"/>
        </w:rPr>
        <w:t>等相关规定。消防设施、器材有专人管理，消防器材设置在明显和便于取用的地点，周围未存放其他物品，消防给水和灭火设备符合《建筑设计防火规范》（</w:t>
      </w:r>
      <w:r>
        <w:rPr>
          <w:rFonts w:hint="default" w:ascii="Times New Roman" w:hAnsi="Times New Roman" w:eastAsia="宋体" w:cs="Times New Roman"/>
          <w:bCs/>
          <w:strike w:val="0"/>
          <w:dstrike w:val="0"/>
          <w:color w:val="auto"/>
          <w:kern w:val="2"/>
          <w:sz w:val="24"/>
          <w:szCs w:val="24"/>
          <w:highlight w:val="none"/>
          <w:lang w:val="en-US" w:eastAsia="zh-CN" w:bidi="ar-SA"/>
        </w:rPr>
        <w:t>GB50016-20</w:t>
      </w:r>
      <w:r>
        <w:rPr>
          <w:rFonts w:hint="eastAsia" w:ascii="Times New Roman" w:hAnsi="Times New Roman" w:eastAsia="宋体" w:cs="Times New Roman"/>
          <w:bCs/>
          <w:strike w:val="0"/>
          <w:dstrike w:val="0"/>
          <w:color w:val="auto"/>
          <w:kern w:val="2"/>
          <w:sz w:val="24"/>
          <w:szCs w:val="24"/>
          <w:highlight w:val="none"/>
          <w:lang w:val="en-US" w:eastAsia="zh-CN" w:bidi="ar-SA"/>
        </w:rPr>
        <w:t>18、</w:t>
      </w:r>
      <w:r>
        <w:rPr>
          <w:rFonts w:hint="default" w:ascii="Times New Roman" w:hAnsi="Times New Roman" w:eastAsia="宋体" w:cs="Times New Roman"/>
          <w:bCs/>
          <w:strike w:val="0"/>
          <w:dstrike w:val="0"/>
          <w:color w:val="auto"/>
          <w:kern w:val="2"/>
          <w:sz w:val="24"/>
          <w:szCs w:val="24"/>
          <w:highlight w:val="none"/>
          <w:lang w:val="en-US" w:eastAsia="zh-CN" w:bidi="ar-SA"/>
        </w:rPr>
        <w:t>GB50016-20</w:t>
      </w:r>
      <w:r>
        <w:rPr>
          <w:rFonts w:hint="eastAsia" w:ascii="Times New Roman" w:hAnsi="Times New Roman" w:eastAsia="宋体" w:cs="Times New Roman"/>
          <w:bCs/>
          <w:strike w:val="0"/>
          <w:dstrike w:val="0"/>
          <w:color w:val="auto"/>
          <w:kern w:val="2"/>
          <w:sz w:val="24"/>
          <w:szCs w:val="24"/>
          <w:highlight w:val="none"/>
          <w:lang w:val="en-US" w:eastAsia="zh-CN" w:bidi="ar-SA"/>
        </w:rPr>
        <w:t>22）规定。储油罐区设有截流沟，与隔油池相连，泄漏油品可通过</w:t>
      </w:r>
      <w:r>
        <w:rPr>
          <w:rFonts w:hint="eastAsia" w:ascii="Times New Roman" w:hAnsi="Times New Roman" w:cs="Times New Roman"/>
          <w:bCs/>
          <w:strike w:val="0"/>
          <w:dstrike w:val="0"/>
          <w:color w:val="auto"/>
          <w:kern w:val="2"/>
          <w:sz w:val="24"/>
          <w:szCs w:val="24"/>
          <w:highlight w:val="none"/>
          <w:lang w:val="en-US" w:eastAsia="zh-CN" w:bidi="ar-SA"/>
        </w:rPr>
        <w:t>储油罐区</w:t>
      </w:r>
      <w:r>
        <w:rPr>
          <w:rFonts w:hint="eastAsia" w:ascii="Times New Roman" w:hAnsi="Times New Roman" w:eastAsia="宋体" w:cs="Times New Roman"/>
          <w:bCs/>
          <w:strike w:val="0"/>
          <w:dstrike w:val="0"/>
          <w:color w:val="auto"/>
          <w:kern w:val="2"/>
          <w:sz w:val="24"/>
          <w:szCs w:val="24"/>
          <w:highlight w:val="none"/>
          <w:lang w:val="en-US" w:eastAsia="zh-CN" w:bidi="ar-SA"/>
        </w:rPr>
        <w:t>截流沟引至隔油池暂存，后续回收或委外处置，不外排，对</w:t>
      </w:r>
      <w:r>
        <w:rPr>
          <w:rFonts w:ascii="Times New Roman" w:hAnsi="Times New Roman" w:eastAsia="宋体" w:cs="Times New Roman"/>
          <w:bCs/>
          <w:strike w:val="0"/>
          <w:dstrike w:val="0"/>
          <w:color w:val="auto"/>
          <w:kern w:val="2"/>
          <w:sz w:val="24"/>
          <w:szCs w:val="24"/>
          <w:highlight w:val="none"/>
          <w:lang w:val="en-US" w:eastAsia="zh-CN" w:bidi="ar-SA"/>
        </w:rPr>
        <w:t>外环</w:t>
      </w:r>
      <w:r>
        <w:rPr>
          <w:rFonts w:hint="eastAsia" w:ascii="Times New Roman" w:hAnsi="Times New Roman" w:eastAsia="宋体" w:cs="Times New Roman"/>
          <w:bCs/>
          <w:strike w:val="0"/>
          <w:dstrike w:val="0"/>
          <w:color w:val="auto"/>
          <w:kern w:val="2"/>
          <w:sz w:val="24"/>
          <w:szCs w:val="24"/>
          <w:highlight w:val="none"/>
          <w:lang w:val="en-US" w:eastAsia="zh-CN" w:bidi="ar-SA"/>
        </w:rPr>
        <w:t>境影响较小。</w:t>
      </w:r>
    </w:p>
    <w:p w14:paraId="23AB1352">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bCs/>
          <w:strike w:val="0"/>
          <w:dstrike w:val="0"/>
          <w:color w:val="auto"/>
          <w:kern w:val="2"/>
          <w:sz w:val="24"/>
          <w:szCs w:val="32"/>
          <w:highlight w:val="none"/>
          <w:lang w:val="en-US" w:eastAsia="zh-CN" w:bidi="ar-SA"/>
        </w:rPr>
      </w:pPr>
      <w:r>
        <w:rPr>
          <w:rFonts w:hint="eastAsia" w:ascii="Times New Roman" w:hAnsi="Times New Roman" w:eastAsia="宋体" w:cs="Times New Roman"/>
          <w:b w:val="0"/>
          <w:bCs/>
          <w:strike w:val="0"/>
          <w:dstrike w:val="0"/>
          <w:color w:val="auto"/>
          <w:kern w:val="2"/>
          <w:sz w:val="24"/>
          <w:szCs w:val="32"/>
          <w:highlight w:val="none"/>
          <w:lang w:val="en-US" w:eastAsia="zh-CN" w:bidi="ar-SA"/>
        </w:rPr>
        <w:t>根据《重庆合川燃气有限责任公司合川区土场综合能源站工程（加油部分）设立安全评价报告》的安全评价结果，单个汽油储罐发生爆炸的人员死亡半径为4.00m，建筑物严重损坏半径为3.57m，人员安全距离为5.42m，建筑物安全距离为8.61m。</w:t>
      </w:r>
    </w:p>
    <w:p w14:paraId="30533567">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strike w:val="0"/>
          <w:dstrike w:val="0"/>
          <w:color w:val="auto"/>
          <w:kern w:val="2"/>
          <w:sz w:val="24"/>
          <w:szCs w:val="24"/>
          <w:highlight w:val="none"/>
          <w:lang w:val="en-US" w:eastAsia="zh-CN" w:bidi="ar-SA"/>
        </w:rPr>
      </w:pPr>
      <w:r>
        <w:rPr>
          <w:rFonts w:ascii="Times New Roman" w:hAnsi="Times New Roman" w:eastAsia="宋体" w:cs="Times New Roman"/>
          <w:bCs/>
          <w:strike w:val="0"/>
          <w:dstrike w:val="0"/>
          <w:color w:val="auto"/>
          <w:kern w:val="2"/>
          <w:sz w:val="24"/>
          <w:szCs w:val="24"/>
          <w:highlight w:val="none"/>
          <w:lang w:val="en-US" w:eastAsia="zh-CN" w:bidi="ar-SA"/>
        </w:rPr>
        <w:t>加油</w:t>
      </w:r>
      <w:r>
        <w:rPr>
          <w:rFonts w:hint="eastAsia" w:ascii="Times New Roman" w:hAnsi="Times New Roman" w:eastAsia="宋体" w:cs="Times New Roman"/>
          <w:bCs/>
          <w:strike w:val="0"/>
          <w:dstrike w:val="0"/>
          <w:color w:val="auto"/>
          <w:kern w:val="2"/>
          <w:sz w:val="24"/>
          <w:szCs w:val="24"/>
          <w:highlight w:val="none"/>
          <w:lang w:val="en-US" w:eastAsia="zh-CN" w:bidi="ar-SA"/>
        </w:rPr>
        <w:t>区泄漏主要</w:t>
      </w:r>
      <w:r>
        <w:rPr>
          <w:rFonts w:ascii="Times New Roman" w:hAnsi="Times New Roman" w:eastAsia="宋体" w:cs="Times New Roman"/>
          <w:bCs/>
          <w:strike w:val="0"/>
          <w:dstrike w:val="0"/>
          <w:color w:val="auto"/>
          <w:kern w:val="2"/>
          <w:sz w:val="24"/>
          <w:szCs w:val="24"/>
          <w:highlight w:val="none"/>
          <w:lang w:val="en-US" w:eastAsia="zh-CN" w:bidi="ar-SA"/>
        </w:rPr>
        <w:t>为停电、设备故障</w:t>
      </w:r>
      <w:r>
        <w:rPr>
          <w:rFonts w:hint="eastAsia" w:ascii="Times New Roman" w:hAnsi="Times New Roman" w:eastAsia="宋体" w:cs="Times New Roman"/>
          <w:bCs/>
          <w:strike w:val="0"/>
          <w:dstrike w:val="0"/>
          <w:color w:val="auto"/>
          <w:kern w:val="2"/>
          <w:sz w:val="24"/>
          <w:szCs w:val="24"/>
          <w:highlight w:val="none"/>
          <w:lang w:val="en-US" w:eastAsia="zh-CN" w:bidi="ar-SA"/>
        </w:rPr>
        <w:t>、加油过程中（油枪脱落、管道破损）可能导致油料泄漏</w:t>
      </w:r>
      <w:r>
        <w:rPr>
          <w:rFonts w:ascii="Times New Roman" w:hAnsi="Times New Roman" w:eastAsia="宋体" w:cs="Times New Roman"/>
          <w:bCs/>
          <w:strike w:val="0"/>
          <w:dstrike w:val="0"/>
          <w:color w:val="auto"/>
          <w:kern w:val="2"/>
          <w:sz w:val="24"/>
          <w:szCs w:val="24"/>
          <w:highlight w:val="none"/>
          <w:lang w:val="en-US" w:eastAsia="zh-CN" w:bidi="ar-SA"/>
        </w:rPr>
        <w:t>，一般情况下，都有操作人员在场</w:t>
      </w:r>
      <w:r>
        <w:rPr>
          <w:rFonts w:hint="eastAsia" w:ascii="Times New Roman" w:hAnsi="Times New Roman" w:eastAsia="宋体" w:cs="Times New Roman"/>
          <w:bCs/>
          <w:strike w:val="0"/>
          <w:dstrike w:val="0"/>
          <w:color w:val="auto"/>
          <w:kern w:val="2"/>
          <w:sz w:val="24"/>
          <w:szCs w:val="24"/>
          <w:highlight w:val="none"/>
          <w:lang w:val="en-US" w:eastAsia="zh-CN" w:bidi="ar-SA"/>
        </w:rPr>
        <w:t>，泄漏</w:t>
      </w:r>
      <w:r>
        <w:rPr>
          <w:rFonts w:ascii="Times New Roman" w:hAnsi="Times New Roman" w:eastAsia="宋体" w:cs="Times New Roman"/>
          <w:bCs/>
          <w:strike w:val="0"/>
          <w:dstrike w:val="0"/>
          <w:color w:val="auto"/>
          <w:kern w:val="2"/>
          <w:sz w:val="24"/>
          <w:szCs w:val="24"/>
          <w:highlight w:val="none"/>
          <w:lang w:val="en-US" w:eastAsia="zh-CN" w:bidi="ar-SA"/>
        </w:rPr>
        <w:t>物料</w:t>
      </w:r>
      <w:r>
        <w:rPr>
          <w:rFonts w:hint="eastAsia" w:ascii="Times New Roman" w:hAnsi="Times New Roman" w:eastAsia="宋体" w:cs="Times New Roman"/>
          <w:bCs/>
          <w:strike w:val="0"/>
          <w:dstrike w:val="0"/>
          <w:color w:val="auto"/>
          <w:kern w:val="2"/>
          <w:sz w:val="24"/>
          <w:szCs w:val="24"/>
          <w:highlight w:val="none"/>
          <w:lang w:val="en-US" w:eastAsia="zh-CN" w:bidi="ar-SA"/>
        </w:rPr>
        <w:t>可通过加油区截流沟引至隔油池暂存，后续回收或委外处置，不外排，对</w:t>
      </w:r>
      <w:r>
        <w:rPr>
          <w:rFonts w:ascii="Times New Roman" w:hAnsi="Times New Roman" w:eastAsia="宋体" w:cs="Times New Roman"/>
          <w:bCs/>
          <w:strike w:val="0"/>
          <w:dstrike w:val="0"/>
          <w:color w:val="auto"/>
          <w:kern w:val="2"/>
          <w:sz w:val="24"/>
          <w:szCs w:val="24"/>
          <w:highlight w:val="none"/>
          <w:lang w:val="en-US" w:eastAsia="zh-CN" w:bidi="ar-SA"/>
        </w:rPr>
        <w:t>外环境影响</w:t>
      </w:r>
      <w:r>
        <w:rPr>
          <w:rFonts w:hint="eastAsia" w:ascii="Times New Roman" w:hAnsi="Times New Roman" w:eastAsia="宋体" w:cs="Times New Roman"/>
          <w:bCs/>
          <w:strike w:val="0"/>
          <w:dstrike w:val="0"/>
          <w:color w:val="auto"/>
          <w:kern w:val="2"/>
          <w:sz w:val="24"/>
          <w:szCs w:val="24"/>
          <w:highlight w:val="none"/>
          <w:lang w:val="en-US" w:eastAsia="zh-CN" w:bidi="ar-SA"/>
        </w:rPr>
        <w:t>较小</w:t>
      </w:r>
      <w:r>
        <w:rPr>
          <w:rFonts w:ascii="Times New Roman" w:hAnsi="Times New Roman" w:eastAsia="宋体" w:cs="Times New Roman"/>
          <w:bCs/>
          <w:strike w:val="0"/>
          <w:dstrike w:val="0"/>
          <w:color w:val="auto"/>
          <w:kern w:val="2"/>
          <w:sz w:val="24"/>
          <w:szCs w:val="24"/>
          <w:highlight w:val="none"/>
          <w:lang w:val="en-US" w:eastAsia="zh-CN" w:bidi="ar-SA"/>
        </w:rPr>
        <w:t>。</w:t>
      </w:r>
    </w:p>
    <w:p w14:paraId="510CA8E2">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6.2天然气泄漏、火灾、爆炸影响分析</w:t>
      </w:r>
    </w:p>
    <w:p w14:paraId="54C18431">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天然气泄漏后，发生事故的情况共分为3种类型，主要有泄漏后，在泄漏口立即燃烧，形成喷射火焰；泄漏后推迟燃烧，形成闪烁火焰或爆炸；泄漏后不立即燃烧也不推迟燃烧，形成环境污染。</w:t>
      </w:r>
    </w:p>
    <w:p w14:paraId="1EF92BF0">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rFonts w:hint="eastAsia" w:ascii="宋体" w:hAnsi="宋体" w:cs="宋体"/>
          <w:strike w:val="0"/>
          <w:dstrike w:val="0"/>
          <w:color w:val="auto"/>
          <w:highlight w:val="none"/>
        </w:rPr>
        <w:t>①</w:t>
      </w:r>
      <w:r>
        <w:rPr>
          <w:strike w:val="0"/>
          <w:dstrike w:val="0"/>
          <w:color w:val="auto"/>
          <w:highlight w:val="none"/>
        </w:rPr>
        <w:t>泄漏天然气对人群健康危害影响</w:t>
      </w:r>
    </w:p>
    <w:p w14:paraId="58174B63">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事故泄漏天然气中主要成分为甲烷，甲烷的密度比空气的密度小，稀释扩散很快，随着距泄漏点距离的增加，甲烷浓度下降非常快，泄漏点泄漏的甲烷对环境、人和动物造成的影响是局部的，经分析，事故状态下，不会造成人员窒息现象。企业天然气管道均设有自动阀门，若遇泄漏，系统会自动启动关闭阀门，自阀门关闭到管道内气体泄漏完毕，最多历时10min，天然气泄漏量极少。综上分析，泄漏的天然气对环境影响较小。</w:t>
      </w:r>
    </w:p>
    <w:p w14:paraId="10B3ED75">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此外，</w:t>
      </w:r>
      <w:r>
        <w:rPr>
          <w:rFonts w:hint="eastAsia"/>
          <w:strike w:val="0"/>
          <w:dstrike w:val="0"/>
          <w:color w:val="auto"/>
          <w:highlight w:val="none"/>
        </w:rPr>
        <w:t>本项目</w:t>
      </w:r>
      <w:r>
        <w:rPr>
          <w:strike w:val="0"/>
          <w:dstrike w:val="0"/>
          <w:color w:val="auto"/>
          <w:highlight w:val="none"/>
        </w:rPr>
        <w:t>管线</w:t>
      </w:r>
      <w:r>
        <w:rPr>
          <w:rFonts w:hint="eastAsia"/>
          <w:strike w:val="0"/>
          <w:dstrike w:val="0"/>
          <w:color w:val="auto"/>
          <w:highlight w:val="none"/>
        </w:rPr>
        <w:t>输送商品天然气</w:t>
      </w:r>
      <w:r>
        <w:rPr>
          <w:strike w:val="0"/>
          <w:dstrike w:val="0"/>
          <w:color w:val="auto"/>
          <w:highlight w:val="none"/>
        </w:rPr>
        <w:t>，一旦发生管线泄漏事故，放空系统会在1min内点火，天然气经放空系统燃烧后高空排放，对环境影响较小。</w:t>
      </w:r>
    </w:p>
    <w:p w14:paraId="61A968D5">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为了减小对周围居民的影响，在对群众进行宣传的过程中，应告知：在闻到天然气味时，应迅速转移至远离事故泄漏点的地方并及时报告。</w:t>
      </w:r>
    </w:p>
    <w:p w14:paraId="4AFAD623">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rFonts w:hint="eastAsia" w:ascii="宋体" w:hAnsi="宋体" w:cs="宋体"/>
          <w:strike w:val="0"/>
          <w:dstrike w:val="0"/>
          <w:color w:val="auto"/>
          <w:highlight w:val="none"/>
        </w:rPr>
        <w:t>②</w:t>
      </w:r>
      <w:r>
        <w:rPr>
          <w:strike w:val="0"/>
          <w:dstrike w:val="0"/>
          <w:color w:val="auto"/>
          <w:highlight w:val="none"/>
        </w:rPr>
        <w:t>火灾或爆炸事故次生污染物对环境的影响</w:t>
      </w:r>
    </w:p>
    <w:p w14:paraId="313E1881">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在事故状态下，若发生火灾或爆炸事故，天然气燃烧生成的主要产物为</w:t>
      </w:r>
      <w:bookmarkStart w:id="180" w:name="OfficeAI_Add_6_32"/>
      <w:r>
        <w:rPr>
          <w:rFonts w:hint="eastAsia"/>
          <w:strike w:val="0"/>
          <w:dstrike w:val="0"/>
          <w:color w:val="auto"/>
          <w:highlight w:val="none"/>
          <w:lang w:eastAsia="zh-CN"/>
        </w:rPr>
        <w:t>C</w:t>
      </w:r>
      <w:bookmarkEnd w:id="180"/>
      <w:r>
        <w:rPr>
          <w:strike w:val="0"/>
          <w:dstrike w:val="0"/>
          <w:color w:val="auto"/>
          <w:highlight w:val="none"/>
        </w:rPr>
        <w:t>O</w:t>
      </w:r>
      <w:bookmarkStart w:id="181" w:name="OfficeAI_Del_6_35"/>
      <w:r>
        <w:rPr>
          <w:strike w:val="0"/>
          <w:dstrike w:val="0"/>
          <w:color w:val="auto"/>
          <w:highlight w:val="none"/>
          <w:vertAlign w:val="subscript"/>
        </w:rPr>
        <w:t>2</w:t>
      </w:r>
      <w:bookmarkEnd w:id="181"/>
      <w:r>
        <w:rPr>
          <w:strike w:val="0"/>
          <w:dstrike w:val="0"/>
          <w:color w:val="auto"/>
          <w:highlight w:val="none"/>
        </w:rPr>
        <w:t>、</w:t>
      </w:r>
      <w:bookmarkStart w:id="182" w:name="OfficeAI_Del_6_38"/>
      <w:r>
        <w:rPr>
          <w:strike w:val="0"/>
          <w:dstrike w:val="0"/>
          <w:color w:val="auto"/>
          <w:highlight w:val="none"/>
        </w:rPr>
        <w:t>CO和</w:t>
      </w:r>
      <w:bookmarkEnd w:id="182"/>
      <w:r>
        <w:rPr>
          <w:strike w:val="0"/>
          <w:dstrike w:val="0"/>
          <w:color w:val="auto"/>
          <w:highlight w:val="none"/>
        </w:rPr>
        <w:t>H</w:t>
      </w:r>
      <w:bookmarkStart w:id="183" w:name="OfficeAI_Del_6_43"/>
      <w:r>
        <w:rPr>
          <w:strike w:val="0"/>
          <w:dstrike w:val="0"/>
          <w:color w:val="auto"/>
          <w:highlight w:val="none"/>
          <w:vertAlign w:val="subscript"/>
        </w:rPr>
        <w:t>2</w:t>
      </w:r>
      <w:bookmarkEnd w:id="183"/>
      <w:r>
        <w:rPr>
          <w:strike w:val="0"/>
          <w:dstrike w:val="0"/>
          <w:color w:val="auto"/>
          <w:highlight w:val="none"/>
        </w:rPr>
        <w:t>O，仅在事故刚发生时有少量硫化氢、甲烷、乙烷等释放，且很快就能扩散，不会长期影响空气质量。</w:t>
      </w:r>
    </w:p>
    <w:p w14:paraId="78550E5C">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事故时天然气燃烧主要采用二氧化碳或干粉灭火器等进行灭火。若引发大面积火灾时会产生一定的消防水，但该类消防水不含有毒有害物质，对项目拟建地周围环境不会造成较大污染。</w:t>
      </w:r>
    </w:p>
    <w:p w14:paraId="70CE9624">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rFonts w:hint="eastAsia" w:ascii="Times New Roman" w:hAnsi="Times New Roman" w:eastAsia="宋体" w:cs="Times New Roman"/>
          <w:b w:val="0"/>
          <w:bCs/>
          <w:strike w:val="0"/>
          <w:dstrike w:val="0"/>
          <w:color w:val="auto"/>
          <w:kern w:val="2"/>
          <w:sz w:val="24"/>
          <w:szCs w:val="32"/>
          <w:highlight w:val="none"/>
          <w:lang w:val="en-US" w:eastAsia="zh-CN" w:bidi="ar-SA"/>
        </w:rPr>
        <w:t>根据《重庆合川燃气有限责任公司合川区土场综合能源站工程（加气部分）设立安全评价报告》的安全评价结果，发生爆炸的死亡半径14.75m，重伤半径41.07m，轻伤半径79.89m。</w:t>
      </w:r>
    </w:p>
    <w:p w14:paraId="7844B287">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rFonts w:hint="eastAsia" w:ascii="宋体" w:hAnsi="宋体" w:cs="宋体"/>
          <w:strike w:val="0"/>
          <w:dstrike w:val="0"/>
          <w:color w:val="auto"/>
          <w:highlight w:val="none"/>
        </w:rPr>
        <w:t>③</w:t>
      </w:r>
      <w:r>
        <w:rPr>
          <w:strike w:val="0"/>
          <w:dstrike w:val="0"/>
          <w:color w:val="auto"/>
          <w:highlight w:val="none"/>
        </w:rPr>
        <w:t>事故燃烧生成SO</w:t>
      </w:r>
      <w:bookmarkStart w:id="184" w:name="OfficeAI_Del_9_9"/>
      <w:r>
        <w:rPr>
          <w:strike w:val="0"/>
          <w:dstrike w:val="0"/>
          <w:color w:val="auto"/>
          <w:highlight w:val="none"/>
          <w:vertAlign w:val="subscript"/>
        </w:rPr>
        <w:t>2</w:t>
      </w:r>
      <w:bookmarkEnd w:id="184"/>
      <w:r>
        <w:rPr>
          <w:strike w:val="0"/>
          <w:dstrike w:val="0"/>
          <w:color w:val="auto"/>
          <w:highlight w:val="none"/>
        </w:rPr>
        <w:t>、NO</w:t>
      </w:r>
      <w:bookmarkStart w:id="185" w:name="OfficeAI_Del_9_14"/>
      <w:r>
        <w:rPr>
          <w:strike w:val="0"/>
          <w:dstrike w:val="0"/>
          <w:color w:val="auto"/>
          <w:highlight w:val="none"/>
          <w:vertAlign w:val="subscript"/>
        </w:rPr>
        <w:t>2</w:t>
      </w:r>
      <w:bookmarkEnd w:id="185"/>
      <w:r>
        <w:rPr>
          <w:strike w:val="0"/>
          <w:dstrike w:val="0"/>
          <w:color w:val="auto"/>
          <w:highlight w:val="none"/>
        </w:rPr>
        <w:t>对环境的影响</w:t>
      </w:r>
    </w:p>
    <w:p w14:paraId="08E7EA8C">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本项目管线中主要成分为甲烷，输管线为</w:t>
      </w:r>
      <w:r>
        <w:rPr>
          <w:rFonts w:hint="eastAsia"/>
          <w:strike w:val="0"/>
          <w:dstrike w:val="0"/>
          <w:color w:val="auto"/>
          <w:highlight w:val="none"/>
        </w:rPr>
        <w:t>商品天然气</w:t>
      </w:r>
      <w:r>
        <w:rPr>
          <w:strike w:val="0"/>
          <w:dstrike w:val="0"/>
          <w:color w:val="auto"/>
          <w:highlight w:val="none"/>
        </w:rPr>
        <w:t>管线，气质中</w:t>
      </w:r>
      <w:r>
        <w:rPr>
          <w:rFonts w:hint="eastAsia"/>
          <w:strike w:val="0"/>
          <w:dstrike w:val="0"/>
          <w:color w:val="auto"/>
          <w:highlight w:val="none"/>
        </w:rPr>
        <w:t>仅含微量的</w:t>
      </w:r>
      <w:r>
        <w:rPr>
          <w:strike w:val="0"/>
          <w:dstrike w:val="0"/>
          <w:color w:val="auto"/>
          <w:highlight w:val="none"/>
        </w:rPr>
        <w:t>硫。天然气燃烧将伴生SO</w:t>
      </w:r>
      <w:bookmarkStart w:id="186" w:name="OfficeAI_Del_10_46"/>
      <w:r>
        <w:rPr>
          <w:strike w:val="0"/>
          <w:dstrike w:val="0"/>
          <w:color w:val="auto"/>
          <w:highlight w:val="none"/>
          <w:vertAlign w:val="subscript"/>
        </w:rPr>
        <w:t>2</w:t>
      </w:r>
      <w:bookmarkEnd w:id="186"/>
      <w:r>
        <w:rPr>
          <w:strike w:val="0"/>
          <w:dstrike w:val="0"/>
          <w:color w:val="auto"/>
          <w:highlight w:val="none"/>
        </w:rPr>
        <w:t>、NO</w:t>
      </w:r>
      <w:bookmarkStart w:id="187" w:name="OfficeAI_Del_10_51"/>
      <w:r>
        <w:rPr>
          <w:strike w:val="0"/>
          <w:dstrike w:val="0"/>
          <w:color w:val="auto"/>
          <w:highlight w:val="none"/>
          <w:vertAlign w:val="subscript"/>
        </w:rPr>
        <w:t>2</w:t>
      </w:r>
      <w:bookmarkEnd w:id="187"/>
      <w:r>
        <w:rPr>
          <w:strike w:val="0"/>
          <w:dstrike w:val="0"/>
          <w:color w:val="auto"/>
          <w:highlight w:val="none"/>
        </w:rPr>
        <w:t>等污染物，将对周围环境空气产生影响。</w:t>
      </w:r>
    </w:p>
    <w:p w14:paraId="7C581EDE">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SO</w:t>
      </w:r>
      <w:bookmarkStart w:id="188" w:name="OfficeAI_Del_11_2"/>
      <w:r>
        <w:rPr>
          <w:strike w:val="0"/>
          <w:dstrike w:val="0"/>
          <w:color w:val="auto"/>
          <w:highlight w:val="none"/>
          <w:vertAlign w:val="subscript"/>
        </w:rPr>
        <w:t>2</w:t>
      </w:r>
      <w:bookmarkEnd w:id="188"/>
      <w:r>
        <w:rPr>
          <w:strike w:val="0"/>
          <w:dstrike w:val="0"/>
          <w:color w:val="auto"/>
          <w:highlight w:val="none"/>
        </w:rPr>
        <w:t>一定程度上影响植被生长，尤其是对农作物影响明显，影响一季度农作物。若SO</w:t>
      </w:r>
      <w:bookmarkStart w:id="189" w:name="OfficeAI_Del_11_40"/>
      <w:r>
        <w:rPr>
          <w:strike w:val="0"/>
          <w:dstrike w:val="0"/>
          <w:color w:val="auto"/>
          <w:highlight w:val="none"/>
          <w:vertAlign w:val="subscript"/>
        </w:rPr>
        <w:t>2</w:t>
      </w:r>
      <w:bookmarkEnd w:id="189"/>
      <w:r>
        <w:rPr>
          <w:strike w:val="0"/>
          <w:dstrike w:val="0"/>
          <w:color w:val="auto"/>
          <w:highlight w:val="none"/>
        </w:rPr>
        <w:t>浓度过高，与水反应生成亚硫酸盐的速度超过植物细胞将其氧化成硫酸盐的速度，就会引起植物的急性伤害，造成植物枯死。在雨天高浓度的SO</w:t>
      </w:r>
      <w:bookmarkStart w:id="190" w:name="OfficeAI_Del_11_106"/>
      <w:r>
        <w:rPr>
          <w:strike/>
          <w:dstrike w:val="0"/>
          <w:color w:val="auto"/>
          <w:highlight w:val="none"/>
          <w:vertAlign w:val="subscript"/>
        </w:rPr>
        <w:t>2</w:t>
      </w:r>
      <w:bookmarkEnd w:id="190"/>
      <w:bookmarkStart w:id="191" w:name="OfficeAI_Add_11_107"/>
      <w:r>
        <w:rPr>
          <w:rFonts w:hint="eastAsia"/>
          <w:strike w:val="0"/>
          <w:dstrike w:val="0"/>
          <w:color w:val="auto"/>
          <w:highlight w:val="none"/>
          <w:vertAlign w:val="subscript"/>
          <w:lang w:eastAsia="zh-CN"/>
        </w:rPr>
        <w:t>₂</w:t>
      </w:r>
      <w:bookmarkEnd w:id="191"/>
      <w:r>
        <w:rPr>
          <w:strike w:val="0"/>
          <w:dstrike w:val="0"/>
          <w:color w:val="auto"/>
          <w:highlight w:val="none"/>
        </w:rPr>
        <w:t>还可能形成酸雨，对植物造成更大的危害。但这种影响是可逆的，事故得到控制后能够恢复生产。同时项目区域无自然保护区、风景区等敏感生态区域，为农业生态环境，事故对生态环境的影响是可恢复的。</w:t>
      </w:r>
    </w:p>
    <w:p w14:paraId="1A55F013">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就农业生态环境而言，事故发生后对生态环境的影响是可恢复的。事故发生后的区域农作物及植被不会出现大范围的影响，主要在事故附近区域出现植被受损，事故后生态环境基本能恢复到原来的状态。</w:t>
      </w:r>
    </w:p>
    <w:p w14:paraId="44EA1B13">
      <w:pPr>
        <w:pStyle w:val="45"/>
        <w:keepNext w:val="0"/>
        <w:keepLines w:val="0"/>
        <w:pageBreakBefore w:val="0"/>
        <w:widowControl/>
        <w:kinsoku/>
        <w:wordWrap/>
        <w:overflowPunct/>
        <w:topLinePunct w:val="0"/>
        <w:autoSpaceDE/>
        <w:autoSpaceDN/>
        <w:bidi w:val="0"/>
        <w:adjustRightInd/>
        <w:snapToGrid/>
        <w:spacing w:line="360" w:lineRule="auto"/>
        <w:jc w:val="both"/>
        <w:textAlignment w:val="auto"/>
        <w:rPr>
          <w:strike w:val="0"/>
          <w:dstrike w:val="0"/>
          <w:color w:val="auto"/>
          <w:highlight w:val="none"/>
        </w:rPr>
      </w:pPr>
      <w:r>
        <w:rPr>
          <w:strike w:val="0"/>
          <w:dstrike w:val="0"/>
          <w:color w:val="auto"/>
          <w:highlight w:val="none"/>
        </w:rPr>
        <w:t>项目在天然气泄漏事故发生时（如管道穿孔、管道断裂</w:t>
      </w:r>
      <w:r>
        <w:rPr>
          <w:rFonts w:hint="eastAsia"/>
          <w:strike w:val="0"/>
          <w:dstrike w:val="0"/>
          <w:color w:val="auto"/>
          <w:highlight w:val="none"/>
          <w:lang w:eastAsia="zh-CN"/>
        </w:rPr>
        <w:t>等情况</w:t>
      </w:r>
      <w:r>
        <w:rPr>
          <w:strike w:val="0"/>
          <w:dstrike w:val="0"/>
          <w:color w:val="auto"/>
          <w:highlight w:val="none"/>
        </w:rPr>
        <w:t>），管线两端井站内部截断阀自动关闭，管道内天然气通过截断阀放空，采用热排方式。项目风险可控，对环境空气影响较小。</w:t>
      </w:r>
    </w:p>
    <w:p w14:paraId="1471ABB5">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6.3地表水环境风险分析</w:t>
      </w:r>
    </w:p>
    <w:p w14:paraId="7EEA95A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泄漏或渗漏的成品油一旦进入地表河流，将造成地表河流的污染，影响范围小到几公里，大到几十公里。污染首先将造成地表河流的景观破坏，产生严重的刺鼻气味；其次，因有机烃类物质难溶于水，大部分浮在水层表面，形成一层油膜使空气与水隔离，造成水中溶解氧浓度降低，逐渐形成死水，致使水中生物死亡；再次，成品油的主要成分是 C4～C9 的烃类、芳烃类、醇酮类以及卤代烃类的有机物，一旦进入水环境，由于可生化性较差，造成被污染水体长时间得不到净化，完全恢复则需十几年、甚至几十年的时间。</w:t>
      </w:r>
    </w:p>
    <w:p w14:paraId="0B44A28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eastAsia="宋体" w:cs="Times New Roman"/>
          <w:strike w:val="0"/>
          <w:dstrike w:val="0"/>
          <w:color w:val="auto"/>
          <w:kern w:val="0"/>
          <w:sz w:val="24"/>
          <w:szCs w:val="24"/>
          <w:highlight w:val="none"/>
          <w:lang w:val="en-US" w:eastAsia="zh-CN" w:bidi="ar"/>
        </w:rPr>
        <w:t>本项目</w:t>
      </w:r>
      <w:r>
        <w:rPr>
          <w:rFonts w:hint="eastAsia" w:ascii="Times New Roman" w:hAnsi="Times New Roman" w:eastAsia="宋体" w:cs="Times New Roman"/>
          <w:strike w:val="0"/>
          <w:dstrike w:val="0"/>
          <w:color w:val="auto"/>
          <w:kern w:val="0"/>
          <w:sz w:val="24"/>
          <w:szCs w:val="24"/>
          <w:highlight w:val="none"/>
          <w:lang w:val="en-US" w:eastAsia="zh-CN" w:bidi="ar"/>
        </w:rPr>
        <w:t>储油罐区</w:t>
      </w:r>
      <w:r>
        <w:rPr>
          <w:rFonts w:hint="default" w:ascii="Times New Roman" w:hAnsi="Times New Roman" w:eastAsia="宋体" w:cs="Times New Roman"/>
          <w:strike w:val="0"/>
          <w:dstrike w:val="0"/>
          <w:color w:val="auto"/>
          <w:kern w:val="0"/>
          <w:sz w:val="24"/>
          <w:szCs w:val="24"/>
          <w:highlight w:val="none"/>
          <w:lang w:val="en-US" w:eastAsia="zh-CN" w:bidi="ar"/>
        </w:rPr>
        <w:t>的油罐均为</w:t>
      </w:r>
      <w:r>
        <w:rPr>
          <w:rFonts w:hint="eastAsia" w:ascii="Times New Roman" w:hAnsi="Times New Roman" w:eastAsia="宋体" w:cs="Times New Roman"/>
          <w:strike w:val="0"/>
          <w:dstrike w:val="0"/>
          <w:color w:val="auto"/>
          <w:kern w:val="0"/>
          <w:sz w:val="24"/>
          <w:szCs w:val="24"/>
          <w:highlight w:val="none"/>
          <w:lang w:val="en-US" w:eastAsia="zh-CN" w:bidi="ar"/>
        </w:rPr>
        <w:t>SF</w:t>
      </w:r>
      <w:r>
        <w:rPr>
          <w:rFonts w:hint="default" w:ascii="Times New Roman" w:hAnsi="Times New Roman" w:eastAsia="宋体" w:cs="Times New Roman"/>
          <w:strike w:val="0"/>
          <w:dstrike w:val="0"/>
          <w:color w:val="auto"/>
          <w:kern w:val="0"/>
          <w:sz w:val="24"/>
          <w:szCs w:val="24"/>
          <w:highlight w:val="none"/>
          <w:lang w:val="en-US" w:eastAsia="zh-CN" w:bidi="ar"/>
        </w:rPr>
        <w:t>双层罐，经检验合格后使用。油罐直埋地下，覆土厚度为0.5m，符合国家标准要求。因此</w:t>
      </w:r>
      <w:r>
        <w:rPr>
          <w:rFonts w:hint="eastAsia" w:ascii="Times New Roman" w:hAnsi="Times New Roman" w:eastAsia="宋体" w:cs="Times New Roman"/>
          <w:strike w:val="0"/>
          <w:dstrike w:val="0"/>
          <w:color w:val="auto"/>
          <w:kern w:val="0"/>
          <w:sz w:val="24"/>
          <w:szCs w:val="24"/>
          <w:highlight w:val="none"/>
          <w:lang w:val="en-US" w:eastAsia="zh-CN" w:bidi="ar"/>
        </w:rPr>
        <w:t>，</w:t>
      </w:r>
      <w:r>
        <w:rPr>
          <w:rFonts w:hint="default" w:ascii="Times New Roman" w:hAnsi="Times New Roman" w:eastAsia="宋体" w:cs="Times New Roman"/>
          <w:strike w:val="0"/>
          <w:dstrike w:val="0"/>
          <w:color w:val="auto"/>
          <w:kern w:val="0"/>
          <w:sz w:val="24"/>
          <w:szCs w:val="24"/>
          <w:highlight w:val="none"/>
          <w:lang w:val="en-US" w:eastAsia="zh-CN" w:bidi="ar"/>
        </w:rPr>
        <w:t>一旦发生渗漏与溢出事故时，油品将积聚在储罐的强化玻璃纤维外壳，液位监测系统能及时发现异常，工作人员能及时处理，油品不会溢出储罐，也不会进入地表水体。</w:t>
      </w:r>
    </w:p>
    <w:p w14:paraId="00089108">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6.4地下水环境风险分析</w:t>
      </w:r>
    </w:p>
    <w:p w14:paraId="3AA443E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储油罐和输油管线的泄漏或渗漏对地下水的污染较为严重，地下水一旦遭到成品油的污染，将使地下水产生严重异味，并具有较强的致畸致癌性，根本无法饮用。由于这种渗漏必然穿过较厚的土壤层，使土壤层中吸附了大量的燃料油，土壤层吸附的燃料油不仅会造成植物的死亡，而且土壤层吸附的燃料油还会随着地表水的下渗对土壤层的冲刷作用补充到地下水，这样即便污染源得到及时控制，地下水要完全恢复也需要几十年甚至上百年的时间。</w:t>
      </w:r>
    </w:p>
    <w:p w14:paraId="35FD5CF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eastAsia="宋体" w:cs="Times New Roman"/>
          <w:strike w:val="0"/>
          <w:dstrike w:val="0"/>
          <w:color w:val="auto"/>
          <w:kern w:val="0"/>
          <w:sz w:val="24"/>
          <w:szCs w:val="24"/>
          <w:highlight w:val="none"/>
          <w:lang w:val="en-US" w:eastAsia="zh-CN" w:bidi="ar"/>
        </w:rPr>
        <w:t>项目选用</w:t>
      </w:r>
      <w:r>
        <w:rPr>
          <w:rFonts w:hint="eastAsia" w:ascii="Times New Roman" w:hAnsi="Times New Roman" w:eastAsia="宋体" w:cs="Times New Roman"/>
          <w:strike w:val="0"/>
          <w:dstrike w:val="0"/>
          <w:color w:val="auto"/>
          <w:kern w:val="0"/>
          <w:sz w:val="24"/>
          <w:szCs w:val="24"/>
          <w:highlight w:val="none"/>
          <w:lang w:val="en-US" w:eastAsia="zh-CN" w:bidi="ar"/>
        </w:rPr>
        <w:t>SF</w:t>
      </w:r>
      <w:r>
        <w:rPr>
          <w:rFonts w:hint="default" w:ascii="Times New Roman" w:hAnsi="Times New Roman" w:eastAsia="宋体" w:cs="Times New Roman"/>
          <w:strike w:val="0"/>
          <w:dstrike w:val="0"/>
          <w:color w:val="auto"/>
          <w:kern w:val="0"/>
          <w:sz w:val="24"/>
          <w:szCs w:val="24"/>
          <w:highlight w:val="none"/>
          <w:lang w:val="en-US" w:eastAsia="zh-CN" w:bidi="ar"/>
        </w:rPr>
        <w:t>双层罐的进行成品油的储存，并且安装液位监控系统监控异常渗油漏油事故，当双层罐里面的钢制内壳发生破损渗漏，外层强化玻璃纤维外壳可以保障油品不会</w:t>
      </w:r>
      <w:r>
        <w:rPr>
          <w:rFonts w:hint="eastAsia" w:cs="Times New Roman"/>
          <w:strike w:val="0"/>
          <w:dstrike w:val="0"/>
          <w:color w:val="auto"/>
          <w:kern w:val="0"/>
          <w:sz w:val="24"/>
          <w:szCs w:val="24"/>
          <w:highlight w:val="none"/>
          <w:lang w:val="en-US" w:eastAsia="zh-CN" w:bidi="ar"/>
        </w:rPr>
        <w:t>泄漏</w:t>
      </w:r>
      <w:r>
        <w:rPr>
          <w:rFonts w:hint="default" w:ascii="Times New Roman" w:hAnsi="Times New Roman" w:eastAsia="宋体" w:cs="Times New Roman"/>
          <w:strike w:val="0"/>
          <w:dstrike w:val="0"/>
          <w:color w:val="auto"/>
          <w:kern w:val="0"/>
          <w:sz w:val="24"/>
          <w:szCs w:val="24"/>
          <w:highlight w:val="none"/>
          <w:lang w:val="en-US" w:eastAsia="zh-CN" w:bidi="ar"/>
        </w:rPr>
        <w:t>进入土壤环境，同时液位监测系统能及时发现液位异常，工作人员可及时处理。</w:t>
      </w:r>
    </w:p>
    <w:p w14:paraId="56A16ECB">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卸油采取快速接头、自流密闭式卸油方式。加油站储油区设置专业防渗层，一旦发生溢出与渗漏事故，油品将由于防渗层的保护作用，积聚在储油区。</w:t>
      </w:r>
    </w:p>
    <w:p w14:paraId="4871DD32">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6.5大气环境风险分析</w:t>
      </w:r>
    </w:p>
    <w:p w14:paraId="024E801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根据国内外的研究，对于突发性的事故溢油，油品溢出后在地面呈不规则的面源分布，油品的挥发速度重要</w:t>
      </w:r>
      <w:r>
        <w:rPr>
          <w:rFonts w:hint="eastAsia" w:cs="Times New Roman"/>
          <w:strike w:val="0"/>
          <w:dstrike w:val="0"/>
          <w:color w:val="auto"/>
          <w:kern w:val="0"/>
          <w:sz w:val="24"/>
          <w:szCs w:val="24"/>
          <w:highlight w:val="none"/>
          <w:lang w:val="en-US" w:eastAsia="zh-CN" w:bidi="ar"/>
        </w:rPr>
        <w:t>的</w:t>
      </w:r>
      <w:r>
        <w:rPr>
          <w:rFonts w:hint="default" w:ascii="Times New Roman" w:hAnsi="Times New Roman" w:eastAsia="宋体" w:cs="Times New Roman"/>
          <w:strike w:val="0"/>
          <w:dstrike w:val="0"/>
          <w:color w:val="auto"/>
          <w:kern w:val="0"/>
          <w:sz w:val="24"/>
          <w:szCs w:val="24"/>
          <w:highlight w:val="none"/>
          <w:lang w:val="en-US" w:eastAsia="zh-CN" w:bidi="ar"/>
        </w:rPr>
        <w:t>影响因素为油品蒸气压、现场风速、油品溢出面积、油品蒸气平均重度。</w:t>
      </w:r>
    </w:p>
    <w:p w14:paraId="33F7D6D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trike w:val="0"/>
          <w:dstrike w:val="0"/>
          <w:color w:val="auto"/>
          <w:kern w:val="0"/>
          <w:sz w:val="24"/>
          <w:szCs w:val="24"/>
          <w:highlight w:val="none"/>
          <w:lang w:val="en-US" w:eastAsia="zh-CN" w:bidi="ar"/>
        </w:rPr>
      </w:pPr>
      <w:r>
        <w:rPr>
          <w:rFonts w:hint="default" w:ascii="Times New Roman" w:hAnsi="Times New Roman" w:eastAsia="宋体" w:cs="Times New Roman"/>
          <w:strike w:val="0"/>
          <w:dstrike w:val="0"/>
          <w:color w:val="auto"/>
          <w:kern w:val="0"/>
          <w:sz w:val="24"/>
          <w:szCs w:val="24"/>
          <w:highlight w:val="none"/>
          <w:lang w:val="en-US" w:eastAsia="zh-CN" w:bidi="ar"/>
        </w:rPr>
        <w:t>本项目采用地埋式储油罐工艺，一旦发生渗漏与溢出事故时，由于项目采取了防渗检查孔、液位监测系统等渗漏溢出检测设施，因此可及时发现储油罐渗漏，油品渗漏量较小，受</w:t>
      </w:r>
      <w:r>
        <w:rPr>
          <w:rFonts w:hint="eastAsia" w:ascii="Times New Roman" w:hAnsi="Times New Roman" w:eastAsia="宋体" w:cs="Times New Roman"/>
          <w:strike w:val="0"/>
          <w:dstrike w:val="0"/>
          <w:color w:val="auto"/>
          <w:kern w:val="0"/>
          <w:sz w:val="24"/>
          <w:szCs w:val="24"/>
          <w:highlight w:val="none"/>
          <w:lang w:val="en-US" w:eastAsia="zh-CN" w:bidi="ar"/>
        </w:rPr>
        <w:t>SF</w:t>
      </w:r>
      <w:r>
        <w:rPr>
          <w:rFonts w:hint="default" w:ascii="Times New Roman" w:hAnsi="Times New Roman" w:eastAsia="宋体" w:cs="Times New Roman"/>
          <w:strike w:val="0"/>
          <w:dstrike w:val="0"/>
          <w:color w:val="auto"/>
          <w:kern w:val="0"/>
          <w:sz w:val="24"/>
          <w:szCs w:val="24"/>
          <w:highlight w:val="none"/>
          <w:lang w:val="en-US" w:eastAsia="zh-CN" w:bidi="ar"/>
        </w:rPr>
        <w:t>双层油罐的保护以及受储油罐罐基及防渗层的保护，渗漏出的成品油将积聚在储油区。储油区表面采用了混凝土硬化，较为密闭，油品将主要通过储油区通气管及人孔井非密封处挥发，不会造成大面积的扩散，对大气环境影响较小。油品将主要通过储油区通气管及人孔井非密封处挥发，不会造成大面积的扩散，对大气环境影响较小。</w:t>
      </w:r>
    </w:p>
    <w:p w14:paraId="155BDDF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strike w:val="0"/>
          <w:dstrike w:val="0"/>
          <w:color w:val="auto"/>
          <w:sz w:val="24"/>
          <w:szCs w:val="24"/>
          <w:highlight w:val="none"/>
        </w:rPr>
      </w:pPr>
      <w:r>
        <w:rPr>
          <w:rFonts w:hint="default" w:ascii="Times New Roman" w:hAnsi="Times New Roman" w:eastAsia="宋体" w:cs="Times New Roman"/>
          <w:strike w:val="0"/>
          <w:dstrike w:val="0"/>
          <w:color w:val="auto"/>
          <w:kern w:val="0"/>
          <w:sz w:val="24"/>
          <w:szCs w:val="24"/>
          <w:highlight w:val="none"/>
          <w:lang w:val="en-US" w:eastAsia="zh-CN" w:bidi="ar"/>
        </w:rPr>
        <w:t>综上所述，项目采取</w:t>
      </w:r>
      <w:r>
        <w:rPr>
          <w:rFonts w:hint="eastAsia" w:ascii="Times New Roman" w:hAnsi="Times New Roman" w:eastAsia="宋体" w:cs="Times New Roman"/>
          <w:strike w:val="0"/>
          <w:dstrike w:val="0"/>
          <w:color w:val="auto"/>
          <w:kern w:val="0"/>
          <w:sz w:val="24"/>
          <w:szCs w:val="24"/>
          <w:highlight w:val="none"/>
          <w:lang w:val="en-US" w:eastAsia="zh-CN" w:bidi="ar"/>
        </w:rPr>
        <w:t>上述的</w:t>
      </w:r>
      <w:r>
        <w:rPr>
          <w:rFonts w:hint="default" w:ascii="Times New Roman" w:hAnsi="Times New Roman" w:eastAsia="宋体" w:cs="Times New Roman"/>
          <w:strike w:val="0"/>
          <w:dstrike w:val="0"/>
          <w:color w:val="auto"/>
          <w:kern w:val="0"/>
          <w:sz w:val="24"/>
          <w:szCs w:val="24"/>
          <w:highlight w:val="none"/>
          <w:lang w:val="en-US" w:eastAsia="zh-CN" w:bidi="ar"/>
        </w:rPr>
        <w:t>风险防范措施</w:t>
      </w:r>
      <w:r>
        <w:rPr>
          <w:rFonts w:hint="eastAsia" w:ascii="Times New Roman" w:hAnsi="Times New Roman" w:eastAsia="宋体" w:cs="Times New Roman"/>
          <w:strike w:val="0"/>
          <w:dstrike w:val="0"/>
          <w:color w:val="auto"/>
          <w:kern w:val="0"/>
          <w:sz w:val="24"/>
          <w:szCs w:val="24"/>
          <w:highlight w:val="none"/>
          <w:lang w:val="en-US" w:eastAsia="zh-CN" w:bidi="ar"/>
        </w:rPr>
        <w:t>后</w:t>
      </w:r>
      <w:r>
        <w:rPr>
          <w:rFonts w:hint="default" w:ascii="Times New Roman" w:hAnsi="Times New Roman" w:eastAsia="宋体" w:cs="Times New Roman"/>
          <w:strike w:val="0"/>
          <w:dstrike w:val="0"/>
          <w:color w:val="auto"/>
          <w:kern w:val="0"/>
          <w:sz w:val="24"/>
          <w:szCs w:val="24"/>
          <w:highlight w:val="none"/>
          <w:lang w:val="en-US" w:eastAsia="zh-CN" w:bidi="ar"/>
        </w:rPr>
        <w:t>，项目环境风险属于可接受水平。</w:t>
      </w:r>
    </w:p>
    <w:p w14:paraId="7DF7EF1B">
      <w:pPr>
        <w:rPr>
          <w:rFonts w:eastAsia="宋体"/>
          <w:strike w:val="0"/>
          <w:dstrike w:val="0"/>
          <w:color w:val="auto"/>
          <w:highlight w:val="none"/>
        </w:rPr>
      </w:pPr>
    </w:p>
    <w:p w14:paraId="5F269AEA">
      <w:pPr>
        <w:pStyle w:val="30"/>
        <w:keepNext w:val="0"/>
        <w:keepLines w:val="0"/>
        <w:pageBreakBefore w:val="0"/>
        <w:widowControl w:val="0"/>
        <w:kinsoku/>
        <w:wordWrap/>
        <w:overflowPunct/>
        <w:topLinePunct w:val="0"/>
        <w:autoSpaceDE w:val="0"/>
        <w:autoSpaceDN w:val="0"/>
        <w:bidi w:val="0"/>
        <w:adjustRightInd w:val="0"/>
        <w:snapToGrid/>
        <w:textAlignment w:val="auto"/>
        <w:outlineLvl w:val="9"/>
        <w:rPr>
          <w:strike w:val="0"/>
          <w:dstrike w:val="0"/>
          <w:color w:val="auto"/>
          <w:highlight w:val="none"/>
        </w:rPr>
      </w:pPr>
    </w:p>
    <w:p w14:paraId="616D37A8">
      <w:pPr>
        <w:rPr>
          <w:rFonts w:eastAsia="宋体"/>
          <w:strike w:val="0"/>
          <w:dstrike w:val="0"/>
          <w:color w:val="auto"/>
          <w:highlight w:val="none"/>
        </w:rPr>
      </w:pPr>
      <w:r>
        <w:rPr>
          <w:rFonts w:eastAsia="宋体"/>
          <w:strike w:val="0"/>
          <w:dstrike w:val="0"/>
          <w:color w:val="auto"/>
          <w:highlight w:val="none"/>
        </w:rPr>
        <w:br w:type="page"/>
      </w:r>
    </w:p>
    <w:p w14:paraId="3776A261">
      <w:pPr>
        <w:pStyle w:val="3"/>
        <w:jc w:val="center"/>
        <w:rPr>
          <w:rFonts w:hint="default" w:eastAsia="宋体"/>
          <w:b w:val="0"/>
          <w:bCs w:val="0"/>
          <w:strike w:val="0"/>
          <w:dstrike w:val="0"/>
          <w:color w:val="auto"/>
          <w:sz w:val="24"/>
          <w:szCs w:val="24"/>
          <w:highlight w:val="none"/>
          <w:lang w:val="en-US"/>
        </w:rPr>
      </w:pPr>
      <w:r>
        <w:rPr>
          <w:rFonts w:hint="eastAsia" w:eastAsia="宋体"/>
          <w:strike w:val="0"/>
          <w:dstrike w:val="0"/>
          <w:color w:val="auto"/>
          <w:highlight w:val="none"/>
          <w:lang w:val="en-US" w:eastAsia="zh-CN"/>
        </w:rPr>
        <w:t>7环境风险管理</w:t>
      </w:r>
    </w:p>
    <w:p w14:paraId="701F846B">
      <w:pPr>
        <w:spacing w:line="360" w:lineRule="auto"/>
        <w:ind w:firstLine="480" w:firstLineChars="200"/>
        <w:rPr>
          <w:strike w:val="0"/>
          <w:dstrike w:val="0"/>
          <w:color w:val="auto"/>
          <w:sz w:val="24"/>
          <w:highlight w:val="none"/>
        </w:rPr>
      </w:pPr>
      <w:r>
        <w:rPr>
          <w:strike w:val="0"/>
          <w:dstrike w:val="0"/>
          <w:color w:val="auto"/>
          <w:sz w:val="24"/>
          <w:szCs w:val="32"/>
          <w:highlight w:val="none"/>
        </w:rPr>
        <w:t>根据本项目危险品的特性，风险</w:t>
      </w:r>
      <w:r>
        <w:rPr>
          <w:rFonts w:hint="eastAsia"/>
          <w:strike w:val="0"/>
          <w:dstrike w:val="0"/>
          <w:color w:val="auto"/>
          <w:sz w:val="24"/>
          <w:szCs w:val="32"/>
          <w:highlight w:val="none"/>
          <w:lang w:val="en-US" w:eastAsia="zh-CN"/>
        </w:rPr>
        <w:t>管理</w:t>
      </w:r>
      <w:r>
        <w:rPr>
          <w:strike w:val="0"/>
          <w:dstrike w:val="0"/>
          <w:color w:val="auto"/>
          <w:sz w:val="24"/>
          <w:szCs w:val="32"/>
          <w:highlight w:val="none"/>
        </w:rPr>
        <w:t>防范措施主要包括物料安全运输，卸料、存储、</w:t>
      </w:r>
      <w:r>
        <w:rPr>
          <w:strike w:val="0"/>
          <w:dstrike w:val="0"/>
          <w:color w:val="auto"/>
          <w:sz w:val="24"/>
          <w:highlight w:val="none"/>
        </w:rPr>
        <w:t>加装操作安全，厂区防火，人员安全培训等方面。</w:t>
      </w:r>
    </w:p>
    <w:p w14:paraId="7F7E7A9C">
      <w:pPr>
        <w:spacing w:line="360" w:lineRule="auto"/>
        <w:ind w:firstLine="480" w:firstLineChars="200"/>
        <w:rPr>
          <w:strike w:val="0"/>
          <w:dstrike w:val="0"/>
          <w:color w:val="auto"/>
          <w:sz w:val="24"/>
          <w:highlight w:val="none"/>
        </w:rPr>
      </w:pPr>
      <w:r>
        <w:rPr>
          <w:strike w:val="0"/>
          <w:dstrike w:val="0"/>
          <w:color w:val="auto"/>
          <w:sz w:val="24"/>
          <w:highlight w:val="none"/>
        </w:rPr>
        <w:t>⑴本项目加气、加油均在密闭情况下进行。因此本项目的管道、设备安装后，都必须进行气密性检验。检验合格后才能投入使用。</w:t>
      </w:r>
    </w:p>
    <w:p w14:paraId="6BDA2A72">
      <w:pPr>
        <w:spacing w:line="360" w:lineRule="auto"/>
        <w:ind w:firstLine="480" w:firstLineChars="200"/>
        <w:rPr>
          <w:strike w:val="0"/>
          <w:dstrike w:val="0"/>
          <w:color w:val="auto"/>
          <w:sz w:val="24"/>
          <w:highlight w:val="none"/>
        </w:rPr>
      </w:pPr>
      <w:r>
        <w:rPr>
          <w:strike w:val="0"/>
          <w:dstrike w:val="0"/>
          <w:color w:val="auto"/>
          <w:sz w:val="24"/>
          <w:highlight w:val="none"/>
        </w:rPr>
        <w:t>⑵加油、加气等可能发生汽油、柴油、天然气泄漏的场所应按照可燃气体泄漏检测报警器，并与通风机连锁，及时通风，及时检修。</w:t>
      </w:r>
    </w:p>
    <w:p w14:paraId="240C4B7E">
      <w:pPr>
        <w:spacing w:line="360" w:lineRule="auto"/>
        <w:ind w:firstLine="480" w:firstLineChars="200"/>
        <w:rPr>
          <w:strike w:val="0"/>
          <w:dstrike w:val="0"/>
          <w:color w:val="auto"/>
          <w:sz w:val="24"/>
          <w:highlight w:val="none"/>
        </w:rPr>
      </w:pPr>
      <w:r>
        <w:rPr>
          <w:strike w:val="0"/>
          <w:dstrike w:val="0"/>
          <w:color w:val="auto"/>
          <w:sz w:val="24"/>
          <w:highlight w:val="none"/>
        </w:rPr>
        <w:t>⑶储罐应设置防火和防静电装置，一旦发生火灾可立即启动消防设施。</w:t>
      </w:r>
    </w:p>
    <w:p w14:paraId="09ECD3B5">
      <w:pPr>
        <w:spacing w:line="360" w:lineRule="auto"/>
        <w:ind w:firstLine="480" w:firstLineChars="200"/>
        <w:rPr>
          <w:strike w:val="0"/>
          <w:dstrike w:val="0"/>
          <w:color w:val="auto"/>
          <w:sz w:val="24"/>
          <w:highlight w:val="none"/>
        </w:rPr>
      </w:pPr>
      <w:r>
        <w:rPr>
          <w:strike w:val="0"/>
          <w:dstrike w:val="0"/>
          <w:color w:val="auto"/>
          <w:sz w:val="24"/>
          <w:highlight w:val="none"/>
        </w:rPr>
        <w:t>⑷加强储罐的维护和检查，防止泄漏事故发生。</w:t>
      </w:r>
    </w:p>
    <w:p w14:paraId="5169BD52">
      <w:pPr>
        <w:spacing w:line="360" w:lineRule="auto"/>
        <w:ind w:firstLine="480" w:firstLineChars="200"/>
        <w:rPr>
          <w:strike w:val="0"/>
          <w:dstrike w:val="0"/>
          <w:color w:val="auto"/>
          <w:sz w:val="24"/>
          <w:highlight w:val="none"/>
        </w:rPr>
      </w:pPr>
      <w:r>
        <w:rPr>
          <w:strike w:val="0"/>
          <w:dstrike w:val="0"/>
          <w:color w:val="auto"/>
          <w:sz w:val="24"/>
          <w:highlight w:val="none"/>
        </w:rPr>
        <w:t>⑸厂区要划定禁火区域，禁绝一切火源。</w:t>
      </w:r>
    </w:p>
    <w:p w14:paraId="18115EC8">
      <w:pPr>
        <w:spacing w:line="360" w:lineRule="auto"/>
        <w:ind w:firstLine="480" w:firstLineChars="200"/>
        <w:rPr>
          <w:strike w:val="0"/>
          <w:dstrike w:val="0"/>
          <w:color w:val="auto"/>
          <w:sz w:val="24"/>
          <w:highlight w:val="none"/>
        </w:rPr>
      </w:pPr>
      <w:r>
        <w:rPr>
          <w:strike w:val="0"/>
          <w:dstrike w:val="0"/>
          <w:color w:val="auto"/>
          <w:sz w:val="24"/>
          <w:highlight w:val="none"/>
        </w:rPr>
        <w:t>⑹对员工进行日常风险教育和培训，提高安全防范知识的宣传力度。</w:t>
      </w:r>
    </w:p>
    <w:p w14:paraId="65278F2A">
      <w:pPr>
        <w:spacing w:line="360" w:lineRule="auto"/>
        <w:ind w:firstLine="480" w:firstLineChars="200"/>
        <w:rPr>
          <w:strike w:val="0"/>
          <w:dstrike w:val="0"/>
          <w:color w:val="auto"/>
          <w:sz w:val="24"/>
          <w:highlight w:val="none"/>
        </w:rPr>
      </w:pPr>
      <w:r>
        <w:rPr>
          <w:strike w:val="0"/>
          <w:dstrike w:val="0"/>
          <w:color w:val="auto"/>
          <w:sz w:val="24"/>
          <w:highlight w:val="none"/>
        </w:rPr>
        <w:t>⑺油罐采用</w:t>
      </w:r>
      <w:r>
        <w:rPr>
          <w:rFonts w:hint="eastAsia"/>
          <w:strike w:val="0"/>
          <w:dstrike w:val="0"/>
          <w:color w:val="auto"/>
          <w:sz w:val="24"/>
          <w:highlight w:val="none"/>
          <w:lang w:val="en-US" w:eastAsia="zh-CN"/>
        </w:rPr>
        <w:t>SF</w:t>
      </w:r>
      <w:r>
        <w:rPr>
          <w:strike w:val="0"/>
          <w:dstrike w:val="0"/>
          <w:color w:val="auto"/>
          <w:sz w:val="24"/>
          <w:highlight w:val="none"/>
        </w:rPr>
        <w:t>双层油罐，埋地设置，并设置</w:t>
      </w:r>
      <w:r>
        <w:rPr>
          <w:rFonts w:hint="eastAsia"/>
          <w:strike w:val="0"/>
          <w:dstrike w:val="0"/>
          <w:color w:val="auto"/>
          <w:sz w:val="24"/>
          <w:highlight w:val="none"/>
        </w:rPr>
        <w:t>有1座</w:t>
      </w:r>
      <w:r>
        <w:rPr>
          <w:rFonts w:hint="eastAsia"/>
          <w:strike w:val="0"/>
          <w:dstrike w:val="0"/>
          <w:color w:val="auto"/>
          <w:sz w:val="24"/>
          <w:highlight w:val="none"/>
          <w:lang w:val="en-US" w:eastAsia="zh-CN"/>
        </w:rPr>
        <w:t>占地面积</w:t>
      </w:r>
      <w:r>
        <w:rPr>
          <w:rFonts w:hint="eastAsia"/>
          <w:strike w:val="0"/>
          <w:dstrike w:val="0"/>
          <w:color w:val="auto"/>
          <w:sz w:val="24"/>
          <w:highlight w:val="none"/>
        </w:rPr>
        <w:t>120m</w:t>
      </w:r>
      <w:bookmarkStart w:id="192" w:name="OfficeAI_Del_7_31"/>
      <w:r>
        <w:rPr>
          <w:rStyle w:val="29"/>
          <w:rFonts w:hint="eastAsia"/>
          <w:strike/>
          <w:dstrike w:val="0"/>
          <w:color w:val="auto"/>
          <w:kern w:val="0"/>
          <w:szCs w:val="20"/>
          <w:highlight w:val="none"/>
          <w:vertAlign w:val="superscript"/>
          <w:lang w:val="en-US" w:eastAsia="zh-CN"/>
        </w:rPr>
        <w:t>2</w:t>
      </w:r>
      <w:bookmarkEnd w:id="192"/>
      <w:bookmarkStart w:id="193" w:name="OfficeAI_Add_7_32"/>
      <w:r>
        <w:rPr>
          <w:rStyle w:val="29"/>
          <w:rFonts w:hint="eastAsia"/>
          <w:strike w:val="0"/>
          <w:dstrike w:val="0"/>
          <w:color w:val="auto"/>
          <w:kern w:val="0"/>
          <w:szCs w:val="20"/>
          <w:highlight w:val="none"/>
          <w:vertAlign w:val="superscript"/>
          <w:lang w:val="en-US" w:eastAsia="zh-CN"/>
        </w:rPr>
        <w:t>²</w:t>
      </w:r>
      <w:bookmarkEnd w:id="193"/>
      <w:r>
        <w:rPr>
          <w:rFonts w:hint="eastAsia"/>
          <w:strike w:val="0"/>
          <w:dstrike w:val="0"/>
          <w:color w:val="auto"/>
          <w:sz w:val="24"/>
          <w:highlight w:val="none"/>
          <w:lang w:val="en-US" w:eastAsia="zh-CN"/>
        </w:rPr>
        <w:t>的</w:t>
      </w:r>
      <w:r>
        <w:rPr>
          <w:rFonts w:hint="eastAsia"/>
          <w:strike w:val="0"/>
          <w:dstrike w:val="0"/>
          <w:color w:val="auto"/>
          <w:sz w:val="24"/>
          <w:highlight w:val="none"/>
        </w:rPr>
        <w:t>地下</w:t>
      </w:r>
      <w:r>
        <w:rPr>
          <w:strike w:val="0"/>
          <w:dstrike w:val="0"/>
          <w:color w:val="auto"/>
          <w:sz w:val="24"/>
          <w:highlight w:val="none"/>
        </w:rPr>
        <w:t>防渗罐池，其</w:t>
      </w:r>
      <w:r>
        <w:rPr>
          <w:rFonts w:hint="eastAsia"/>
          <w:strike w:val="0"/>
          <w:dstrike w:val="0"/>
          <w:color w:val="auto"/>
          <w:sz w:val="24"/>
          <w:highlight w:val="none"/>
          <w:lang w:val="en-US" w:eastAsia="zh-CN"/>
        </w:rPr>
        <w:t>结构</w:t>
      </w:r>
      <w:r>
        <w:rPr>
          <w:strike w:val="0"/>
          <w:dstrike w:val="0"/>
          <w:color w:val="auto"/>
          <w:sz w:val="24"/>
          <w:highlight w:val="none"/>
        </w:rPr>
        <w:t>设计应符合《汽车加油加气加氢站技术标准》（</w:t>
      </w:r>
      <w:r>
        <w:rPr>
          <w:rFonts w:eastAsia="TimesNewRomanPSMT"/>
          <w:strike w:val="0"/>
          <w:dstrike w:val="0"/>
          <w:color w:val="auto"/>
          <w:sz w:val="24"/>
          <w:highlight w:val="none"/>
        </w:rPr>
        <w:t>GB50156-2021</w:t>
      </w:r>
      <w:r>
        <w:rPr>
          <w:strike w:val="0"/>
          <w:dstrike w:val="0"/>
          <w:color w:val="auto"/>
          <w:sz w:val="24"/>
          <w:highlight w:val="none"/>
        </w:rPr>
        <w:t>）中相关规定。一旦发生泄漏，油品暂存在防渗罐池内。油罐的液位自动监测系统，应具有油罐渗漏的监测功能和高液位报警功能。油罐底部设置漏油监测装置。储罐下方的地面做防渗处理。加油机底部设接油盘，收集加油后油枪滴漏的少量油品。加油区四周设置</w:t>
      </w:r>
      <w:r>
        <w:rPr>
          <w:rFonts w:hint="eastAsia"/>
          <w:strike w:val="0"/>
          <w:dstrike w:val="0"/>
          <w:color w:val="auto"/>
          <w:sz w:val="24"/>
          <w:highlight w:val="none"/>
        </w:rPr>
        <w:t>截流沟</w:t>
      </w:r>
      <w:r>
        <w:rPr>
          <w:strike w:val="0"/>
          <w:dstrike w:val="0"/>
          <w:color w:val="auto"/>
          <w:sz w:val="24"/>
          <w:highlight w:val="none"/>
        </w:rPr>
        <w:t>，收集场地冲洗废水，</w:t>
      </w:r>
      <w:r>
        <w:rPr>
          <w:rFonts w:hint="eastAsia"/>
          <w:strike w:val="0"/>
          <w:dstrike w:val="0"/>
          <w:color w:val="auto"/>
          <w:sz w:val="24"/>
          <w:highlight w:val="none"/>
        </w:rPr>
        <w:t>截流沟</w:t>
      </w:r>
      <w:r>
        <w:rPr>
          <w:strike w:val="0"/>
          <w:dstrike w:val="0"/>
          <w:color w:val="auto"/>
          <w:sz w:val="24"/>
          <w:highlight w:val="none"/>
        </w:rPr>
        <w:t>采用混凝土防渗。</w:t>
      </w:r>
    </w:p>
    <w:p w14:paraId="73914234">
      <w:pPr>
        <w:pStyle w:val="30"/>
        <w:spacing w:line="360" w:lineRule="auto"/>
        <w:ind w:firstLine="480" w:firstLineChars="200"/>
        <w:jc w:val="both"/>
        <w:outlineLvl w:val="9"/>
        <w:rPr>
          <w:rFonts w:ascii="Times New Roman"/>
          <w:b w:val="0"/>
          <w:strike w:val="0"/>
          <w:dstrike w:val="0"/>
          <w:color w:val="auto"/>
          <w:highlight w:val="none"/>
        </w:rPr>
      </w:pPr>
      <w:r>
        <w:rPr>
          <w:rFonts w:ascii="Times New Roman"/>
          <w:b w:val="0"/>
          <w:strike w:val="0"/>
          <w:dstrike w:val="0"/>
          <w:color w:val="auto"/>
          <w:highlight w:val="none"/>
        </w:rPr>
        <w:t>⑻储气罐采用LNG卧式撬装储罐，内罐与外罐之间应设绝热层，绝热层应与LNG和天然气相适应，并应为不燃材料。外罐外部着火时，绝热层的绝热性能不应明显降低。LNG橇装设备的主箱体内侧应设拦蓄池，拦蓄池内的有效容量不应小于LNG储罐的容量。其</w:t>
      </w:r>
      <w:bookmarkStart w:id="194" w:name="OfficeAI_Add_8_119"/>
      <w:r>
        <w:rPr>
          <w:rFonts w:hint="eastAsia" w:ascii="Times New Roman"/>
          <w:b w:val="0"/>
          <w:strike w:val="0"/>
          <w:dstrike w:val="0"/>
          <w:color w:val="auto"/>
          <w:highlight w:val="none"/>
          <w:lang w:eastAsia="zh-CN"/>
        </w:rPr>
        <w:t>结</w:t>
      </w:r>
      <w:bookmarkEnd w:id="194"/>
      <w:r>
        <w:rPr>
          <w:rFonts w:ascii="Times New Roman"/>
          <w:b w:val="0"/>
          <w:strike w:val="0"/>
          <w:dstrike w:val="0"/>
          <w:color w:val="auto"/>
          <w:highlight w:val="none"/>
        </w:rPr>
        <w:t>构设计应符合《汽车加油加气加氢站技术标准》（</w:t>
      </w:r>
      <w:r>
        <w:rPr>
          <w:rFonts w:ascii="Times New Roman" w:eastAsia="TimesNewRomanPSMT"/>
          <w:b w:val="0"/>
          <w:strike w:val="0"/>
          <w:dstrike w:val="0"/>
          <w:color w:val="auto"/>
          <w:highlight w:val="none"/>
        </w:rPr>
        <w:t>GB50156-2021</w:t>
      </w:r>
      <w:r>
        <w:rPr>
          <w:rFonts w:ascii="Times New Roman"/>
          <w:b w:val="0"/>
          <w:strike w:val="0"/>
          <w:dstrike w:val="0"/>
          <w:color w:val="auto"/>
          <w:highlight w:val="none"/>
        </w:rPr>
        <w:t>）中相关规定。LNG储罐应设置液位计和高液位报警器，高液位报警器应与进液管道紧急切断阀联锁；LNG储罐最高液位以上部位应设置压力表；在内罐与外罐之间应设置检测环形空间绝对压力的仪器或检测接口；液位计、压力表应能就地指示，并应将检测信号传送至控制室集中显示。</w:t>
      </w:r>
    </w:p>
    <w:p w14:paraId="3DB1A4C5">
      <w:pPr>
        <w:pStyle w:val="30"/>
        <w:spacing w:line="360" w:lineRule="auto"/>
        <w:ind w:firstLine="480" w:firstLineChars="200"/>
        <w:jc w:val="both"/>
        <w:outlineLvl w:val="9"/>
        <w:rPr>
          <w:rFonts w:ascii="Times New Roman"/>
          <w:b w:val="0"/>
          <w:strike w:val="0"/>
          <w:dstrike w:val="0"/>
          <w:color w:val="auto"/>
          <w:highlight w:val="none"/>
        </w:rPr>
      </w:pPr>
      <w:r>
        <w:rPr>
          <w:rFonts w:ascii="Times New Roman"/>
          <w:b w:val="0"/>
          <w:strike w:val="0"/>
          <w:dstrike w:val="0"/>
          <w:color w:val="auto"/>
          <w:highlight w:val="none"/>
        </w:rPr>
        <w:fldChar w:fldCharType="begin"/>
      </w:r>
      <w:r>
        <w:rPr>
          <w:rFonts w:ascii="Times New Roman"/>
          <w:b w:val="0"/>
          <w:strike w:val="0"/>
          <w:dstrike w:val="0"/>
          <w:color w:val="auto"/>
          <w:highlight w:val="none"/>
        </w:rPr>
        <w:instrText xml:space="preserve"> = 9 \* GB2 \* MERGEFORMAT </w:instrText>
      </w:r>
      <w:r>
        <w:rPr>
          <w:rFonts w:ascii="Times New Roman"/>
          <w:b w:val="0"/>
          <w:strike w:val="0"/>
          <w:dstrike w:val="0"/>
          <w:color w:val="auto"/>
          <w:highlight w:val="none"/>
        </w:rPr>
        <w:fldChar w:fldCharType="separate"/>
      </w:r>
      <w:r>
        <w:rPr>
          <w:rFonts w:ascii="Times New Roman"/>
          <w:b w:val="0"/>
          <w:strike w:val="0"/>
          <w:dstrike w:val="0"/>
          <w:color w:val="auto"/>
          <w:highlight w:val="none"/>
        </w:rPr>
        <w:t>⑼</w:t>
      </w:r>
      <w:r>
        <w:rPr>
          <w:rFonts w:ascii="Times New Roman"/>
          <w:b w:val="0"/>
          <w:strike w:val="0"/>
          <w:dstrike w:val="0"/>
          <w:color w:val="auto"/>
          <w:highlight w:val="none"/>
        </w:rPr>
        <w:fldChar w:fldCharType="end"/>
      </w:r>
      <w:r>
        <w:rPr>
          <w:rFonts w:ascii="Times New Roman"/>
          <w:b w:val="0"/>
          <w:strike w:val="0"/>
          <w:dstrike w:val="0"/>
          <w:color w:val="auto"/>
          <w:highlight w:val="none"/>
        </w:rPr>
        <w:t>站区配置有消防沙池、手推式灭火器、灭火毯等应急物资。</w:t>
      </w:r>
    </w:p>
    <w:p w14:paraId="66F26058">
      <w:pPr>
        <w:spacing w:line="360" w:lineRule="auto"/>
        <w:ind w:firstLine="480" w:firstLineChars="200"/>
        <w:rPr>
          <w:strike w:val="0"/>
          <w:dstrike w:val="0"/>
          <w:color w:val="auto"/>
          <w:sz w:val="24"/>
          <w:highlight w:val="none"/>
        </w:rPr>
      </w:pPr>
      <w:r>
        <w:rPr>
          <w:strike w:val="0"/>
          <w:dstrike w:val="0"/>
          <w:color w:val="auto"/>
          <w:sz w:val="24"/>
          <w:highlight w:val="none"/>
        </w:rPr>
        <w:fldChar w:fldCharType="begin"/>
      </w:r>
      <w:r>
        <w:rPr>
          <w:strike w:val="0"/>
          <w:dstrike w:val="0"/>
          <w:color w:val="auto"/>
          <w:sz w:val="24"/>
          <w:highlight w:val="none"/>
        </w:rPr>
        <w:instrText xml:space="preserve"> = 10 \* GB2 \* MERGEFORMAT </w:instrText>
      </w:r>
      <w:r>
        <w:rPr>
          <w:strike w:val="0"/>
          <w:dstrike w:val="0"/>
          <w:color w:val="auto"/>
          <w:sz w:val="24"/>
          <w:highlight w:val="none"/>
        </w:rPr>
        <w:fldChar w:fldCharType="separate"/>
      </w:r>
      <w:r>
        <w:rPr>
          <w:strike w:val="0"/>
          <w:dstrike w:val="0"/>
          <w:color w:val="auto"/>
          <w:sz w:val="24"/>
          <w:highlight w:val="none"/>
        </w:rPr>
        <w:t>⑽</w:t>
      </w:r>
      <w:r>
        <w:rPr>
          <w:strike w:val="0"/>
          <w:dstrike w:val="0"/>
          <w:color w:val="auto"/>
          <w:sz w:val="24"/>
          <w:highlight w:val="none"/>
        </w:rPr>
        <w:fldChar w:fldCharType="end"/>
      </w:r>
      <w:r>
        <w:rPr>
          <w:strike w:val="0"/>
          <w:dstrike w:val="0"/>
          <w:color w:val="auto"/>
          <w:sz w:val="24"/>
          <w:highlight w:val="none"/>
        </w:rPr>
        <w:t>罩棚区域内地面及</w:t>
      </w:r>
      <w:r>
        <w:rPr>
          <w:rFonts w:hint="eastAsia"/>
          <w:strike w:val="0"/>
          <w:dstrike w:val="0"/>
          <w:color w:val="auto"/>
          <w:sz w:val="24"/>
          <w:highlight w:val="none"/>
          <w:lang w:eastAsia="zh-CN"/>
        </w:rPr>
        <w:t>储油罐区</w:t>
      </w:r>
      <w:r>
        <w:rPr>
          <w:strike w:val="0"/>
          <w:dstrike w:val="0"/>
          <w:color w:val="auto"/>
          <w:sz w:val="24"/>
          <w:highlight w:val="none"/>
        </w:rPr>
        <w:t>池体内、加油区、卸油区、储气罐区、</w:t>
      </w:r>
      <w:r>
        <w:rPr>
          <w:rFonts w:hint="eastAsia"/>
          <w:strike w:val="0"/>
          <w:dstrike w:val="0"/>
          <w:color w:val="auto"/>
          <w:sz w:val="24"/>
          <w:highlight w:val="none"/>
        </w:rPr>
        <w:t>危废贮存点</w:t>
      </w:r>
      <w:r>
        <w:rPr>
          <w:strike w:val="0"/>
          <w:dstrike w:val="0"/>
          <w:color w:val="auto"/>
          <w:sz w:val="24"/>
          <w:highlight w:val="none"/>
        </w:rPr>
        <w:t>、隔油池防渗结构的防渗效果应满足《环境影响评价技术导则地下水环境》（</w:t>
      </w:r>
      <w:r>
        <w:rPr>
          <w:rFonts w:eastAsia="TimesNewRomanPSMT"/>
          <w:strike w:val="0"/>
          <w:dstrike w:val="0"/>
          <w:color w:val="auto"/>
          <w:sz w:val="24"/>
          <w:highlight w:val="none"/>
        </w:rPr>
        <w:t>HJ610</w:t>
      </w:r>
      <w:bookmarkStart w:id="195" w:name="OfficeAI_Del_10_105"/>
      <w:r>
        <w:rPr>
          <w:rFonts w:eastAsia="TimesNewRomanPSMT"/>
          <w:strike w:val="0"/>
          <w:dstrike w:val="0"/>
          <w:color w:val="auto"/>
          <w:sz w:val="24"/>
          <w:highlight w:val="none"/>
        </w:rPr>
        <w:t>-2</w:t>
      </w:r>
      <w:bookmarkEnd w:id="195"/>
      <w:bookmarkStart w:id="196" w:name="OfficeAI_Add_10_107"/>
      <w:r>
        <w:rPr>
          <w:rFonts w:eastAsia="TimesNewRomanPSMT"/>
          <w:strike w:val="0"/>
          <w:dstrike w:val="0"/>
          <w:color w:val="auto"/>
          <w:sz w:val="24"/>
          <w:highlight w:val="none"/>
        </w:rPr>
        <w:t>01</w:t>
      </w:r>
      <w:bookmarkEnd w:id="196"/>
      <w:r>
        <w:rPr>
          <w:rFonts w:eastAsia="TimesNewRomanPSMT"/>
          <w:strike w:val="0"/>
          <w:dstrike w:val="0"/>
          <w:color w:val="auto"/>
          <w:sz w:val="24"/>
          <w:highlight w:val="none"/>
        </w:rPr>
        <w:t>6</w:t>
      </w:r>
      <w:r>
        <w:rPr>
          <w:strike w:val="0"/>
          <w:dstrike w:val="0"/>
          <w:color w:val="auto"/>
          <w:sz w:val="24"/>
          <w:highlight w:val="none"/>
        </w:rPr>
        <w:t>）中等效黏土防渗层厚度≥</w:t>
      </w:r>
      <w:r>
        <w:rPr>
          <w:rFonts w:eastAsia="TimesNewRomanPSMT"/>
          <w:strike w:val="0"/>
          <w:dstrike w:val="0"/>
          <w:color w:val="auto"/>
          <w:sz w:val="24"/>
          <w:highlight w:val="none"/>
        </w:rPr>
        <w:t>6.0m</w:t>
      </w:r>
      <w:r>
        <w:rPr>
          <w:strike w:val="0"/>
          <w:dstrike w:val="0"/>
          <w:color w:val="auto"/>
          <w:sz w:val="24"/>
          <w:highlight w:val="none"/>
        </w:rPr>
        <w:t>，渗透系数≤</w:t>
      </w:r>
      <w:r>
        <w:rPr>
          <w:rFonts w:eastAsia="TimesNewRomanPSMT"/>
          <w:strike w:val="0"/>
          <w:dstrike w:val="0"/>
          <w:color w:val="auto"/>
          <w:sz w:val="24"/>
          <w:highlight w:val="none"/>
        </w:rPr>
        <w:t>1</w:t>
      </w:r>
      <w:r>
        <w:rPr>
          <w:strike w:val="0"/>
          <w:dstrike w:val="0"/>
          <w:color w:val="auto"/>
          <w:sz w:val="24"/>
          <w:highlight w:val="none"/>
        </w:rPr>
        <w:t>×</w:t>
      </w:r>
      <w:r>
        <w:rPr>
          <w:rFonts w:eastAsia="TimesNewRomanPSMT"/>
          <w:strike w:val="0"/>
          <w:dstrike w:val="0"/>
          <w:color w:val="auto"/>
          <w:sz w:val="24"/>
          <w:highlight w:val="none"/>
        </w:rPr>
        <w:t>10</w:t>
      </w:r>
      <w:r>
        <w:rPr>
          <w:strike w:val="0"/>
          <w:dstrike w:val="0"/>
          <w:color w:val="auto"/>
          <w:sz w:val="24"/>
          <w:highlight w:val="none"/>
          <w:vertAlign w:val="superscript"/>
        </w:rPr>
        <w:t>-7</w:t>
      </w:r>
      <w:r>
        <w:rPr>
          <w:rFonts w:eastAsia="TimesNewRomanPSMT"/>
          <w:strike w:val="0"/>
          <w:dstrike w:val="0"/>
          <w:color w:val="auto"/>
          <w:sz w:val="24"/>
          <w:highlight w:val="none"/>
        </w:rPr>
        <w:t xml:space="preserve">cm/s </w:t>
      </w:r>
      <w:r>
        <w:rPr>
          <w:strike w:val="0"/>
          <w:dstrike w:val="0"/>
          <w:color w:val="auto"/>
          <w:sz w:val="24"/>
          <w:highlight w:val="none"/>
        </w:rPr>
        <w:t>的要求。</w:t>
      </w:r>
    </w:p>
    <w:p w14:paraId="53ECD4CC">
      <w:pPr>
        <w:spacing w:line="360" w:lineRule="auto"/>
        <w:ind w:firstLine="480" w:firstLineChars="200"/>
        <w:rPr>
          <w:strike w:val="0"/>
          <w:dstrike w:val="0"/>
          <w:color w:val="auto"/>
          <w:sz w:val="24"/>
          <w:highlight w:val="none"/>
        </w:rPr>
      </w:pPr>
      <w:r>
        <w:rPr>
          <w:strike w:val="0"/>
          <w:dstrike w:val="0"/>
          <w:color w:val="auto"/>
          <w:sz w:val="24"/>
          <w:highlight w:val="none"/>
        </w:rPr>
        <w:fldChar w:fldCharType="begin"/>
      </w:r>
      <w:r>
        <w:rPr>
          <w:strike w:val="0"/>
          <w:dstrike w:val="0"/>
          <w:color w:val="auto"/>
          <w:sz w:val="24"/>
          <w:highlight w:val="none"/>
        </w:rPr>
        <w:instrText xml:space="preserve"> = 11 \* GB2 \* MERGEFORMAT </w:instrText>
      </w:r>
      <w:r>
        <w:rPr>
          <w:strike w:val="0"/>
          <w:dstrike w:val="0"/>
          <w:color w:val="auto"/>
          <w:sz w:val="24"/>
          <w:highlight w:val="none"/>
        </w:rPr>
        <w:fldChar w:fldCharType="separate"/>
      </w:r>
      <w:r>
        <w:rPr>
          <w:strike w:val="0"/>
          <w:dstrike w:val="0"/>
          <w:color w:val="auto"/>
          <w:sz w:val="24"/>
          <w:highlight w:val="none"/>
        </w:rPr>
        <w:t>⑾</w:t>
      </w:r>
      <w:r>
        <w:rPr>
          <w:strike w:val="0"/>
          <w:dstrike w:val="0"/>
          <w:color w:val="auto"/>
          <w:sz w:val="24"/>
          <w:highlight w:val="none"/>
        </w:rPr>
        <w:fldChar w:fldCharType="end"/>
      </w:r>
      <w:r>
        <w:rPr>
          <w:strike w:val="0"/>
          <w:dstrike w:val="0"/>
          <w:color w:val="auto"/>
          <w:sz w:val="24"/>
          <w:highlight w:val="none"/>
        </w:rPr>
        <w:t>在LNG储罐的周围设置拦蓄区，拦蓄区的作用是在发生泄漏时，为防止流体流淌蔓延，将流体限制在一定区域内。本项目围堰堤顶高出地面0.7m，池底低于围堰外地平约3.84m。并在拦蓄区内设置集液池一座，以便收集泄漏的LNG、油或雨水，集液池内安装防爆潜污泵，当发生LNG、油泄漏时，潜水泵不工作，当需要排雨水时，启动潜水泵将雨水排入拦蓄区外的排水系统。集液池尺寸为1.6m×0.8m×1.0m。</w:t>
      </w:r>
    </w:p>
    <w:p w14:paraId="76EE49B5">
      <w:pPr>
        <w:spacing w:line="360" w:lineRule="auto"/>
        <w:ind w:firstLine="480" w:firstLineChars="200"/>
        <w:rPr>
          <w:strike w:val="0"/>
          <w:dstrike w:val="0"/>
          <w:color w:val="auto"/>
          <w:sz w:val="24"/>
          <w:highlight w:val="none"/>
        </w:rPr>
      </w:pPr>
      <w:r>
        <w:rPr>
          <w:strike w:val="0"/>
          <w:dstrike w:val="0"/>
          <w:color w:val="auto"/>
          <w:sz w:val="24"/>
          <w:highlight w:val="none"/>
        </w:rPr>
        <w:fldChar w:fldCharType="begin"/>
      </w:r>
      <w:r>
        <w:rPr>
          <w:strike w:val="0"/>
          <w:dstrike w:val="0"/>
          <w:color w:val="auto"/>
          <w:sz w:val="24"/>
          <w:highlight w:val="none"/>
        </w:rPr>
        <w:instrText xml:space="preserve"> = 12 \* GB2 \* MERGEFORMAT </w:instrText>
      </w:r>
      <w:r>
        <w:rPr>
          <w:strike w:val="0"/>
          <w:dstrike w:val="0"/>
          <w:color w:val="auto"/>
          <w:sz w:val="24"/>
          <w:highlight w:val="none"/>
        </w:rPr>
        <w:fldChar w:fldCharType="separate"/>
      </w:r>
      <w:r>
        <w:rPr>
          <w:strike w:val="0"/>
          <w:dstrike w:val="0"/>
          <w:color w:val="auto"/>
          <w:sz w:val="24"/>
          <w:highlight w:val="none"/>
        </w:rPr>
        <w:t>⑿</w:t>
      </w:r>
      <w:r>
        <w:rPr>
          <w:strike w:val="0"/>
          <w:dstrike w:val="0"/>
          <w:color w:val="auto"/>
          <w:sz w:val="24"/>
          <w:highlight w:val="none"/>
        </w:rPr>
        <w:fldChar w:fldCharType="end"/>
      </w:r>
      <w:r>
        <w:rPr>
          <w:strike w:val="0"/>
          <w:dstrike w:val="0"/>
          <w:color w:val="auto"/>
          <w:sz w:val="24"/>
          <w:highlight w:val="none"/>
        </w:rPr>
        <w:t>突发事件应急预案：应建立由主要负责人牵头，相关部门负责人参加的应急事故处理指挥部，一旦事故发生，该机构能够根据事故的严重程度及危害迅速作出评估，按照拟定的事故应急方案指挥，协调事故的处理，对事故发展进行跟踪。</w:t>
      </w:r>
    </w:p>
    <w:p w14:paraId="61DF54FD">
      <w:pPr>
        <w:spacing w:line="360" w:lineRule="auto"/>
        <w:ind w:firstLine="480" w:firstLineChars="200"/>
        <w:rPr>
          <w:strike w:val="0"/>
          <w:dstrike w:val="0"/>
          <w:color w:val="auto"/>
          <w:sz w:val="24"/>
          <w:highlight w:val="none"/>
        </w:rPr>
      </w:pPr>
      <w:r>
        <w:rPr>
          <w:strike w:val="0"/>
          <w:dstrike w:val="0"/>
          <w:color w:val="auto"/>
          <w:sz w:val="24"/>
          <w:highlight w:val="none"/>
        </w:rPr>
        <w:fldChar w:fldCharType="begin"/>
      </w:r>
      <w:r>
        <w:rPr>
          <w:strike w:val="0"/>
          <w:dstrike w:val="0"/>
          <w:color w:val="auto"/>
          <w:sz w:val="24"/>
          <w:highlight w:val="none"/>
        </w:rPr>
        <w:instrText xml:space="preserve"> = 13 \* GB2 \* MERGEFORMAT </w:instrText>
      </w:r>
      <w:r>
        <w:rPr>
          <w:strike w:val="0"/>
          <w:dstrike w:val="0"/>
          <w:color w:val="auto"/>
          <w:sz w:val="24"/>
          <w:highlight w:val="none"/>
        </w:rPr>
        <w:fldChar w:fldCharType="separate"/>
      </w:r>
      <w:r>
        <w:rPr>
          <w:strike w:val="0"/>
          <w:dstrike w:val="0"/>
          <w:color w:val="auto"/>
          <w:sz w:val="24"/>
          <w:highlight w:val="none"/>
        </w:rPr>
        <w:t>⒀</w:t>
      </w:r>
      <w:r>
        <w:rPr>
          <w:strike w:val="0"/>
          <w:dstrike w:val="0"/>
          <w:color w:val="auto"/>
          <w:sz w:val="24"/>
          <w:highlight w:val="none"/>
        </w:rPr>
        <w:fldChar w:fldCharType="end"/>
      </w:r>
      <w:r>
        <w:rPr>
          <w:strike w:val="0"/>
          <w:dstrike w:val="0"/>
          <w:color w:val="auto"/>
          <w:sz w:val="24"/>
          <w:highlight w:val="none"/>
        </w:rPr>
        <w:t>废水治理系统事故预防措施：</w:t>
      </w:r>
    </w:p>
    <w:p w14:paraId="28CF675E">
      <w:pPr>
        <w:spacing w:line="360" w:lineRule="auto"/>
        <w:ind w:firstLine="480" w:firstLineChars="200"/>
        <w:rPr>
          <w:strike w:val="0"/>
          <w:dstrike w:val="0"/>
          <w:color w:val="auto"/>
          <w:sz w:val="24"/>
          <w:highlight w:val="none"/>
        </w:rPr>
      </w:pPr>
      <w:r>
        <w:rPr>
          <w:strike w:val="0"/>
          <w:dstrike w:val="0"/>
          <w:color w:val="auto"/>
          <w:sz w:val="24"/>
          <w:highlight w:val="none"/>
        </w:rPr>
        <w:t>废水治理设施在设计、施工时，应严格按照工程设计规范要求进行，选用标准管材，并做必要的防腐处理。加强治理设施的运行管理和日常维护，发现异常应及时找出原因及时维修。</w:t>
      </w:r>
    </w:p>
    <w:p w14:paraId="5FF9FF41">
      <w:pPr>
        <w:spacing w:line="360" w:lineRule="auto"/>
        <w:ind w:firstLine="480" w:firstLineChars="200"/>
        <w:rPr>
          <w:strike w:val="0"/>
          <w:dstrike w:val="0"/>
          <w:color w:val="auto"/>
          <w:sz w:val="24"/>
          <w:highlight w:val="none"/>
        </w:rPr>
      </w:pPr>
      <w:r>
        <w:rPr>
          <w:strike w:val="0"/>
          <w:dstrike w:val="0"/>
          <w:color w:val="auto"/>
          <w:sz w:val="24"/>
          <w:highlight w:val="none"/>
        </w:rPr>
        <w:t>企业应通过建立三级防控体系，关口前移，降低末端风险控制压力，系统提升水环境风险的保障水平，从根本上保障环境安全，实现事故状态下对水环境风险的有效控制，防止生产过程和突发性事故产生的污染物进入企业外水域，造成水体环境污染事故。</w:t>
      </w:r>
    </w:p>
    <w:p w14:paraId="7B579C71">
      <w:pPr>
        <w:spacing w:line="360" w:lineRule="auto"/>
        <w:ind w:firstLine="480" w:firstLineChars="200"/>
        <w:rPr>
          <w:strike w:val="0"/>
          <w:dstrike w:val="0"/>
          <w:color w:val="auto"/>
          <w:sz w:val="24"/>
          <w:highlight w:val="none"/>
        </w:rPr>
      </w:pPr>
      <w:r>
        <w:rPr>
          <w:strike w:val="0"/>
          <w:dstrike w:val="0"/>
          <w:color w:val="auto"/>
          <w:sz w:val="24"/>
          <w:highlight w:val="none"/>
        </w:rPr>
        <w:t>三级防控主要指源头、过程、末端三个环节的环境风险控制措施体系。针对项目生产原料及产品的特点，在装置、罐区周围建围堰、围堤作为一级预防控制措施，防止污染雨水和轻微事故泄漏造成的环境污染事故。在公司排水系统建事故缓冲池作为二级预防控制措施，切断污染物与外部的通道，使污染物导入污水处理系统，将污染控制在厂内，防止较大生产事故泄漏物料和污染消防水、污染雨水和事故泄漏造成的环境污染事故。项目废水进污水处理厂集中处理，不直接进入水域，因此，由污水处理厂进入水域前终端事故池作为事故状态下储存与调控手段的三级预防控制措施，防止重大生产事故泄漏物料和污染消防水造成的环境污染。</w:t>
      </w:r>
    </w:p>
    <w:p w14:paraId="36A793EC">
      <w:pPr>
        <w:spacing w:line="360" w:lineRule="auto"/>
        <w:ind w:firstLine="480" w:firstLineChars="200"/>
        <w:rPr>
          <w:strike w:val="0"/>
          <w:dstrike w:val="0"/>
          <w:color w:val="auto"/>
          <w:sz w:val="24"/>
          <w:szCs w:val="32"/>
          <w:highlight w:val="none"/>
        </w:rPr>
      </w:pPr>
      <w:r>
        <w:rPr>
          <w:strike w:val="0"/>
          <w:dstrike w:val="0"/>
          <w:color w:val="auto"/>
          <w:sz w:val="24"/>
          <w:highlight w:val="none"/>
        </w:rPr>
        <w:t>根据工程布局特点，本项目建设</w:t>
      </w:r>
      <w:r>
        <w:rPr>
          <w:rFonts w:hint="eastAsia"/>
          <w:strike w:val="0"/>
          <w:dstrike w:val="0"/>
          <w:color w:val="auto"/>
          <w:sz w:val="24"/>
          <w:highlight w:val="none"/>
          <w:lang w:val="en-US" w:eastAsia="zh-CN"/>
        </w:rPr>
        <w:t>有拦蓄区和集液池</w:t>
      </w:r>
      <w:r>
        <w:rPr>
          <w:strike w:val="0"/>
          <w:dstrike w:val="0"/>
          <w:color w:val="auto"/>
          <w:sz w:val="24"/>
          <w:highlight w:val="none"/>
        </w:rPr>
        <w:t>，</w:t>
      </w:r>
      <w:r>
        <w:rPr>
          <w:rFonts w:hint="eastAsia"/>
          <w:strike w:val="0"/>
          <w:dstrike w:val="0"/>
          <w:color w:val="auto"/>
          <w:kern w:val="0"/>
          <w:sz w:val="24"/>
          <w:highlight w:val="none"/>
        </w:rPr>
        <w:t>拦蓄区容积约65</w:t>
      </w:r>
      <w:r>
        <w:rPr>
          <w:strike w:val="0"/>
          <w:dstrike w:val="0"/>
          <w:color w:val="auto"/>
          <w:kern w:val="0"/>
          <w:sz w:val="24"/>
          <w:highlight w:val="none"/>
        </w:rPr>
        <w:t>m</w:t>
      </w:r>
      <w:bookmarkStart w:id="197" w:name="OfficeAI_Del_17_32"/>
      <w:r>
        <w:rPr>
          <w:strike w:val="0"/>
          <w:dstrike w:val="0"/>
          <w:color w:val="auto"/>
          <w:kern w:val="0"/>
          <w:sz w:val="24"/>
          <w:highlight w:val="none"/>
          <w:vertAlign w:val="superscript"/>
        </w:rPr>
        <w:t>3</w:t>
      </w:r>
      <w:bookmarkEnd w:id="197"/>
      <w:r>
        <w:rPr>
          <w:rFonts w:hint="eastAsia"/>
          <w:strike w:val="0"/>
          <w:dstrike w:val="0"/>
          <w:color w:val="auto"/>
          <w:kern w:val="0"/>
          <w:sz w:val="24"/>
          <w:highlight w:val="none"/>
        </w:rPr>
        <w:t>，集液池容积1.28</w:t>
      </w:r>
      <w:r>
        <w:rPr>
          <w:strike w:val="0"/>
          <w:dstrike w:val="0"/>
          <w:color w:val="auto"/>
          <w:kern w:val="0"/>
          <w:sz w:val="24"/>
          <w:highlight w:val="none"/>
        </w:rPr>
        <w:t>m</w:t>
      </w:r>
      <w:bookmarkStart w:id="198" w:name="OfficeAI_Del_17_45"/>
      <w:r>
        <w:rPr>
          <w:strike w:val="0"/>
          <w:dstrike w:val="0"/>
          <w:color w:val="auto"/>
          <w:kern w:val="0"/>
          <w:sz w:val="24"/>
          <w:highlight w:val="none"/>
          <w:vertAlign w:val="superscript"/>
        </w:rPr>
        <w:t>3</w:t>
      </w:r>
      <w:bookmarkEnd w:id="198"/>
      <w:r>
        <w:rPr>
          <w:rFonts w:hAnsi="宋体"/>
          <w:strike w:val="0"/>
          <w:dstrike w:val="0"/>
          <w:color w:val="auto"/>
          <w:kern w:val="0"/>
          <w:sz w:val="24"/>
          <w:highlight w:val="none"/>
        </w:rPr>
        <w:t>。</w:t>
      </w:r>
      <w:r>
        <w:rPr>
          <w:strike w:val="0"/>
          <w:dstrike w:val="0"/>
          <w:color w:val="auto"/>
          <w:sz w:val="24"/>
          <w:szCs w:val="32"/>
          <w:highlight w:val="none"/>
        </w:rPr>
        <w:t>事故发生后应立即关闭雨排水阀门，事故废水全部</w:t>
      </w:r>
      <w:r>
        <w:rPr>
          <w:rFonts w:hint="eastAsia"/>
          <w:strike w:val="0"/>
          <w:dstrike w:val="0"/>
          <w:color w:val="auto"/>
          <w:sz w:val="24"/>
          <w:szCs w:val="32"/>
          <w:highlight w:val="none"/>
          <w:lang w:val="en-US" w:eastAsia="zh-CN"/>
        </w:rPr>
        <w:t>被收集后</w:t>
      </w:r>
      <w:r>
        <w:rPr>
          <w:strike w:val="0"/>
          <w:dstrike w:val="0"/>
          <w:color w:val="auto"/>
          <w:sz w:val="24"/>
          <w:szCs w:val="32"/>
          <w:highlight w:val="none"/>
        </w:rPr>
        <w:t>，再排入</w:t>
      </w:r>
      <w:r>
        <w:rPr>
          <w:rFonts w:hint="eastAsia"/>
          <w:strike w:val="0"/>
          <w:dstrike w:val="0"/>
          <w:color w:val="auto"/>
          <w:sz w:val="24"/>
          <w:szCs w:val="32"/>
          <w:highlight w:val="none"/>
        </w:rPr>
        <w:t>隔油池</w:t>
      </w:r>
      <w:r>
        <w:rPr>
          <w:strike w:val="0"/>
          <w:dstrike w:val="0"/>
          <w:color w:val="auto"/>
          <w:sz w:val="24"/>
          <w:szCs w:val="32"/>
          <w:highlight w:val="none"/>
        </w:rPr>
        <w:t>处理，确保事故废水不外排进入环境，对水环境</w:t>
      </w:r>
      <w:r>
        <w:rPr>
          <w:rFonts w:hint="eastAsia"/>
          <w:strike w:val="0"/>
          <w:dstrike w:val="0"/>
          <w:color w:val="auto"/>
          <w:sz w:val="24"/>
          <w:szCs w:val="32"/>
          <w:highlight w:val="none"/>
          <w:lang w:val="en-US" w:eastAsia="zh-CN"/>
        </w:rPr>
        <w:t>影响较小</w:t>
      </w:r>
      <w:r>
        <w:rPr>
          <w:strike w:val="0"/>
          <w:dstrike w:val="0"/>
          <w:color w:val="auto"/>
          <w:sz w:val="24"/>
          <w:szCs w:val="32"/>
          <w:highlight w:val="none"/>
        </w:rPr>
        <w:t>。</w:t>
      </w:r>
    </w:p>
    <w:p w14:paraId="1E5B6492">
      <w:pPr>
        <w:pStyle w:val="3"/>
        <w:jc w:val="center"/>
        <w:rPr>
          <w:rFonts w:eastAsia="宋体"/>
          <w:b w:val="0"/>
          <w:bCs w:val="0"/>
          <w:strike w:val="0"/>
          <w:dstrike w:val="0"/>
          <w:color w:val="auto"/>
          <w:sz w:val="24"/>
          <w:szCs w:val="24"/>
          <w:highlight w:val="none"/>
        </w:rPr>
      </w:pPr>
      <w:r>
        <w:rPr>
          <w:rFonts w:eastAsia="宋体"/>
          <w:b w:val="0"/>
          <w:bCs w:val="0"/>
          <w:strike w:val="0"/>
          <w:dstrike w:val="0"/>
          <w:color w:val="auto"/>
          <w:sz w:val="24"/>
          <w:szCs w:val="24"/>
          <w:highlight w:val="none"/>
        </w:rPr>
        <w:br w:type="page"/>
      </w:r>
      <w:r>
        <w:rPr>
          <w:rFonts w:hint="eastAsia" w:eastAsia="宋体"/>
          <w:strike w:val="0"/>
          <w:dstrike w:val="0"/>
          <w:color w:val="auto"/>
          <w:highlight w:val="none"/>
          <w:lang w:val="en-US" w:eastAsia="zh-CN"/>
        </w:rPr>
        <w:t>8</w:t>
      </w:r>
      <w:r>
        <w:rPr>
          <w:rFonts w:eastAsia="宋体"/>
          <w:strike w:val="0"/>
          <w:dstrike w:val="0"/>
          <w:color w:val="auto"/>
          <w:highlight w:val="none"/>
        </w:rPr>
        <w:t>环境风险应急要求</w:t>
      </w:r>
    </w:p>
    <w:p w14:paraId="412CC66F">
      <w:pPr>
        <w:spacing w:line="360" w:lineRule="auto"/>
        <w:ind w:firstLine="480" w:firstLineChars="200"/>
        <w:rPr>
          <w:strike w:val="0"/>
          <w:dstrike w:val="0"/>
          <w:color w:val="auto"/>
          <w:sz w:val="24"/>
          <w:highlight w:val="none"/>
        </w:rPr>
      </w:pPr>
      <w:r>
        <w:rPr>
          <w:strike w:val="0"/>
          <w:dstrike w:val="0"/>
          <w:color w:val="auto"/>
          <w:sz w:val="24"/>
          <w:highlight w:val="none"/>
        </w:rPr>
        <w:t>针对可能发生的爆炸、泄漏等事故制定具体的应急处理方案，使各部门在事故发生后都能有步骤、有秩序</w:t>
      </w:r>
      <w:bookmarkStart w:id="199" w:name="OfficeAI_Add_0_47"/>
      <w:r>
        <w:rPr>
          <w:rFonts w:hint="eastAsia"/>
          <w:strike w:val="0"/>
          <w:dstrike w:val="0"/>
          <w:color w:val="auto"/>
          <w:sz w:val="24"/>
          <w:highlight w:val="none"/>
          <w:lang w:eastAsia="zh-CN"/>
        </w:rPr>
        <w:t>地</w:t>
      </w:r>
      <w:bookmarkEnd w:id="199"/>
      <w:r>
        <w:rPr>
          <w:strike w:val="0"/>
          <w:dstrike w:val="0"/>
          <w:color w:val="auto"/>
          <w:sz w:val="24"/>
          <w:highlight w:val="none"/>
        </w:rPr>
        <w:t>采取各项应急措施。配备足够的应急所需的处理设备和材料，如各种消防防化服，报警装置，个人防护用品以及堵漏器材等。</w:t>
      </w:r>
    </w:p>
    <w:p w14:paraId="3A2C2279">
      <w:pPr>
        <w:spacing w:line="360" w:lineRule="auto"/>
        <w:ind w:firstLine="480" w:firstLineChars="200"/>
        <w:rPr>
          <w:strike w:val="0"/>
          <w:dstrike w:val="0"/>
          <w:color w:val="auto"/>
          <w:sz w:val="24"/>
          <w:highlight w:val="none"/>
        </w:rPr>
      </w:pPr>
      <w:r>
        <w:rPr>
          <w:strike w:val="0"/>
          <w:dstrike w:val="0"/>
          <w:color w:val="auto"/>
          <w:sz w:val="24"/>
          <w:highlight w:val="none"/>
        </w:rPr>
        <w:t>为了在发生风险事故时，能够及时、有序、高效地实施抢险救援工作，最大限度地减少人员伤亡和财产损失，尽快恢复正常生产、工作秩序。</w:t>
      </w:r>
    </w:p>
    <w:p w14:paraId="11ADA02E">
      <w:pPr>
        <w:pStyle w:val="4"/>
        <w:spacing w:before="0" w:after="0" w:line="360" w:lineRule="auto"/>
        <w:ind w:firstLine="643" w:firstLineChars="200"/>
        <w:rPr>
          <w:rFonts w:hint="default" w:ascii="Times New Roman" w:hAnsi="Times New Roman" w:eastAsia="宋体"/>
          <w:strike w:val="0"/>
          <w:dstrike w:val="0"/>
          <w:color w:val="auto"/>
          <w:highlight w:val="none"/>
          <w:lang w:val="en-US" w:eastAsia="zh-CN"/>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.1</w:t>
      </w:r>
      <w:r>
        <w:rPr>
          <w:rFonts w:hint="eastAsia" w:ascii="Times New Roman" w:hAnsi="Times New Roman" w:eastAsia="宋体"/>
          <w:strike w:val="0"/>
          <w:dstrike w:val="0"/>
          <w:color w:val="auto"/>
          <w:highlight w:val="none"/>
          <w:lang w:val="en-US" w:eastAsia="zh-CN"/>
        </w:rPr>
        <w:t>应急预案体系</w:t>
      </w:r>
    </w:p>
    <w:p w14:paraId="5EED7D33">
      <w:pPr>
        <w:spacing w:line="360" w:lineRule="auto"/>
        <w:ind w:firstLine="480" w:firstLineChars="200"/>
        <w:rPr>
          <w:rFonts w:hint="eastAsia"/>
          <w:strike w:val="0"/>
          <w:dstrike w:val="0"/>
          <w:color w:val="auto"/>
          <w:sz w:val="24"/>
          <w:szCs w:val="24"/>
          <w:highlight w:val="none"/>
        </w:rPr>
      </w:pPr>
      <w:r>
        <w:rPr>
          <w:rFonts w:hint="eastAsia"/>
          <w:strike w:val="0"/>
          <w:dstrike w:val="0"/>
          <w:color w:val="auto"/>
          <w:sz w:val="24"/>
          <w:szCs w:val="24"/>
          <w:highlight w:val="none"/>
          <w:lang w:val="en-US" w:eastAsia="zh-CN"/>
        </w:rPr>
        <w:t>本项目</w:t>
      </w:r>
      <w:r>
        <w:rPr>
          <w:rFonts w:hint="eastAsia"/>
          <w:strike w:val="0"/>
          <w:dstrike w:val="0"/>
          <w:color w:val="auto"/>
          <w:sz w:val="24"/>
          <w:szCs w:val="24"/>
          <w:highlight w:val="none"/>
          <w:lang w:eastAsia="zh-CN"/>
        </w:rPr>
        <w:t>应急预案</w:t>
      </w:r>
      <w:r>
        <w:rPr>
          <w:rFonts w:hint="eastAsia"/>
          <w:strike w:val="0"/>
          <w:dstrike w:val="0"/>
          <w:color w:val="auto"/>
          <w:sz w:val="24"/>
          <w:szCs w:val="24"/>
          <w:highlight w:val="none"/>
        </w:rPr>
        <w:t>与其他应急预案的衔接关系及内容如下：</w:t>
      </w:r>
    </w:p>
    <w:p w14:paraId="76869779">
      <w:pPr>
        <w:numPr>
          <w:ilvl w:val="0"/>
          <w:numId w:val="16"/>
        </w:numPr>
        <w:spacing w:line="360" w:lineRule="auto"/>
        <w:ind w:firstLine="480" w:firstLineChars="200"/>
        <w:rPr>
          <w:rFonts w:hint="eastAsia"/>
          <w:strike w:val="0"/>
          <w:dstrike w:val="0"/>
          <w:color w:val="auto"/>
          <w:sz w:val="24"/>
          <w:szCs w:val="24"/>
          <w:highlight w:val="none"/>
        </w:rPr>
      </w:pPr>
      <w:r>
        <w:rPr>
          <w:rFonts w:hint="eastAsia"/>
          <w:strike w:val="0"/>
          <w:dstrike w:val="0"/>
          <w:color w:val="auto"/>
          <w:sz w:val="24"/>
          <w:szCs w:val="24"/>
          <w:highlight w:val="none"/>
        </w:rPr>
        <w:t>与本单位生产安全事故综合应急预案的衔接</w:t>
      </w:r>
    </w:p>
    <w:p w14:paraId="7FEFED28">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strike w:val="0"/>
          <w:dstrike w:val="0"/>
          <w:color w:val="auto"/>
          <w:sz w:val="24"/>
          <w:szCs w:val="24"/>
          <w:highlight w:val="none"/>
          <w:lang w:eastAsia="zh-CN"/>
        </w:rPr>
      </w:pPr>
      <w:r>
        <w:rPr>
          <w:rFonts w:hint="default" w:ascii="Times New Roman" w:hAnsi="Times New Roman" w:cs="Times New Roman"/>
          <w:strike w:val="0"/>
          <w:dstrike w:val="0"/>
          <w:color w:val="auto"/>
          <w:sz w:val="24"/>
          <w:szCs w:val="24"/>
          <w:highlight w:val="none"/>
        </w:rPr>
        <w:t>在发生安全与环保共生的突发事件时，应根据安全应急预案和环境应急预案，提出协同处置措施，保障安全事故及环境事故的人力、技术资源及时到位</w:t>
      </w:r>
      <w:r>
        <w:rPr>
          <w:rFonts w:hint="eastAsia" w:ascii="Times New Roman" w:hAnsi="Times New Roman" w:cs="Times New Roman"/>
          <w:strike w:val="0"/>
          <w:dstrike w:val="0"/>
          <w:color w:val="auto"/>
          <w:sz w:val="24"/>
          <w:szCs w:val="24"/>
          <w:highlight w:val="none"/>
          <w:lang w:eastAsia="zh-CN"/>
        </w:rPr>
        <w:t>。</w:t>
      </w:r>
    </w:p>
    <w:p w14:paraId="0D40F681">
      <w:pPr>
        <w:numPr>
          <w:ilvl w:val="0"/>
          <w:numId w:val="16"/>
        </w:numPr>
        <w:spacing w:line="360" w:lineRule="auto"/>
        <w:ind w:firstLine="480" w:firstLineChars="200"/>
        <w:rPr>
          <w:rFonts w:hint="eastAsia"/>
          <w:strike w:val="0"/>
          <w:dstrike w:val="0"/>
          <w:color w:val="auto"/>
          <w:sz w:val="24"/>
          <w:szCs w:val="24"/>
          <w:highlight w:val="none"/>
        </w:rPr>
      </w:pPr>
      <w:r>
        <w:rPr>
          <w:rFonts w:hint="eastAsia"/>
          <w:strike w:val="0"/>
          <w:dstrike w:val="0"/>
          <w:color w:val="auto"/>
          <w:sz w:val="24"/>
          <w:szCs w:val="24"/>
          <w:highlight w:val="none"/>
        </w:rPr>
        <w:t>与</w:t>
      </w:r>
      <w:r>
        <w:rPr>
          <w:rFonts w:hint="eastAsia"/>
          <w:strike w:val="0"/>
          <w:dstrike w:val="0"/>
          <w:color w:val="auto"/>
          <w:sz w:val="24"/>
          <w:szCs w:val="24"/>
          <w:highlight w:val="none"/>
          <w:lang w:val="en-US" w:eastAsia="zh-CN"/>
        </w:rPr>
        <w:t>园区</w:t>
      </w:r>
      <w:r>
        <w:rPr>
          <w:rFonts w:hint="eastAsia"/>
          <w:strike w:val="0"/>
          <w:dstrike w:val="0"/>
          <w:color w:val="auto"/>
          <w:sz w:val="24"/>
          <w:szCs w:val="24"/>
          <w:highlight w:val="none"/>
        </w:rPr>
        <w:t>突发环境事件综合应急预案突发环境事件应急预案的衔接</w:t>
      </w:r>
    </w:p>
    <w:p w14:paraId="1A65D7A4">
      <w:pPr>
        <w:spacing w:line="360" w:lineRule="auto"/>
        <w:ind w:firstLine="480" w:firstLineChars="200"/>
        <w:rPr>
          <w:rFonts w:hint="default" w:ascii="Times New Roman" w:hAnsi="Times New Roman" w:cs="Times New Roman"/>
          <w:strike w:val="0"/>
          <w:dstrike w:val="0"/>
          <w:color w:val="auto"/>
          <w:sz w:val="24"/>
          <w:szCs w:val="24"/>
          <w:highlight w:val="none"/>
          <w:lang w:val="en-US" w:eastAsia="zh-CN"/>
        </w:rPr>
      </w:pPr>
      <w:r>
        <w:rPr>
          <w:rFonts w:hint="eastAsia" w:ascii="Times New Roman" w:hAnsi="Times New Roman" w:cs="Times New Roman"/>
          <w:strike w:val="0"/>
          <w:dstrike w:val="0"/>
          <w:color w:val="auto"/>
          <w:sz w:val="24"/>
          <w:szCs w:val="24"/>
          <w:highlight w:val="none"/>
          <w:lang w:val="en-US" w:eastAsia="zh-CN"/>
        </w:rPr>
        <w:t>本项目位于重庆市合川区土场镇杨柳村-土场二期组团，属于工业园区，该园区应急</w:t>
      </w:r>
      <w:r>
        <w:rPr>
          <w:rFonts w:hint="default"/>
          <w:strike w:val="0"/>
          <w:dstrike w:val="0"/>
          <w:color w:val="auto"/>
          <w:sz w:val="24"/>
          <w:szCs w:val="24"/>
          <w:highlight w:val="none"/>
        </w:rPr>
        <w:t>预案</w:t>
      </w:r>
      <w:r>
        <w:rPr>
          <w:rFonts w:hint="eastAsia"/>
          <w:strike w:val="0"/>
          <w:dstrike w:val="0"/>
          <w:color w:val="auto"/>
          <w:sz w:val="24"/>
          <w:szCs w:val="24"/>
          <w:highlight w:val="none"/>
          <w:lang w:val="en-US" w:eastAsia="zh-CN"/>
        </w:rPr>
        <w:t>应</w:t>
      </w:r>
      <w:r>
        <w:rPr>
          <w:rFonts w:hint="default"/>
          <w:strike w:val="0"/>
          <w:dstrike w:val="0"/>
          <w:color w:val="auto"/>
          <w:sz w:val="24"/>
          <w:szCs w:val="24"/>
          <w:highlight w:val="none"/>
        </w:rPr>
        <w:t>衔接于</w:t>
      </w:r>
      <w:r>
        <w:rPr>
          <w:rFonts w:hint="eastAsia" w:cs="Times New Roman"/>
          <w:strike w:val="0"/>
          <w:dstrike w:val="0"/>
          <w:color w:val="auto"/>
          <w:sz w:val="24"/>
          <w:szCs w:val="24"/>
          <w:highlight w:val="none"/>
          <w:lang w:eastAsia="zh-CN"/>
        </w:rPr>
        <w:t>本项目</w:t>
      </w:r>
      <w:r>
        <w:rPr>
          <w:rFonts w:hint="eastAsia"/>
          <w:strike w:val="0"/>
          <w:dstrike w:val="0"/>
          <w:color w:val="auto"/>
          <w:sz w:val="24"/>
          <w:szCs w:val="24"/>
          <w:highlight w:val="none"/>
          <w:lang w:eastAsia="zh-CN"/>
        </w:rPr>
        <w:t>突发环境事件应急预案</w:t>
      </w:r>
      <w:r>
        <w:rPr>
          <w:rFonts w:hint="default"/>
          <w:strike w:val="0"/>
          <w:dstrike w:val="0"/>
          <w:color w:val="auto"/>
          <w:sz w:val="24"/>
          <w:szCs w:val="24"/>
          <w:highlight w:val="none"/>
        </w:rPr>
        <w:t>，一旦本单位发生</w:t>
      </w:r>
      <w:r>
        <w:rPr>
          <w:rFonts w:hint="default"/>
          <w:strike w:val="0"/>
          <w:dstrike w:val="0"/>
          <w:color w:val="auto"/>
          <w:sz w:val="24"/>
          <w:szCs w:val="24"/>
          <w:highlight w:val="none"/>
        </w:rPr>
        <w:fldChar w:fldCharType="begin"/>
      </w:r>
      <w:r>
        <w:rPr>
          <w:rFonts w:hint="default"/>
          <w:strike w:val="0"/>
          <w:dstrike w:val="0"/>
          <w:color w:val="auto"/>
          <w:sz w:val="24"/>
          <w:szCs w:val="24"/>
          <w:highlight w:val="none"/>
        </w:rPr>
        <w:instrText xml:space="preserve"> = 2 \* ROMAN \* MERGEFORMAT </w:instrText>
      </w:r>
      <w:r>
        <w:rPr>
          <w:rFonts w:hint="default"/>
          <w:strike w:val="0"/>
          <w:dstrike w:val="0"/>
          <w:color w:val="auto"/>
          <w:sz w:val="24"/>
          <w:szCs w:val="24"/>
          <w:highlight w:val="none"/>
        </w:rPr>
        <w:fldChar w:fldCharType="separate"/>
      </w:r>
      <w:r>
        <w:rPr>
          <w:rFonts w:hint="eastAsia"/>
          <w:strike w:val="0"/>
          <w:dstrike w:val="0"/>
          <w:color w:val="auto"/>
          <w:sz w:val="24"/>
          <w:szCs w:val="24"/>
          <w:highlight w:val="none"/>
        </w:rPr>
        <w:t>II</w:t>
      </w:r>
      <w:r>
        <w:rPr>
          <w:rFonts w:hint="default"/>
          <w:strike w:val="0"/>
          <w:dstrike w:val="0"/>
          <w:color w:val="auto"/>
          <w:sz w:val="24"/>
          <w:szCs w:val="24"/>
          <w:highlight w:val="none"/>
        </w:rPr>
        <w:fldChar w:fldCharType="end"/>
      </w:r>
      <w:r>
        <w:rPr>
          <w:rFonts w:hint="default"/>
          <w:strike w:val="0"/>
          <w:dstrike w:val="0"/>
          <w:color w:val="auto"/>
          <w:sz w:val="24"/>
          <w:szCs w:val="24"/>
          <w:highlight w:val="none"/>
        </w:rPr>
        <w:t>级（</w:t>
      </w:r>
      <w:r>
        <w:rPr>
          <w:rFonts w:hint="eastAsia"/>
          <w:strike w:val="0"/>
          <w:dstrike w:val="0"/>
          <w:color w:val="auto"/>
          <w:sz w:val="24"/>
          <w:szCs w:val="24"/>
          <w:highlight w:val="none"/>
          <w:lang w:val="en-US" w:eastAsia="zh-CN"/>
        </w:rPr>
        <w:t>站区</w:t>
      </w:r>
      <w:r>
        <w:rPr>
          <w:rFonts w:hint="default"/>
          <w:strike w:val="0"/>
          <w:dstrike w:val="0"/>
          <w:color w:val="auto"/>
          <w:sz w:val="24"/>
          <w:szCs w:val="24"/>
          <w:highlight w:val="none"/>
        </w:rPr>
        <w:t>级）及以上突发事件，超出</w:t>
      </w:r>
      <w:r>
        <w:rPr>
          <w:rFonts w:hint="eastAsia"/>
          <w:strike w:val="0"/>
          <w:dstrike w:val="0"/>
          <w:color w:val="auto"/>
          <w:sz w:val="24"/>
          <w:szCs w:val="24"/>
          <w:highlight w:val="none"/>
          <w:lang w:val="en-US" w:eastAsia="zh-CN"/>
        </w:rPr>
        <w:t>厂区内</w:t>
      </w:r>
      <w:r>
        <w:rPr>
          <w:rFonts w:hint="eastAsia"/>
          <w:strike w:val="0"/>
          <w:dstrike w:val="0"/>
          <w:color w:val="auto"/>
          <w:sz w:val="24"/>
          <w:szCs w:val="24"/>
          <w:highlight w:val="none"/>
          <w:lang w:eastAsia="zh-CN"/>
        </w:rPr>
        <w:t>自身</w:t>
      </w:r>
      <w:r>
        <w:rPr>
          <w:rFonts w:hint="default"/>
          <w:strike w:val="0"/>
          <w:dstrike w:val="0"/>
          <w:color w:val="auto"/>
          <w:sz w:val="24"/>
          <w:szCs w:val="24"/>
          <w:highlight w:val="none"/>
        </w:rPr>
        <w:t>应急处置能力，立即报告</w:t>
      </w:r>
      <w:r>
        <w:rPr>
          <w:rFonts w:hint="eastAsia"/>
          <w:strike w:val="0"/>
          <w:dstrike w:val="0"/>
          <w:color w:val="auto"/>
          <w:sz w:val="24"/>
          <w:szCs w:val="24"/>
          <w:highlight w:val="none"/>
          <w:lang w:val="en-US" w:eastAsia="zh-CN"/>
        </w:rPr>
        <w:t>合川工业园区</w:t>
      </w:r>
      <w:r>
        <w:rPr>
          <w:rFonts w:hint="default"/>
          <w:strike w:val="0"/>
          <w:dstrike w:val="0"/>
          <w:color w:val="auto"/>
          <w:sz w:val="24"/>
          <w:szCs w:val="24"/>
          <w:highlight w:val="none"/>
        </w:rPr>
        <w:t>，</w:t>
      </w:r>
      <w:r>
        <w:rPr>
          <w:rFonts w:hint="eastAsia"/>
          <w:strike w:val="0"/>
          <w:dstrike w:val="0"/>
          <w:color w:val="auto"/>
          <w:sz w:val="24"/>
          <w:szCs w:val="24"/>
          <w:highlight w:val="none"/>
          <w:lang w:val="en-US" w:eastAsia="zh-CN"/>
        </w:rPr>
        <w:t>园区</w:t>
      </w:r>
      <w:r>
        <w:rPr>
          <w:rFonts w:hint="default"/>
          <w:strike w:val="0"/>
          <w:dstrike w:val="0"/>
          <w:color w:val="auto"/>
          <w:sz w:val="24"/>
          <w:szCs w:val="24"/>
          <w:highlight w:val="none"/>
        </w:rPr>
        <w:t>应急处置力量可对</w:t>
      </w:r>
      <w:r>
        <w:rPr>
          <w:rFonts w:hint="eastAsia"/>
          <w:strike w:val="0"/>
          <w:dstrike w:val="0"/>
          <w:color w:val="auto"/>
          <w:sz w:val="24"/>
          <w:szCs w:val="24"/>
          <w:highlight w:val="none"/>
          <w:lang w:val="en-US" w:eastAsia="zh-CN"/>
        </w:rPr>
        <w:t>本项目</w:t>
      </w:r>
      <w:r>
        <w:rPr>
          <w:rFonts w:hint="default"/>
          <w:strike w:val="0"/>
          <w:dstrike w:val="0"/>
          <w:color w:val="auto"/>
          <w:sz w:val="24"/>
          <w:szCs w:val="24"/>
          <w:highlight w:val="none"/>
        </w:rPr>
        <w:t>应急处置提供援助。</w:t>
      </w:r>
    </w:p>
    <w:p w14:paraId="5CB62F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trike w:val="0"/>
          <w:dstrike w:val="0"/>
          <w:color w:val="auto"/>
          <w:sz w:val="24"/>
          <w:szCs w:val="24"/>
          <w:highlight w:val="none"/>
        </w:rPr>
      </w:pPr>
      <w:r>
        <w:rPr>
          <w:rFonts w:hint="eastAsia" w:ascii="Times New Roman" w:hAnsi="Times New Roman" w:cs="Times New Roman"/>
          <w:strike w:val="0"/>
          <w:dstrike w:val="0"/>
          <w:color w:val="auto"/>
          <w:sz w:val="24"/>
          <w:szCs w:val="24"/>
          <w:highlight w:val="none"/>
          <w:lang w:val="en-US" w:eastAsia="zh-CN"/>
        </w:rPr>
        <w:t>3、</w:t>
      </w:r>
      <w:r>
        <w:rPr>
          <w:rFonts w:hint="default" w:ascii="Times New Roman" w:hAnsi="Times New Roman" w:cs="Times New Roman"/>
          <w:strike w:val="0"/>
          <w:dstrike w:val="0"/>
          <w:color w:val="auto"/>
          <w:sz w:val="24"/>
          <w:szCs w:val="24"/>
          <w:highlight w:val="none"/>
        </w:rPr>
        <w:t>与</w:t>
      </w:r>
      <w:r>
        <w:rPr>
          <w:rFonts w:hint="default" w:ascii="Times New Roman" w:hAnsi="Times New Roman" w:cs="Times New Roman"/>
          <w:strike w:val="0"/>
          <w:dstrike w:val="0"/>
          <w:color w:val="auto"/>
          <w:sz w:val="24"/>
          <w:szCs w:val="24"/>
          <w:highlight w:val="none"/>
          <w:lang w:eastAsia="zh-CN"/>
        </w:rPr>
        <w:t>重庆市</w:t>
      </w:r>
      <w:r>
        <w:rPr>
          <w:rFonts w:hint="eastAsia" w:cs="Times New Roman"/>
          <w:strike w:val="0"/>
          <w:dstrike w:val="0"/>
          <w:color w:val="auto"/>
          <w:sz w:val="24"/>
          <w:szCs w:val="24"/>
          <w:highlight w:val="none"/>
          <w:lang w:val="en-US" w:eastAsia="zh-CN"/>
        </w:rPr>
        <w:t>合川区</w:t>
      </w:r>
      <w:r>
        <w:rPr>
          <w:rFonts w:hint="default" w:ascii="Times New Roman" w:hAnsi="Times New Roman" w:cs="Times New Roman"/>
          <w:strike w:val="0"/>
          <w:dstrike w:val="0"/>
          <w:color w:val="auto"/>
          <w:sz w:val="24"/>
          <w:szCs w:val="24"/>
          <w:highlight w:val="none"/>
        </w:rPr>
        <w:t>突发环境事件应急预案的衔接</w:t>
      </w:r>
    </w:p>
    <w:p w14:paraId="32356A71">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
          <w:strike w:val="0"/>
          <w:dstrike w:val="0"/>
          <w:color w:val="auto"/>
          <w:sz w:val="24"/>
          <w:szCs w:val="24"/>
          <w:highlight w:val="none"/>
        </w:rPr>
      </w:pPr>
      <w:r>
        <w:rPr>
          <w:rFonts w:hint="default" w:ascii="Times New Roman" w:hAnsi="Times New Roman" w:cs="Times New Roman"/>
          <w:strike w:val="0"/>
          <w:dstrike w:val="0"/>
          <w:color w:val="auto"/>
          <w:sz w:val="24"/>
          <w:szCs w:val="24"/>
          <w:highlight w:val="none"/>
        </w:rPr>
        <w:t>一般情况下，</w:t>
      </w:r>
      <w:r>
        <w:rPr>
          <w:rFonts w:hint="eastAsia" w:cs="Times New Roman"/>
          <w:strike w:val="0"/>
          <w:dstrike w:val="0"/>
          <w:color w:val="auto"/>
          <w:sz w:val="24"/>
          <w:szCs w:val="24"/>
          <w:highlight w:val="none"/>
          <w:lang w:val="en-US" w:eastAsia="zh-CN"/>
        </w:rPr>
        <w:t>本项目</w:t>
      </w:r>
      <w:r>
        <w:rPr>
          <w:rFonts w:hint="default" w:ascii="Times New Roman" w:hAnsi="Times New Roman" w:cs="Times New Roman"/>
          <w:strike w:val="0"/>
          <w:dstrike w:val="0"/>
          <w:color w:val="auto"/>
          <w:sz w:val="24"/>
          <w:szCs w:val="24"/>
          <w:highlight w:val="none"/>
        </w:rPr>
        <w:t>即有能力处置突发环境事件，但是一旦发生超过</w:t>
      </w:r>
      <w:r>
        <w:rPr>
          <w:rFonts w:hint="eastAsia" w:cs="Times New Roman"/>
          <w:strike w:val="0"/>
          <w:dstrike w:val="0"/>
          <w:color w:val="auto"/>
          <w:sz w:val="24"/>
          <w:szCs w:val="24"/>
          <w:highlight w:val="none"/>
          <w:lang w:eastAsia="zh-CN"/>
        </w:rPr>
        <w:t>本项目</w:t>
      </w:r>
      <w:r>
        <w:rPr>
          <w:rFonts w:hint="default" w:ascii="Times New Roman" w:hAnsi="Times New Roman" w:cs="Times New Roman"/>
          <w:strike w:val="0"/>
          <w:dstrike w:val="0"/>
          <w:color w:val="auto"/>
          <w:sz w:val="24"/>
          <w:szCs w:val="24"/>
          <w:highlight w:val="none"/>
        </w:rPr>
        <w:t>应急处置能力，需要其他社会救援力量开展应急工作，则根据</w:t>
      </w:r>
      <w:r>
        <w:rPr>
          <w:rFonts w:hint="eastAsia" w:ascii="Times New Roman" w:hAnsi="Times New Roman" w:cs="Times New Roman"/>
          <w:strike w:val="0"/>
          <w:dstrike w:val="0"/>
          <w:color w:val="auto"/>
          <w:sz w:val="24"/>
          <w:szCs w:val="24"/>
          <w:highlight w:val="none"/>
          <w:lang w:eastAsia="zh-CN"/>
        </w:rPr>
        <w:t>重庆市合川区</w:t>
      </w:r>
      <w:r>
        <w:rPr>
          <w:rFonts w:hint="default" w:ascii="Times New Roman" w:hAnsi="Times New Roman" w:cs="Times New Roman"/>
          <w:strike w:val="0"/>
          <w:dstrike w:val="0"/>
          <w:color w:val="auto"/>
          <w:sz w:val="24"/>
          <w:szCs w:val="24"/>
          <w:highlight w:val="none"/>
        </w:rPr>
        <w:t>突发环境事件应急预案中的事件分级规定进行应急处置，一旦上级部门应急预案启动，</w:t>
      </w:r>
      <w:r>
        <w:rPr>
          <w:rFonts w:hint="eastAsia" w:cs="Times New Roman"/>
          <w:strike w:val="0"/>
          <w:dstrike w:val="0"/>
          <w:color w:val="auto"/>
          <w:sz w:val="24"/>
          <w:szCs w:val="24"/>
          <w:highlight w:val="none"/>
          <w:lang w:eastAsia="zh-CN"/>
        </w:rPr>
        <w:t>本项目</w:t>
      </w:r>
      <w:r>
        <w:rPr>
          <w:rFonts w:hint="default" w:ascii="Times New Roman" w:hAnsi="Times New Roman" w:cs="Times New Roman"/>
          <w:strike w:val="0"/>
          <w:dstrike w:val="0"/>
          <w:color w:val="auto"/>
          <w:sz w:val="24"/>
          <w:szCs w:val="24"/>
          <w:highlight w:val="none"/>
        </w:rPr>
        <w:t>现有的先期处置队伍、应急防范措施、应急物资全部归入上级部门可指挥和调动的应急资源，配合上级指挥部门的一切行动进行应急处置。应急预案衔接体系见图</w:t>
      </w:r>
      <w:r>
        <w:rPr>
          <w:rFonts w:hint="eastAsia" w:ascii="Times New Roman" w:hAnsi="Times New Roman" w:cs="Times New Roman"/>
          <w:strike w:val="0"/>
          <w:dstrike w:val="0"/>
          <w:color w:val="auto"/>
          <w:sz w:val="24"/>
          <w:szCs w:val="24"/>
          <w:highlight w:val="none"/>
          <w:lang w:val="en-US" w:eastAsia="zh-CN"/>
        </w:rPr>
        <w:t>8.</w:t>
      </w:r>
      <w:r>
        <w:rPr>
          <w:rFonts w:hint="default" w:ascii="Times New Roman" w:hAnsi="Times New Roman" w:cs="Times New Roman"/>
          <w:strike w:val="0"/>
          <w:dstrike w:val="0"/>
          <w:color w:val="auto"/>
          <w:sz w:val="24"/>
          <w:szCs w:val="24"/>
          <w:highlight w:val="none"/>
        </w:rPr>
        <w:t>1-1。</w:t>
      </w:r>
    </w:p>
    <w:p w14:paraId="6AA3B346">
      <w:pPr>
        <w:pStyle w:val="3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strike w:val="0"/>
          <w:dstrike w:val="0"/>
          <w:color w:val="auto"/>
          <w:sz w:val="24"/>
          <w:szCs w:val="24"/>
          <w:highlight w:val="none"/>
        </w:rPr>
      </w:pPr>
    </w:p>
    <w:p w14:paraId="3198E160">
      <w:pPr>
        <w:pStyle w:val="3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strike w:val="0"/>
          <w:dstrike w:val="0"/>
          <w:color w:val="auto"/>
          <w:sz w:val="24"/>
          <w:szCs w:val="24"/>
          <w:highlight w:val="none"/>
        </w:rPr>
      </w:pPr>
    </w:p>
    <w:p w14:paraId="36232FEB">
      <w:pPr>
        <w:pStyle w:val="3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strike w:val="0"/>
          <w:dstrike w:val="0"/>
          <w:color w:val="auto"/>
          <w:sz w:val="24"/>
          <w:szCs w:val="24"/>
          <w:highlight w:val="none"/>
        </w:rPr>
      </w:pPr>
    </w:p>
    <w:p w14:paraId="108DD163">
      <w:pPr>
        <w:pStyle w:val="30"/>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strike w:val="0"/>
          <w:dstrike w:val="0"/>
          <w:color w:val="auto"/>
          <w:sz w:val="24"/>
          <w:szCs w:val="24"/>
          <w:highlight w:val="none"/>
        </w:rPr>
      </w:pPr>
    </w:p>
    <w:p w14:paraId="242FEC0B">
      <w:pPr>
        <w:pStyle w:val="30"/>
        <w:keepNext w:val="0"/>
        <w:keepLines w:val="0"/>
        <w:pageBreakBefore w:val="0"/>
        <w:widowControl w:val="0"/>
        <w:kinsoku/>
        <w:wordWrap/>
        <w:overflowPunct/>
        <w:topLinePunct w:val="0"/>
        <w:autoSpaceDE w:val="0"/>
        <w:autoSpaceDN w:val="0"/>
        <w:bidi w:val="0"/>
        <w:adjustRightInd w:val="0"/>
        <w:snapToGrid/>
        <w:jc w:val="both"/>
        <w:textAlignment w:val="auto"/>
        <w:outlineLvl w:val="9"/>
        <w:rPr>
          <w:rFonts w:hint="default" w:ascii="Times New Roman" w:hAnsi="Times New Roman" w:cs="Times New Roman"/>
          <w:b/>
          <w:strike w:val="0"/>
          <w:dstrike w:val="0"/>
          <w:color w:val="auto"/>
          <w:sz w:val="24"/>
          <w:szCs w:val="24"/>
          <w:highlight w:val="none"/>
        </w:rPr>
      </w:pPr>
    </w:p>
    <w:p w14:paraId="53BFF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trike w:val="0"/>
          <w:dstrike w:val="0"/>
          <w:color w:val="auto"/>
          <w:sz w:val="24"/>
          <w:highlight w:val="none"/>
        </w:rPr>
      </w:pPr>
      <w:r>
        <w:rPr>
          <w:strike w:val="0"/>
          <w:dstrike w:val="0"/>
          <w:color w:val="auto"/>
          <w:sz w:val="24"/>
          <w:highlight w:val="none"/>
        </w:rPr>
        <w:object>
          <v:shape id="_x0000_i1035" o:spt="75" type="#_x0000_t75" style="height:228.45pt;width:317.2pt;" o:ole="t" filled="f" o:preferrelative="t" stroked="f" coordsize="21600,21600">
            <v:path/>
            <v:fill on="f" focussize="0,0"/>
            <v:stroke on="f"/>
            <v:imagedata r:id="rId45" o:title=""/>
            <o:lock v:ext="edit" aspectratio="f"/>
            <w10:wrap type="none"/>
            <w10:anchorlock/>
          </v:shape>
          <o:OLEObject Type="Embed" ProgID="Visio.Drawing.15" ShapeID="_x0000_i1035" DrawAspect="Content" ObjectID="_1468075735" r:id="rId44">
            <o:LockedField>false</o:LockedField>
          </o:OLEObject>
        </w:object>
      </w:r>
    </w:p>
    <w:p w14:paraId="3DB1EEE2">
      <w:pPr>
        <w:spacing w:line="360" w:lineRule="auto"/>
        <w:ind w:firstLine="482" w:firstLineChars="200"/>
        <w:jc w:val="center"/>
        <w:rPr>
          <w:strike w:val="0"/>
          <w:dstrike w:val="0"/>
          <w:color w:val="auto"/>
          <w:sz w:val="24"/>
          <w:highlight w:val="none"/>
        </w:rPr>
      </w:pPr>
      <w:r>
        <w:rPr>
          <w:rFonts w:hint="default" w:ascii="Times New Roman" w:hAnsi="Times New Roman" w:cs="Times New Roman"/>
          <w:b/>
          <w:strike w:val="0"/>
          <w:dstrike w:val="0"/>
          <w:color w:val="auto"/>
          <w:sz w:val="24"/>
          <w:szCs w:val="24"/>
          <w:highlight w:val="none"/>
        </w:rPr>
        <w:t>图</w:t>
      </w:r>
      <w:r>
        <w:rPr>
          <w:rFonts w:hint="eastAsia" w:ascii="Times New Roman" w:hAnsi="Times New Roman" w:cs="Times New Roman"/>
          <w:b/>
          <w:strike w:val="0"/>
          <w:dstrike w:val="0"/>
          <w:color w:val="auto"/>
          <w:sz w:val="24"/>
          <w:szCs w:val="24"/>
          <w:highlight w:val="none"/>
          <w:lang w:val="en-US" w:eastAsia="zh-CN"/>
        </w:rPr>
        <w:t>8.</w:t>
      </w:r>
      <w:r>
        <w:rPr>
          <w:rFonts w:hint="default" w:ascii="Times New Roman" w:hAnsi="Times New Roman" w:cs="Times New Roman"/>
          <w:b/>
          <w:strike w:val="0"/>
          <w:dstrike w:val="0"/>
          <w:color w:val="auto"/>
          <w:sz w:val="24"/>
          <w:szCs w:val="24"/>
          <w:highlight w:val="none"/>
        </w:rPr>
        <w:t>1-1  应急预案体系</w:t>
      </w:r>
    </w:p>
    <w:p w14:paraId="0E27631F">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w:t>
      </w:r>
      <w:r>
        <w:rPr>
          <w:rFonts w:hint="eastAsia" w:ascii="Times New Roman" w:hAnsi="Times New Roman" w:eastAsia="宋体"/>
          <w:strike w:val="0"/>
          <w:dstrike w:val="0"/>
          <w:color w:val="auto"/>
          <w:highlight w:val="none"/>
          <w:lang w:val="en-US" w:eastAsia="zh-CN"/>
        </w:rPr>
        <w:t>2</w:t>
      </w:r>
      <w:r>
        <w:rPr>
          <w:rFonts w:ascii="Times New Roman" w:hAnsi="Times New Roman" w:eastAsia="宋体"/>
          <w:strike w:val="0"/>
          <w:dstrike w:val="0"/>
          <w:color w:val="auto"/>
          <w:highlight w:val="none"/>
        </w:rPr>
        <w:t>预案启动程序和分级响应</w:t>
      </w:r>
    </w:p>
    <w:p w14:paraId="09653E07">
      <w:pPr>
        <w:spacing w:line="360" w:lineRule="auto"/>
        <w:ind w:firstLine="480" w:firstLineChars="200"/>
        <w:rPr>
          <w:strike w:val="0"/>
          <w:dstrike w:val="0"/>
          <w:color w:val="auto"/>
          <w:sz w:val="24"/>
          <w:highlight w:val="none"/>
        </w:rPr>
      </w:pPr>
      <w:r>
        <w:rPr>
          <w:strike w:val="0"/>
          <w:dstrike w:val="0"/>
          <w:color w:val="auto"/>
          <w:sz w:val="24"/>
          <w:highlight w:val="none"/>
        </w:rPr>
        <w:t>(1)发生爆炸、泄漏</w:t>
      </w:r>
      <w:r>
        <w:rPr>
          <w:rFonts w:hint="eastAsia"/>
          <w:strike w:val="0"/>
          <w:dstrike w:val="0"/>
          <w:color w:val="auto"/>
          <w:sz w:val="24"/>
          <w:highlight w:val="none"/>
          <w:lang w:eastAsia="zh-CN"/>
        </w:rPr>
        <w:t>、</w:t>
      </w:r>
      <w:r>
        <w:rPr>
          <w:rFonts w:hint="eastAsia"/>
          <w:strike w:val="0"/>
          <w:dstrike w:val="0"/>
          <w:color w:val="auto"/>
          <w:sz w:val="24"/>
          <w:highlight w:val="none"/>
          <w:lang w:val="en-US" w:eastAsia="zh-CN"/>
        </w:rPr>
        <w:t>火灾</w:t>
      </w:r>
      <w:r>
        <w:rPr>
          <w:strike w:val="0"/>
          <w:dstrike w:val="0"/>
          <w:color w:val="auto"/>
          <w:sz w:val="24"/>
          <w:highlight w:val="none"/>
        </w:rPr>
        <w:t>等事故时，现场发现者立即报</w:t>
      </w:r>
      <w:r>
        <w:rPr>
          <w:rFonts w:hint="eastAsia"/>
          <w:strike w:val="0"/>
          <w:dstrike w:val="0"/>
          <w:color w:val="auto"/>
          <w:sz w:val="24"/>
          <w:highlight w:val="none"/>
          <w:lang w:val="en-US" w:eastAsia="zh-CN"/>
        </w:rPr>
        <w:t>站区</w:t>
      </w:r>
      <w:r>
        <w:rPr>
          <w:strike w:val="0"/>
          <w:dstrike w:val="0"/>
          <w:color w:val="auto"/>
          <w:sz w:val="24"/>
          <w:highlight w:val="none"/>
        </w:rPr>
        <w:t>应急指挥部，同时启动该现场应急处置预案，进行应急处理，控制事故的发展。</w:t>
      </w:r>
    </w:p>
    <w:p w14:paraId="46565A7A">
      <w:pPr>
        <w:spacing w:line="360" w:lineRule="auto"/>
        <w:ind w:firstLine="480" w:firstLineChars="200"/>
        <w:rPr>
          <w:strike w:val="0"/>
          <w:dstrike w:val="0"/>
          <w:color w:val="auto"/>
          <w:sz w:val="24"/>
          <w:highlight w:val="none"/>
        </w:rPr>
      </w:pPr>
      <w:r>
        <w:rPr>
          <w:strike w:val="0"/>
          <w:dstrike w:val="0"/>
          <w:color w:val="auto"/>
          <w:sz w:val="24"/>
          <w:highlight w:val="none"/>
        </w:rPr>
        <w:t>(2)依据事故的类别、危害程度的级别和从业人员的评估结果，对可能发生的事故现场情况进行分析，从而确定预案的启动条件。</w:t>
      </w:r>
    </w:p>
    <w:p w14:paraId="764FC1AB">
      <w:pPr>
        <w:spacing w:line="360" w:lineRule="auto"/>
        <w:ind w:firstLine="480" w:firstLineChars="200"/>
        <w:rPr>
          <w:strike w:val="0"/>
          <w:dstrike w:val="0"/>
          <w:color w:val="auto"/>
          <w:sz w:val="24"/>
          <w:highlight w:val="none"/>
        </w:rPr>
      </w:pPr>
      <w:r>
        <w:rPr>
          <w:strike w:val="0"/>
          <w:dstrike w:val="0"/>
          <w:color w:val="auto"/>
          <w:sz w:val="24"/>
          <w:highlight w:val="none"/>
        </w:rPr>
        <w:t>风险事故危害程度较轻的，可由</w:t>
      </w:r>
      <w:r>
        <w:rPr>
          <w:rFonts w:hint="eastAsia"/>
          <w:strike w:val="0"/>
          <w:dstrike w:val="0"/>
          <w:color w:val="auto"/>
          <w:sz w:val="24"/>
          <w:highlight w:val="none"/>
        </w:rPr>
        <w:t>站区</w:t>
      </w:r>
      <w:r>
        <w:rPr>
          <w:strike w:val="0"/>
          <w:dstrike w:val="0"/>
          <w:color w:val="auto"/>
          <w:sz w:val="24"/>
          <w:highlight w:val="none"/>
        </w:rPr>
        <w:t>自行组织人员解决，事后向安全科报告。</w:t>
      </w:r>
    </w:p>
    <w:p w14:paraId="72C5F69E">
      <w:pPr>
        <w:spacing w:line="360" w:lineRule="auto"/>
        <w:ind w:firstLine="480" w:firstLineChars="200"/>
        <w:rPr>
          <w:strike w:val="0"/>
          <w:dstrike w:val="0"/>
          <w:color w:val="auto"/>
          <w:sz w:val="24"/>
          <w:highlight w:val="none"/>
        </w:rPr>
      </w:pPr>
      <w:r>
        <w:rPr>
          <w:strike w:val="0"/>
          <w:dstrike w:val="0"/>
          <w:color w:val="auto"/>
          <w:sz w:val="24"/>
          <w:highlight w:val="none"/>
        </w:rPr>
        <w:t>风险事故危害程度较重的、但形势未失控、经过努力可以消除的，视情况可考虑本单位及周边村寨紧急撤离，并应当向</w:t>
      </w:r>
      <w:r>
        <w:rPr>
          <w:rFonts w:hint="eastAsia"/>
          <w:strike w:val="0"/>
          <w:dstrike w:val="0"/>
          <w:color w:val="auto"/>
          <w:sz w:val="24"/>
          <w:highlight w:val="none"/>
        </w:rPr>
        <w:t>站区内</w:t>
      </w:r>
      <w:r>
        <w:rPr>
          <w:strike w:val="0"/>
          <w:dstrike w:val="0"/>
          <w:color w:val="auto"/>
          <w:sz w:val="24"/>
          <w:highlight w:val="none"/>
        </w:rPr>
        <w:t>安全科报告</w:t>
      </w:r>
      <w:r>
        <w:rPr>
          <w:rFonts w:hint="eastAsia"/>
          <w:strike w:val="0"/>
          <w:dstrike w:val="0"/>
          <w:color w:val="auto"/>
          <w:sz w:val="24"/>
          <w:highlight w:val="none"/>
          <w:lang w:eastAsia="zh-CN"/>
        </w:rPr>
        <w:t>。</w:t>
      </w:r>
      <w:r>
        <w:rPr>
          <w:rFonts w:hint="eastAsia"/>
          <w:strike w:val="0"/>
          <w:dstrike w:val="0"/>
          <w:color w:val="auto"/>
          <w:sz w:val="24"/>
          <w:highlight w:val="none"/>
          <w:lang w:val="en-US" w:eastAsia="zh-CN"/>
        </w:rPr>
        <w:t>若</w:t>
      </w:r>
      <w:r>
        <w:rPr>
          <w:rFonts w:hint="default"/>
          <w:strike w:val="0"/>
          <w:dstrike w:val="0"/>
          <w:color w:val="auto"/>
          <w:sz w:val="24"/>
          <w:szCs w:val="24"/>
          <w:highlight w:val="none"/>
        </w:rPr>
        <w:t>超出</w:t>
      </w:r>
      <w:r>
        <w:rPr>
          <w:rFonts w:hint="eastAsia"/>
          <w:strike w:val="0"/>
          <w:dstrike w:val="0"/>
          <w:color w:val="auto"/>
          <w:sz w:val="24"/>
          <w:szCs w:val="24"/>
          <w:highlight w:val="none"/>
          <w:lang w:val="en-US" w:eastAsia="zh-CN"/>
        </w:rPr>
        <w:t>厂区内</w:t>
      </w:r>
      <w:r>
        <w:rPr>
          <w:rFonts w:hint="eastAsia"/>
          <w:strike w:val="0"/>
          <w:dstrike w:val="0"/>
          <w:color w:val="auto"/>
          <w:sz w:val="24"/>
          <w:szCs w:val="24"/>
          <w:highlight w:val="none"/>
          <w:lang w:eastAsia="zh-CN"/>
        </w:rPr>
        <w:t>自身</w:t>
      </w:r>
      <w:r>
        <w:rPr>
          <w:rFonts w:hint="default"/>
          <w:strike w:val="0"/>
          <w:dstrike w:val="0"/>
          <w:color w:val="auto"/>
          <w:sz w:val="24"/>
          <w:szCs w:val="24"/>
          <w:highlight w:val="none"/>
        </w:rPr>
        <w:t>应急处置能力，</w:t>
      </w:r>
      <w:r>
        <w:rPr>
          <w:rFonts w:hint="eastAsia"/>
          <w:strike w:val="0"/>
          <w:dstrike w:val="0"/>
          <w:color w:val="auto"/>
          <w:sz w:val="24"/>
          <w:szCs w:val="24"/>
          <w:highlight w:val="none"/>
          <w:lang w:val="en-US" w:eastAsia="zh-CN"/>
        </w:rPr>
        <w:t>应</w:t>
      </w:r>
      <w:r>
        <w:rPr>
          <w:rFonts w:hint="default"/>
          <w:strike w:val="0"/>
          <w:dstrike w:val="0"/>
          <w:color w:val="auto"/>
          <w:sz w:val="24"/>
          <w:szCs w:val="24"/>
          <w:highlight w:val="none"/>
        </w:rPr>
        <w:t>立即报告</w:t>
      </w:r>
      <w:r>
        <w:rPr>
          <w:rFonts w:hint="eastAsia"/>
          <w:strike w:val="0"/>
          <w:dstrike w:val="0"/>
          <w:color w:val="auto"/>
          <w:sz w:val="24"/>
          <w:szCs w:val="24"/>
          <w:highlight w:val="none"/>
          <w:lang w:val="en-US" w:eastAsia="zh-CN"/>
        </w:rPr>
        <w:t>合川工业园区/合川区人民政府</w:t>
      </w:r>
      <w:r>
        <w:rPr>
          <w:rFonts w:hint="default"/>
          <w:strike w:val="0"/>
          <w:dstrike w:val="0"/>
          <w:color w:val="auto"/>
          <w:sz w:val="24"/>
          <w:szCs w:val="24"/>
          <w:highlight w:val="none"/>
        </w:rPr>
        <w:t>，</w:t>
      </w:r>
      <w:r>
        <w:rPr>
          <w:rFonts w:hint="eastAsia"/>
          <w:strike w:val="0"/>
          <w:dstrike w:val="0"/>
          <w:color w:val="auto"/>
          <w:sz w:val="24"/>
          <w:szCs w:val="24"/>
          <w:highlight w:val="none"/>
          <w:lang w:val="en-US" w:eastAsia="zh-CN"/>
        </w:rPr>
        <w:t>工业园区/合川区</w:t>
      </w:r>
      <w:r>
        <w:rPr>
          <w:rFonts w:hint="default"/>
          <w:strike w:val="0"/>
          <w:dstrike w:val="0"/>
          <w:color w:val="auto"/>
          <w:sz w:val="24"/>
          <w:szCs w:val="24"/>
          <w:highlight w:val="none"/>
        </w:rPr>
        <w:t>应急处置力量可对</w:t>
      </w:r>
      <w:r>
        <w:rPr>
          <w:rFonts w:hint="eastAsia"/>
          <w:strike w:val="0"/>
          <w:dstrike w:val="0"/>
          <w:color w:val="auto"/>
          <w:sz w:val="24"/>
          <w:szCs w:val="24"/>
          <w:highlight w:val="none"/>
          <w:lang w:val="en-US" w:eastAsia="zh-CN"/>
        </w:rPr>
        <w:t>本项目</w:t>
      </w:r>
      <w:r>
        <w:rPr>
          <w:rFonts w:hint="default"/>
          <w:strike w:val="0"/>
          <w:dstrike w:val="0"/>
          <w:color w:val="auto"/>
          <w:sz w:val="24"/>
          <w:szCs w:val="24"/>
          <w:highlight w:val="none"/>
        </w:rPr>
        <w:t>应急处置提供援助</w:t>
      </w:r>
      <w:r>
        <w:rPr>
          <w:strike w:val="0"/>
          <w:dstrike w:val="0"/>
          <w:color w:val="auto"/>
          <w:sz w:val="24"/>
          <w:highlight w:val="none"/>
        </w:rPr>
        <w:t>。</w:t>
      </w:r>
    </w:p>
    <w:p w14:paraId="2A88C340">
      <w:pPr>
        <w:spacing w:line="360" w:lineRule="auto"/>
        <w:ind w:firstLine="480" w:firstLineChars="200"/>
        <w:rPr>
          <w:strike w:val="0"/>
          <w:dstrike w:val="0"/>
          <w:color w:val="auto"/>
          <w:sz w:val="24"/>
          <w:highlight w:val="none"/>
        </w:rPr>
      </w:pPr>
      <w:r>
        <w:rPr>
          <w:strike w:val="0"/>
          <w:dstrike w:val="0"/>
          <w:color w:val="auto"/>
          <w:sz w:val="24"/>
          <w:highlight w:val="none"/>
        </w:rPr>
        <w:t>所有救援行动结束后，仍然应当保护事故现场和清理现场杂物。事故应急救援程序由应急救援领导小组批准后方可终止，并经过领导小组同意通知本单位相关部门、周边村庄及人员事故危险已解除。</w:t>
      </w:r>
    </w:p>
    <w:p w14:paraId="5951A646">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.2应急救援保障</w:t>
      </w:r>
    </w:p>
    <w:p w14:paraId="367D9922">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工具车；堵漏器材(管箍、管卡等)；机动性强的充气式围栏；防爆抽油泵和临时储存容器；挖沟用阻隔工具；应急修补的专用工具和器材等；溢漏检漏专用仪器和设备等；消防设施和器材；移动通讯器材；其他应急救援保障设施。</w:t>
      </w:r>
    </w:p>
    <w:p w14:paraId="346565D7">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.3应急信息传递和反馈系统</w:t>
      </w:r>
    </w:p>
    <w:p w14:paraId="665F2867">
      <w:pPr>
        <w:spacing w:line="360" w:lineRule="auto"/>
        <w:ind w:firstLine="480" w:firstLineChars="200"/>
        <w:rPr>
          <w:strike w:val="0"/>
          <w:dstrike w:val="0"/>
          <w:color w:val="auto"/>
          <w:sz w:val="24"/>
          <w:highlight w:val="none"/>
        </w:rPr>
      </w:pPr>
      <w:r>
        <w:rPr>
          <w:strike w:val="0"/>
          <w:dstrike w:val="0"/>
          <w:color w:val="auto"/>
          <w:sz w:val="24"/>
          <w:highlight w:val="none"/>
        </w:rPr>
        <w:t>突发性风险事故报告分为速报、确报和处理结果报告三类：速报由当事人或发现者从发现事件起立即报告；确报由负责人在弄清有关基本情况后48小时以内上报总调度室；处理结果报告在事故处理完后立即上报安全环保处。</w:t>
      </w:r>
    </w:p>
    <w:p w14:paraId="3623DC73">
      <w:pPr>
        <w:spacing w:line="360" w:lineRule="auto"/>
        <w:ind w:firstLine="480" w:firstLineChars="200"/>
        <w:rPr>
          <w:strike w:val="0"/>
          <w:dstrike w:val="0"/>
          <w:color w:val="auto"/>
          <w:sz w:val="24"/>
          <w:highlight w:val="none"/>
        </w:rPr>
      </w:pPr>
      <w:r>
        <w:rPr>
          <w:strike w:val="0"/>
          <w:dstrike w:val="0"/>
          <w:color w:val="auto"/>
          <w:sz w:val="24"/>
          <w:highlight w:val="none"/>
        </w:rPr>
        <w:t>速报：发生（或发现）的时间、地点、物料种类、</w:t>
      </w:r>
      <w:r>
        <w:rPr>
          <w:rFonts w:hint="eastAsia"/>
          <w:strike w:val="0"/>
          <w:dstrike w:val="0"/>
          <w:color w:val="auto"/>
          <w:sz w:val="24"/>
          <w:highlight w:val="none"/>
          <w:lang w:eastAsia="zh-CN"/>
        </w:rPr>
        <w:t>范围</w:t>
      </w:r>
      <w:r>
        <w:rPr>
          <w:strike w:val="0"/>
          <w:dstrike w:val="0"/>
          <w:color w:val="auto"/>
          <w:sz w:val="24"/>
          <w:highlight w:val="none"/>
        </w:rPr>
        <w:t>与程度，报告人姓名或单位。</w:t>
      </w:r>
    </w:p>
    <w:p w14:paraId="358E6556">
      <w:pPr>
        <w:spacing w:line="360" w:lineRule="auto"/>
        <w:ind w:firstLine="480" w:firstLineChars="200"/>
        <w:rPr>
          <w:strike w:val="0"/>
          <w:dstrike w:val="0"/>
          <w:color w:val="auto"/>
          <w:sz w:val="24"/>
          <w:highlight w:val="none"/>
        </w:rPr>
      </w:pPr>
      <w:r>
        <w:rPr>
          <w:strike w:val="0"/>
          <w:dstrike w:val="0"/>
          <w:color w:val="auto"/>
          <w:sz w:val="24"/>
          <w:highlight w:val="none"/>
        </w:rPr>
        <w:t>确报和处理结果报告：除上述内容外，还应包括采取的应急措施、受损情况、经济损失和处理结果。</w:t>
      </w:r>
    </w:p>
    <w:p w14:paraId="0F7EC3EE">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.4人员紧急撤离、疏散计划和危险区域隔离</w:t>
      </w:r>
    </w:p>
    <w:p w14:paraId="53B98E2E">
      <w:pPr>
        <w:pStyle w:val="5"/>
        <w:spacing w:line="360" w:lineRule="auto"/>
        <w:ind w:firstLine="482" w:firstLineChars="200"/>
        <w:rPr>
          <w:strike w:val="0"/>
          <w:dstrike w:val="0"/>
          <w:color w:val="auto"/>
          <w:sz w:val="24"/>
          <w:szCs w:val="32"/>
          <w:highlight w:val="none"/>
        </w:rPr>
      </w:pPr>
      <w:bookmarkStart w:id="200" w:name="_Toc18758"/>
      <w:bookmarkStart w:id="201" w:name="_Toc8662"/>
      <w:r>
        <w:rPr>
          <w:rFonts w:hint="eastAsia"/>
          <w:strike w:val="0"/>
          <w:dstrike w:val="0"/>
          <w:color w:val="auto"/>
          <w:sz w:val="24"/>
          <w:szCs w:val="32"/>
          <w:highlight w:val="none"/>
          <w:lang w:val="en-US" w:eastAsia="zh-CN"/>
        </w:rPr>
        <w:t>8</w:t>
      </w:r>
      <w:r>
        <w:rPr>
          <w:strike w:val="0"/>
          <w:dstrike w:val="0"/>
          <w:color w:val="auto"/>
          <w:sz w:val="24"/>
          <w:szCs w:val="32"/>
          <w:highlight w:val="none"/>
        </w:rPr>
        <w:t>.</w:t>
      </w:r>
      <w:r>
        <w:rPr>
          <w:rFonts w:hint="eastAsia"/>
          <w:strike w:val="0"/>
          <w:dstrike w:val="0"/>
          <w:color w:val="auto"/>
          <w:sz w:val="24"/>
          <w:szCs w:val="32"/>
          <w:highlight w:val="none"/>
        </w:rPr>
        <w:t>4</w:t>
      </w:r>
      <w:r>
        <w:rPr>
          <w:strike w:val="0"/>
          <w:dstrike w:val="0"/>
          <w:color w:val="auto"/>
          <w:sz w:val="24"/>
          <w:szCs w:val="32"/>
          <w:highlight w:val="none"/>
        </w:rPr>
        <w:t>.1 事故现场人员的撤离</w:t>
      </w:r>
      <w:bookmarkEnd w:id="200"/>
      <w:bookmarkEnd w:id="201"/>
    </w:p>
    <w:p w14:paraId="10D1E45B">
      <w:pPr>
        <w:spacing w:line="360" w:lineRule="auto"/>
        <w:ind w:firstLine="480" w:firstLineChars="200"/>
        <w:rPr>
          <w:strike w:val="0"/>
          <w:dstrike w:val="0"/>
          <w:color w:val="auto"/>
          <w:sz w:val="24"/>
          <w:highlight w:val="none"/>
        </w:rPr>
      </w:pPr>
      <w:bookmarkStart w:id="202" w:name="_Toc17240"/>
      <w:bookmarkStart w:id="203" w:name="_Toc8913"/>
      <w:r>
        <w:rPr>
          <w:strike w:val="0"/>
          <w:dstrike w:val="0"/>
          <w:color w:val="auto"/>
          <w:sz w:val="24"/>
          <w:highlight w:val="none"/>
        </w:rPr>
        <w:t>当</w:t>
      </w:r>
      <w:r>
        <w:rPr>
          <w:strike w:val="0"/>
          <w:dstrike w:val="0"/>
          <w:color w:val="auto"/>
          <w:kern w:val="0"/>
          <w:sz w:val="24"/>
          <w:highlight w:val="none"/>
        </w:rPr>
        <w:t>班负责人</w:t>
      </w:r>
      <w:r>
        <w:rPr>
          <w:strike w:val="0"/>
          <w:dstrike w:val="0"/>
          <w:color w:val="auto"/>
          <w:sz w:val="24"/>
          <w:highlight w:val="none"/>
        </w:rPr>
        <w:t>应组织本班人员有秩序地疏散到上风</w:t>
      </w:r>
      <w:bookmarkStart w:id="204" w:name="OfficeAI_Add_0_22"/>
      <w:r>
        <w:rPr>
          <w:rFonts w:hint="eastAsia"/>
          <w:strike w:val="0"/>
          <w:dstrike w:val="0"/>
          <w:color w:val="auto"/>
          <w:sz w:val="24"/>
          <w:highlight w:val="none"/>
          <w:lang w:eastAsia="zh-CN"/>
        </w:rPr>
        <w:t>向</w:t>
      </w:r>
      <w:bookmarkEnd w:id="204"/>
      <w:r>
        <w:rPr>
          <w:strike w:val="0"/>
          <w:dstrike w:val="0"/>
          <w:color w:val="auto"/>
          <w:sz w:val="24"/>
          <w:highlight w:val="none"/>
        </w:rPr>
        <w:t>安全地带，疏散顺序从最危险地段人员先开始，相互兼顾照应，并根据风向指明集合地点。人员在安全地点集合后，当班负责人负责清点本班人数，并向应急指挥部报告人员情况。发现缺员，应报告所缺员工的姓名和事故前所处位置，立即派人进入灾区寻找失踪人员，提供急救。</w:t>
      </w:r>
    </w:p>
    <w:p w14:paraId="39233A88">
      <w:pPr>
        <w:pStyle w:val="5"/>
        <w:spacing w:line="360" w:lineRule="auto"/>
        <w:ind w:firstLine="482" w:firstLineChars="200"/>
        <w:rPr>
          <w:strike w:val="0"/>
          <w:dstrike w:val="0"/>
          <w:color w:val="auto"/>
          <w:sz w:val="24"/>
          <w:szCs w:val="32"/>
          <w:highlight w:val="none"/>
        </w:rPr>
      </w:pPr>
      <w:r>
        <w:rPr>
          <w:rFonts w:hint="eastAsia"/>
          <w:strike w:val="0"/>
          <w:dstrike w:val="0"/>
          <w:color w:val="auto"/>
          <w:sz w:val="24"/>
          <w:szCs w:val="32"/>
          <w:highlight w:val="none"/>
          <w:lang w:val="en-US" w:eastAsia="zh-CN"/>
        </w:rPr>
        <w:t>8</w:t>
      </w:r>
      <w:r>
        <w:rPr>
          <w:strike w:val="0"/>
          <w:dstrike w:val="0"/>
          <w:color w:val="auto"/>
          <w:sz w:val="24"/>
          <w:szCs w:val="32"/>
          <w:highlight w:val="none"/>
        </w:rPr>
        <w:t>.</w:t>
      </w:r>
      <w:r>
        <w:rPr>
          <w:rFonts w:hint="eastAsia"/>
          <w:strike w:val="0"/>
          <w:dstrike w:val="0"/>
          <w:color w:val="auto"/>
          <w:sz w:val="24"/>
          <w:szCs w:val="32"/>
          <w:highlight w:val="none"/>
        </w:rPr>
        <w:t>4</w:t>
      </w:r>
      <w:r>
        <w:rPr>
          <w:strike w:val="0"/>
          <w:dstrike w:val="0"/>
          <w:color w:val="auto"/>
          <w:sz w:val="24"/>
          <w:szCs w:val="32"/>
          <w:highlight w:val="none"/>
        </w:rPr>
        <w:t>.2 抢救人员在撤离前、撤离后的报告</w:t>
      </w:r>
      <w:bookmarkEnd w:id="202"/>
      <w:bookmarkEnd w:id="203"/>
    </w:p>
    <w:p w14:paraId="581732D7">
      <w:pPr>
        <w:spacing w:line="360" w:lineRule="auto"/>
        <w:ind w:firstLine="480" w:firstLineChars="200"/>
        <w:rPr>
          <w:strike w:val="0"/>
          <w:dstrike w:val="0"/>
          <w:color w:val="auto"/>
          <w:sz w:val="24"/>
          <w:highlight w:val="none"/>
        </w:rPr>
      </w:pPr>
      <w:r>
        <w:rPr>
          <w:strike w:val="0"/>
          <w:dstrike w:val="0"/>
          <w:color w:val="auto"/>
          <w:sz w:val="24"/>
          <w:highlight w:val="none"/>
        </w:rPr>
        <w:t>负责应急处置的人员在接到通知后，立即带上救护和防护装备赶赴现场，等候指令，听从指挥。由应急处置组组长视情况带领足够人员（可视情况临时补充、抽调）分批进入事发点进行现场处置或救护。在进入事故点前，应急处置组组长必须向应急指挥部报告每批参加处置或救护人员数量和名单并登记。</w:t>
      </w:r>
    </w:p>
    <w:p w14:paraId="36F4AED7">
      <w:pPr>
        <w:spacing w:line="360" w:lineRule="auto"/>
        <w:ind w:firstLine="480" w:firstLineChars="200"/>
        <w:rPr>
          <w:strike w:val="0"/>
          <w:dstrike w:val="0"/>
          <w:color w:val="auto"/>
          <w:sz w:val="24"/>
          <w:highlight w:val="none"/>
        </w:rPr>
      </w:pPr>
      <w:r>
        <w:rPr>
          <w:strike w:val="0"/>
          <w:dstrike w:val="0"/>
          <w:color w:val="auto"/>
          <w:sz w:val="24"/>
          <w:highlight w:val="none"/>
        </w:rPr>
        <w:t>应急处置组完成任务后，组长应向应急指挥部报告任务执行情况以及处置或救护人员安全状况，申请下达撤离命令。应急指挥部根据事故控制情况，即时做出撤离或继续处置或救护的决定。组长若接到撤离命令后，带领应急处置人员撤离事故点至安全地带，清点人员后，再向应急指挥部报告。</w:t>
      </w:r>
    </w:p>
    <w:p w14:paraId="1E09DB58">
      <w:pPr>
        <w:pStyle w:val="5"/>
        <w:spacing w:line="360" w:lineRule="auto"/>
        <w:ind w:firstLine="482" w:firstLineChars="200"/>
        <w:rPr>
          <w:strike w:val="0"/>
          <w:dstrike w:val="0"/>
          <w:color w:val="auto"/>
          <w:sz w:val="24"/>
          <w:szCs w:val="32"/>
          <w:highlight w:val="none"/>
        </w:rPr>
      </w:pPr>
      <w:bookmarkStart w:id="205" w:name="_Toc4866"/>
      <w:bookmarkStart w:id="206" w:name="_Toc15646"/>
      <w:r>
        <w:rPr>
          <w:rFonts w:hint="eastAsia"/>
          <w:strike w:val="0"/>
          <w:dstrike w:val="0"/>
          <w:color w:val="auto"/>
          <w:sz w:val="24"/>
          <w:szCs w:val="32"/>
          <w:highlight w:val="none"/>
          <w:lang w:val="en-US" w:eastAsia="zh-CN"/>
        </w:rPr>
        <w:t>8</w:t>
      </w:r>
      <w:r>
        <w:rPr>
          <w:strike w:val="0"/>
          <w:dstrike w:val="0"/>
          <w:color w:val="auto"/>
          <w:sz w:val="24"/>
          <w:szCs w:val="32"/>
          <w:highlight w:val="none"/>
        </w:rPr>
        <w:t>.</w:t>
      </w:r>
      <w:r>
        <w:rPr>
          <w:rFonts w:hint="eastAsia"/>
          <w:strike w:val="0"/>
          <w:dstrike w:val="0"/>
          <w:color w:val="auto"/>
          <w:sz w:val="24"/>
          <w:szCs w:val="32"/>
          <w:highlight w:val="none"/>
        </w:rPr>
        <w:t>4</w:t>
      </w:r>
      <w:r>
        <w:rPr>
          <w:strike w:val="0"/>
          <w:dstrike w:val="0"/>
          <w:color w:val="auto"/>
          <w:sz w:val="24"/>
          <w:szCs w:val="32"/>
          <w:highlight w:val="none"/>
        </w:rPr>
        <w:t>.3 周边区域单位人员疏散的方式、方法</w:t>
      </w:r>
      <w:bookmarkEnd w:id="205"/>
      <w:bookmarkEnd w:id="206"/>
    </w:p>
    <w:p w14:paraId="0C8943D1">
      <w:pPr>
        <w:spacing w:line="360" w:lineRule="auto"/>
        <w:ind w:firstLine="480" w:firstLineChars="200"/>
        <w:rPr>
          <w:strike w:val="0"/>
          <w:dstrike w:val="0"/>
          <w:color w:val="auto"/>
          <w:sz w:val="24"/>
          <w:highlight w:val="none"/>
        </w:rPr>
      </w:pPr>
      <w:r>
        <w:rPr>
          <w:strike w:val="0"/>
          <w:dstrike w:val="0"/>
          <w:color w:val="auto"/>
          <w:sz w:val="24"/>
          <w:highlight w:val="none"/>
        </w:rPr>
        <w:t>当事故危急周边单位、居民、敏感单位时，由应急指挥部向政府以及周边单位、居民、敏感单位发送警报。事态严重紧急时，通过应急指挥部和综合保障组直接联系政府以及周边单位负责人，由应急指挥部指挥长亲自向政府或负责人发布消息，提出要求组织撤离疏散或者请求援助。在发布消息时，必须发布事态的缓急程度，提出撤离的具体方法、方式和路线。</w:t>
      </w:r>
    </w:p>
    <w:p w14:paraId="15D7C952">
      <w:pPr>
        <w:spacing w:line="360" w:lineRule="auto"/>
        <w:ind w:firstLine="480" w:firstLineChars="200"/>
        <w:rPr>
          <w:strike w:val="0"/>
          <w:dstrike w:val="0"/>
          <w:color w:val="auto"/>
          <w:sz w:val="24"/>
          <w:highlight w:val="none"/>
        </w:rPr>
      </w:pPr>
      <w:r>
        <w:rPr>
          <w:strike w:val="0"/>
          <w:dstrike w:val="0"/>
          <w:color w:val="auto"/>
          <w:sz w:val="24"/>
          <w:highlight w:val="none"/>
        </w:rPr>
        <w:t>项目应急疏散线路见</w:t>
      </w:r>
      <w:r>
        <w:rPr>
          <w:rFonts w:hint="eastAsia"/>
          <w:strike w:val="0"/>
          <w:dstrike w:val="0"/>
          <w:color w:val="auto"/>
          <w:sz w:val="24"/>
          <w:highlight w:val="none"/>
        </w:rPr>
        <w:t>附图2-2</w:t>
      </w:r>
      <w:r>
        <w:rPr>
          <w:strike w:val="0"/>
          <w:dstrike w:val="0"/>
          <w:color w:val="auto"/>
          <w:sz w:val="24"/>
          <w:highlight w:val="none"/>
        </w:rPr>
        <w:t>。</w:t>
      </w:r>
    </w:p>
    <w:p w14:paraId="70C4973E">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.5事故应急救援关闭程序与恢复措施</w:t>
      </w:r>
    </w:p>
    <w:p w14:paraId="3D991261">
      <w:pPr>
        <w:spacing w:line="360" w:lineRule="auto"/>
        <w:ind w:firstLine="480" w:firstLineChars="200"/>
        <w:rPr>
          <w:strike w:val="0"/>
          <w:dstrike w:val="0"/>
          <w:color w:val="auto"/>
          <w:sz w:val="24"/>
          <w:highlight w:val="none"/>
        </w:rPr>
      </w:pPr>
      <w:r>
        <w:rPr>
          <w:strike w:val="0"/>
          <w:dstrike w:val="0"/>
          <w:color w:val="auto"/>
          <w:sz w:val="24"/>
          <w:highlight w:val="none"/>
        </w:rPr>
        <w:t>一旦风险事故发生并得到有效控制后，企业应及时对风险事故发生源进行修复和完善，以满足正常生产的要求</w:t>
      </w:r>
      <w:bookmarkStart w:id="207" w:name="OfficeAI_Add_0_49"/>
      <w:r>
        <w:rPr>
          <w:rFonts w:hint="eastAsia"/>
          <w:strike w:val="0"/>
          <w:dstrike w:val="0"/>
          <w:color w:val="auto"/>
          <w:sz w:val="24"/>
          <w:highlight w:val="none"/>
          <w:lang w:eastAsia="zh-CN"/>
        </w:rPr>
        <w:t>。</w:t>
      </w:r>
      <w:bookmarkEnd w:id="207"/>
      <w:r>
        <w:rPr>
          <w:strike w:val="0"/>
          <w:dstrike w:val="0"/>
          <w:color w:val="auto"/>
          <w:sz w:val="24"/>
          <w:highlight w:val="none"/>
        </w:rPr>
        <w:t>待工程所在地环境保护主管部门环境监测数据满足区域环境功能区划要求时，邻近区域并被解除事故警戒后，应急救援指挥中心可终止应急状态程序。</w:t>
      </w:r>
    </w:p>
    <w:p w14:paraId="11C8ECAE">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.6应急培训和演练计划</w:t>
      </w:r>
    </w:p>
    <w:p w14:paraId="4018E3E8">
      <w:pPr>
        <w:pStyle w:val="5"/>
        <w:spacing w:line="360" w:lineRule="auto"/>
        <w:ind w:firstLine="482" w:firstLineChars="200"/>
        <w:rPr>
          <w:strike w:val="0"/>
          <w:dstrike w:val="0"/>
          <w:color w:val="auto"/>
          <w:sz w:val="24"/>
          <w:szCs w:val="32"/>
          <w:highlight w:val="none"/>
        </w:rPr>
      </w:pPr>
      <w:bookmarkStart w:id="208" w:name="_Toc14917"/>
      <w:bookmarkStart w:id="209" w:name="_Toc504640685"/>
      <w:bookmarkStart w:id="210" w:name="_Toc10333"/>
      <w:bookmarkStart w:id="211" w:name="_Toc507678494"/>
      <w:bookmarkStart w:id="212" w:name="_Toc32702"/>
      <w:bookmarkStart w:id="213" w:name="_Toc463813329"/>
      <w:bookmarkStart w:id="214" w:name="_Toc9503"/>
      <w:bookmarkStart w:id="215" w:name="_Toc28838"/>
      <w:bookmarkStart w:id="216" w:name="_Toc404629921"/>
      <w:bookmarkStart w:id="217" w:name="_Toc16373"/>
      <w:bookmarkStart w:id="218" w:name="_Toc30923"/>
      <w:bookmarkStart w:id="219" w:name="_Toc503358065"/>
      <w:bookmarkStart w:id="220" w:name="_Toc404622181"/>
      <w:bookmarkStart w:id="221" w:name="_Toc6740"/>
      <w:bookmarkStart w:id="222" w:name="_Toc496186871"/>
      <w:r>
        <w:rPr>
          <w:rFonts w:hint="eastAsia"/>
          <w:strike w:val="0"/>
          <w:dstrike w:val="0"/>
          <w:color w:val="auto"/>
          <w:sz w:val="24"/>
          <w:szCs w:val="32"/>
          <w:highlight w:val="none"/>
          <w:lang w:val="en-US" w:eastAsia="zh-CN"/>
        </w:rPr>
        <w:t>8</w:t>
      </w:r>
      <w:r>
        <w:rPr>
          <w:rFonts w:hint="eastAsia"/>
          <w:strike w:val="0"/>
          <w:dstrike w:val="0"/>
          <w:color w:val="auto"/>
          <w:sz w:val="24"/>
          <w:szCs w:val="32"/>
          <w:highlight w:val="none"/>
        </w:rPr>
        <w:t xml:space="preserve">.6.1 </w:t>
      </w:r>
      <w:r>
        <w:rPr>
          <w:strike w:val="0"/>
          <w:dstrike w:val="0"/>
          <w:color w:val="auto"/>
          <w:sz w:val="24"/>
          <w:szCs w:val="32"/>
          <w:highlight w:val="none"/>
        </w:rPr>
        <w:t>宣传</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779A8C37">
      <w:pPr>
        <w:spacing w:line="360" w:lineRule="auto"/>
        <w:ind w:firstLine="480"/>
        <w:rPr>
          <w:strike w:val="0"/>
          <w:dstrike w:val="0"/>
          <w:color w:val="auto"/>
          <w:sz w:val="24"/>
          <w:highlight w:val="none"/>
        </w:rPr>
      </w:pPr>
      <w:bookmarkStart w:id="223" w:name="_Toc24944"/>
      <w:bookmarkStart w:id="224" w:name="_Toc25343"/>
      <w:bookmarkStart w:id="225" w:name="_Toc463813330"/>
      <w:bookmarkStart w:id="226" w:name="_Toc503358066"/>
      <w:bookmarkStart w:id="227" w:name="_Toc496186872"/>
      <w:bookmarkStart w:id="228" w:name="_Toc20875"/>
      <w:bookmarkStart w:id="229" w:name="_Toc30319"/>
      <w:bookmarkStart w:id="230" w:name="_Toc504640686"/>
      <w:bookmarkStart w:id="231" w:name="_Toc404629922"/>
      <w:bookmarkStart w:id="232" w:name="_Toc507678495"/>
      <w:bookmarkStart w:id="233" w:name="_Toc22256"/>
      <w:bookmarkStart w:id="234" w:name="_Toc404622182"/>
      <w:bookmarkStart w:id="235" w:name="_Toc31283"/>
      <w:bookmarkStart w:id="236" w:name="_Toc32414"/>
      <w:bookmarkStart w:id="237" w:name="_Toc22181"/>
      <w:r>
        <w:rPr>
          <w:strike w:val="0"/>
          <w:dstrike w:val="0"/>
          <w:color w:val="auto"/>
          <w:sz w:val="24"/>
          <w:highlight w:val="none"/>
        </w:rPr>
        <w:t>应</w:t>
      </w:r>
      <w:bookmarkStart w:id="238" w:name="OfficeAI_Add_0_2"/>
      <w:r>
        <w:rPr>
          <w:rFonts w:hint="eastAsia"/>
          <w:strike w:val="0"/>
          <w:dstrike w:val="0"/>
          <w:color w:val="auto"/>
          <w:sz w:val="24"/>
          <w:highlight w:val="none"/>
          <w:lang w:eastAsia="zh-CN"/>
        </w:rPr>
        <w:t>采</w:t>
      </w:r>
      <w:bookmarkEnd w:id="238"/>
      <w:r>
        <w:rPr>
          <w:strike w:val="0"/>
          <w:dstrike w:val="0"/>
          <w:color w:val="auto"/>
          <w:sz w:val="24"/>
          <w:highlight w:val="none"/>
        </w:rPr>
        <w:t>取各种方式（如讲座、发宣传单等）向公众和员工说明本</w:t>
      </w:r>
      <w:r>
        <w:rPr>
          <w:rFonts w:hint="eastAsia"/>
          <w:strike w:val="0"/>
          <w:dstrike w:val="0"/>
          <w:color w:val="auto"/>
          <w:sz w:val="24"/>
          <w:highlight w:val="none"/>
        </w:rPr>
        <w:t>站区</w:t>
      </w:r>
      <w:r>
        <w:rPr>
          <w:strike w:val="0"/>
          <w:dstrike w:val="0"/>
          <w:color w:val="auto"/>
          <w:sz w:val="24"/>
          <w:highlight w:val="none"/>
        </w:rPr>
        <w:t>所涉及的环境风险物质的危险特性及发生事故可能造成的危害，广泛宣传突发环境事件有关法律法规和预防、避险、避灾、自救、互救及应急响应的常识。</w:t>
      </w:r>
    </w:p>
    <w:p w14:paraId="4F5EDF8F">
      <w:pPr>
        <w:spacing w:line="360" w:lineRule="auto"/>
        <w:ind w:firstLine="480"/>
        <w:rPr>
          <w:strike w:val="0"/>
          <w:dstrike w:val="0"/>
          <w:color w:val="auto"/>
          <w:kern w:val="0"/>
          <w:sz w:val="24"/>
          <w:highlight w:val="none"/>
        </w:rPr>
      </w:pPr>
      <w:r>
        <w:rPr>
          <w:strike w:val="0"/>
          <w:dstrike w:val="0"/>
          <w:color w:val="auto"/>
          <w:sz w:val="24"/>
          <w:highlight w:val="none"/>
        </w:rPr>
        <w:t>对于员工的宣传，</w:t>
      </w:r>
      <w:r>
        <w:rPr>
          <w:rFonts w:hint="eastAsia"/>
          <w:strike w:val="0"/>
          <w:dstrike w:val="0"/>
          <w:color w:val="auto"/>
          <w:sz w:val="24"/>
          <w:highlight w:val="none"/>
          <w:lang w:eastAsia="zh-CN"/>
        </w:rPr>
        <w:t>采</w:t>
      </w:r>
      <w:r>
        <w:rPr>
          <w:strike w:val="0"/>
          <w:dstrike w:val="0"/>
          <w:color w:val="auto"/>
          <w:sz w:val="24"/>
          <w:highlight w:val="none"/>
        </w:rPr>
        <w:t>取在</w:t>
      </w:r>
      <w:r>
        <w:rPr>
          <w:rFonts w:hint="eastAsia"/>
          <w:strike w:val="0"/>
          <w:dstrike w:val="0"/>
          <w:color w:val="auto"/>
          <w:sz w:val="24"/>
          <w:highlight w:val="none"/>
        </w:rPr>
        <w:t>站区</w:t>
      </w:r>
      <w:r>
        <w:rPr>
          <w:strike w:val="0"/>
          <w:dstrike w:val="0"/>
          <w:color w:val="auto"/>
          <w:sz w:val="24"/>
          <w:highlight w:val="none"/>
        </w:rPr>
        <w:t>环境风险物质存在地点、</w:t>
      </w:r>
      <w:r>
        <w:rPr>
          <w:rFonts w:hint="eastAsia"/>
          <w:strike w:val="0"/>
          <w:dstrike w:val="0"/>
          <w:color w:val="auto"/>
          <w:sz w:val="24"/>
          <w:highlight w:val="none"/>
        </w:rPr>
        <w:t>站区</w:t>
      </w:r>
      <w:r>
        <w:rPr>
          <w:strike w:val="0"/>
          <w:dstrike w:val="0"/>
          <w:color w:val="auto"/>
          <w:sz w:val="24"/>
          <w:highlight w:val="none"/>
        </w:rPr>
        <w:t>宣传栏中长期固定张贴宣传资料、每季度开会宣传的方式。</w:t>
      </w:r>
    </w:p>
    <w:p w14:paraId="0BD02849">
      <w:pPr>
        <w:pStyle w:val="5"/>
        <w:spacing w:line="360" w:lineRule="auto"/>
        <w:ind w:firstLine="482" w:firstLineChars="200"/>
        <w:rPr>
          <w:strike w:val="0"/>
          <w:dstrike w:val="0"/>
          <w:color w:val="auto"/>
          <w:sz w:val="24"/>
          <w:szCs w:val="32"/>
          <w:highlight w:val="none"/>
        </w:rPr>
      </w:pPr>
      <w:r>
        <w:rPr>
          <w:rFonts w:hint="eastAsia"/>
          <w:strike w:val="0"/>
          <w:dstrike w:val="0"/>
          <w:color w:val="auto"/>
          <w:sz w:val="24"/>
          <w:szCs w:val="32"/>
          <w:highlight w:val="none"/>
          <w:lang w:val="en-US" w:eastAsia="zh-CN"/>
        </w:rPr>
        <w:t>8</w:t>
      </w:r>
      <w:r>
        <w:rPr>
          <w:rFonts w:hint="eastAsia"/>
          <w:strike w:val="0"/>
          <w:dstrike w:val="0"/>
          <w:color w:val="auto"/>
          <w:sz w:val="24"/>
          <w:szCs w:val="32"/>
          <w:highlight w:val="none"/>
        </w:rPr>
        <w:t xml:space="preserve">.6.2 </w:t>
      </w:r>
      <w:r>
        <w:rPr>
          <w:strike w:val="0"/>
          <w:dstrike w:val="0"/>
          <w:color w:val="auto"/>
          <w:sz w:val="24"/>
          <w:szCs w:val="32"/>
          <w:highlight w:val="none"/>
        </w:rPr>
        <w:t>培训</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8604CD2">
      <w:pPr>
        <w:spacing w:line="360" w:lineRule="auto"/>
        <w:ind w:firstLine="480"/>
        <w:rPr>
          <w:strike w:val="0"/>
          <w:dstrike w:val="0"/>
          <w:color w:val="auto"/>
          <w:sz w:val="24"/>
          <w:highlight w:val="none"/>
        </w:rPr>
      </w:pPr>
      <w:bookmarkStart w:id="239" w:name="_Toc203194297"/>
      <w:bookmarkStart w:id="240" w:name="_Toc13685"/>
      <w:bookmarkStart w:id="241" w:name="_Toc19039"/>
      <w:bookmarkStart w:id="242" w:name="_Toc507678496"/>
      <w:bookmarkStart w:id="243" w:name="_Toc463813331"/>
      <w:bookmarkStart w:id="244" w:name="_Toc503358067"/>
      <w:bookmarkStart w:id="245" w:name="_Toc17924"/>
      <w:bookmarkStart w:id="246" w:name="_Toc404622185"/>
      <w:bookmarkStart w:id="247" w:name="_Toc278976023"/>
      <w:bookmarkStart w:id="248" w:name="_Toc202890392"/>
      <w:bookmarkStart w:id="249" w:name="_Toc12323"/>
      <w:bookmarkStart w:id="250" w:name="_Toc496186873"/>
      <w:bookmarkStart w:id="251" w:name="_Toc404629923"/>
      <w:bookmarkStart w:id="252" w:name="_Toc202928921"/>
      <w:bookmarkStart w:id="253" w:name="_Toc504640687"/>
      <w:r>
        <w:rPr>
          <w:rFonts w:hint="eastAsia"/>
          <w:strike w:val="0"/>
          <w:dstrike w:val="0"/>
          <w:color w:val="auto"/>
          <w:sz w:val="24"/>
          <w:highlight w:val="none"/>
        </w:rPr>
        <w:t>本项目应急办公室每年至少组织一次公司级综合性环境应急知识培训；本项目应急办公室定期对员工进行培训。</w:t>
      </w:r>
    </w:p>
    <w:p w14:paraId="494E66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trike w:val="0"/>
          <w:dstrike w:val="0"/>
          <w:color w:val="auto"/>
          <w:sz w:val="24"/>
          <w:highlight w:val="none"/>
        </w:rPr>
      </w:pPr>
      <w:r>
        <w:rPr>
          <w:rFonts w:hint="eastAsia"/>
          <w:strike w:val="0"/>
          <w:dstrike w:val="0"/>
          <w:color w:val="auto"/>
          <w:sz w:val="24"/>
          <w:highlight w:val="none"/>
        </w:rPr>
        <w:t>对本加油站员工加强应对突发事故的能力培训，具体内容包括：</w:t>
      </w:r>
    </w:p>
    <w:p w14:paraId="67F72B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trike w:val="0"/>
          <w:dstrike w:val="0"/>
          <w:color w:val="auto"/>
          <w:sz w:val="24"/>
          <w:highlight w:val="none"/>
        </w:rPr>
      </w:pPr>
      <w:r>
        <w:rPr>
          <w:rFonts w:hint="eastAsia"/>
          <w:strike w:val="0"/>
          <w:dstrike w:val="0"/>
          <w:color w:val="auto"/>
          <w:sz w:val="24"/>
          <w:highlight w:val="none"/>
        </w:rPr>
        <w:t>（1）培训员工熟悉并掌握应急器材</w:t>
      </w:r>
      <w:bookmarkStart w:id="254" w:name="OfficeAI_Add_2_17"/>
      <w:r>
        <w:rPr>
          <w:rFonts w:hint="eastAsia"/>
          <w:strike w:val="0"/>
          <w:dstrike w:val="0"/>
          <w:color w:val="auto"/>
          <w:sz w:val="24"/>
          <w:highlight w:val="none"/>
          <w:lang w:eastAsia="zh-CN"/>
        </w:rPr>
        <w:t>的使用方法</w:t>
      </w:r>
      <w:bookmarkEnd w:id="254"/>
      <w:r>
        <w:rPr>
          <w:rFonts w:hint="eastAsia"/>
          <w:strike w:val="0"/>
          <w:dstrike w:val="0"/>
          <w:color w:val="auto"/>
          <w:sz w:val="24"/>
          <w:highlight w:val="none"/>
        </w:rPr>
        <w:t>；</w:t>
      </w:r>
    </w:p>
    <w:p w14:paraId="41A4AC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trike w:val="0"/>
          <w:dstrike w:val="0"/>
          <w:color w:val="auto"/>
          <w:sz w:val="24"/>
          <w:highlight w:val="none"/>
        </w:rPr>
      </w:pPr>
      <w:r>
        <w:rPr>
          <w:rFonts w:hint="eastAsia"/>
          <w:strike w:val="0"/>
          <w:dstrike w:val="0"/>
          <w:color w:val="auto"/>
          <w:sz w:val="24"/>
          <w:highlight w:val="none"/>
        </w:rPr>
        <w:t>（2）培训员工</w:t>
      </w:r>
      <w:bookmarkStart w:id="255" w:name="OfficeAI_Add_3_7"/>
      <w:r>
        <w:rPr>
          <w:rFonts w:hint="eastAsia"/>
          <w:strike w:val="0"/>
          <w:dstrike w:val="0"/>
          <w:color w:val="auto"/>
          <w:sz w:val="24"/>
          <w:highlight w:val="none"/>
          <w:lang w:eastAsia="zh-CN"/>
        </w:rPr>
        <w:t>在</w:t>
      </w:r>
      <w:bookmarkEnd w:id="255"/>
      <w:r>
        <w:rPr>
          <w:rFonts w:hint="eastAsia"/>
          <w:strike w:val="0"/>
          <w:dstrike w:val="0"/>
          <w:color w:val="auto"/>
          <w:sz w:val="24"/>
          <w:highlight w:val="none"/>
        </w:rPr>
        <w:t>突发事故时</w:t>
      </w:r>
      <w:bookmarkStart w:id="256" w:name="OfficeAI_Add_3_13"/>
      <w:r>
        <w:rPr>
          <w:rFonts w:hint="eastAsia"/>
          <w:strike w:val="0"/>
          <w:dstrike w:val="0"/>
          <w:color w:val="auto"/>
          <w:sz w:val="24"/>
          <w:highlight w:val="none"/>
          <w:lang w:eastAsia="zh-CN"/>
        </w:rPr>
        <w:t>的</w:t>
      </w:r>
      <w:bookmarkEnd w:id="256"/>
      <w:r>
        <w:rPr>
          <w:rFonts w:hint="eastAsia"/>
          <w:strike w:val="0"/>
          <w:dstrike w:val="0"/>
          <w:color w:val="auto"/>
          <w:sz w:val="24"/>
          <w:highlight w:val="none"/>
        </w:rPr>
        <w:t>自我保护和相互实施救助</w:t>
      </w:r>
      <w:bookmarkStart w:id="257" w:name="OfficeAI_Add_3_25"/>
      <w:r>
        <w:rPr>
          <w:rFonts w:hint="eastAsia"/>
          <w:strike w:val="0"/>
          <w:dstrike w:val="0"/>
          <w:color w:val="auto"/>
          <w:sz w:val="24"/>
          <w:highlight w:val="none"/>
          <w:lang w:eastAsia="zh-CN"/>
        </w:rPr>
        <w:t>的方法</w:t>
      </w:r>
      <w:bookmarkEnd w:id="257"/>
      <w:r>
        <w:rPr>
          <w:rFonts w:hint="eastAsia"/>
          <w:strike w:val="0"/>
          <w:dstrike w:val="0"/>
          <w:color w:val="auto"/>
          <w:sz w:val="24"/>
          <w:highlight w:val="none"/>
        </w:rPr>
        <w:t>；</w:t>
      </w:r>
    </w:p>
    <w:p w14:paraId="5CA350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trike w:val="0"/>
          <w:dstrike w:val="0"/>
          <w:color w:val="auto"/>
          <w:sz w:val="24"/>
          <w:highlight w:val="none"/>
        </w:rPr>
      </w:pPr>
      <w:r>
        <w:rPr>
          <w:rFonts w:hint="eastAsia"/>
          <w:strike w:val="0"/>
          <w:dstrike w:val="0"/>
          <w:color w:val="auto"/>
          <w:sz w:val="24"/>
          <w:highlight w:val="none"/>
        </w:rPr>
        <w:t>（3）对员工进行人员疏散的培训；</w:t>
      </w:r>
    </w:p>
    <w:p w14:paraId="1993FC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trike w:val="0"/>
          <w:dstrike w:val="0"/>
          <w:color w:val="auto"/>
          <w:sz w:val="24"/>
          <w:highlight w:val="none"/>
        </w:rPr>
      </w:pPr>
      <w:r>
        <w:rPr>
          <w:rFonts w:hint="eastAsia"/>
          <w:strike w:val="0"/>
          <w:dstrike w:val="0"/>
          <w:color w:val="auto"/>
          <w:sz w:val="24"/>
          <w:highlight w:val="none"/>
        </w:rPr>
        <w:t>（4）培训员工熟悉使用等应急处置器具，掌握事故初发时应急处置</w:t>
      </w:r>
      <w:bookmarkStart w:id="258" w:name="OfficeAI_Add_5_30"/>
      <w:r>
        <w:rPr>
          <w:rFonts w:hint="eastAsia"/>
          <w:strike w:val="0"/>
          <w:dstrike w:val="0"/>
          <w:color w:val="auto"/>
          <w:sz w:val="24"/>
          <w:highlight w:val="none"/>
          <w:lang w:eastAsia="zh-CN"/>
        </w:rPr>
        <w:t>的</w:t>
      </w:r>
      <w:bookmarkEnd w:id="258"/>
      <w:r>
        <w:rPr>
          <w:rFonts w:hint="eastAsia"/>
          <w:strike w:val="0"/>
          <w:dstrike w:val="0"/>
          <w:color w:val="auto"/>
          <w:sz w:val="24"/>
          <w:highlight w:val="none"/>
        </w:rPr>
        <w:t>基本技能。</w:t>
      </w:r>
    </w:p>
    <w:p w14:paraId="5D574543">
      <w:pPr>
        <w:spacing w:line="360" w:lineRule="auto"/>
        <w:jc w:val="center"/>
        <w:rPr>
          <w:b/>
          <w:strike w:val="0"/>
          <w:dstrike w:val="0"/>
          <w:color w:val="auto"/>
          <w:sz w:val="24"/>
          <w:highlight w:val="none"/>
        </w:rPr>
      </w:pPr>
      <w:r>
        <w:rPr>
          <w:rFonts w:hint="eastAsia"/>
          <w:b/>
          <w:strike w:val="0"/>
          <w:dstrike w:val="0"/>
          <w:color w:val="auto"/>
          <w:sz w:val="24"/>
          <w:highlight w:val="none"/>
          <w:lang w:eastAsia="zh-CN"/>
        </w:rPr>
        <w:t>表8.6</w:t>
      </w:r>
      <w:r>
        <w:rPr>
          <w:b/>
          <w:strike w:val="0"/>
          <w:dstrike w:val="0"/>
          <w:color w:val="auto"/>
          <w:sz w:val="24"/>
          <w:highlight w:val="none"/>
        </w:rPr>
        <w:t xml:space="preserve">-1  </w:t>
      </w:r>
      <w:r>
        <w:rPr>
          <w:rFonts w:hint="eastAsia"/>
          <w:b/>
          <w:strike w:val="0"/>
          <w:dstrike w:val="0"/>
          <w:color w:val="auto"/>
          <w:sz w:val="24"/>
          <w:highlight w:val="none"/>
        </w:rPr>
        <w:t>应急培训内容</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268"/>
        <w:gridCol w:w="3102"/>
        <w:gridCol w:w="2938"/>
      </w:tblGrid>
      <w:tr w14:paraId="0249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2268" w:type="dxa"/>
            <w:vAlign w:val="center"/>
          </w:tcPr>
          <w:p w14:paraId="67148069">
            <w:pPr>
              <w:jc w:val="center"/>
              <w:rPr>
                <w:b/>
                <w:strike w:val="0"/>
                <w:dstrike w:val="0"/>
                <w:color w:val="auto"/>
                <w:szCs w:val="21"/>
                <w:highlight w:val="none"/>
              </w:rPr>
            </w:pPr>
            <w:r>
              <w:rPr>
                <w:rFonts w:hint="eastAsia"/>
                <w:b/>
                <w:strike w:val="0"/>
                <w:dstrike w:val="0"/>
                <w:color w:val="auto"/>
                <w:szCs w:val="21"/>
                <w:highlight w:val="none"/>
              </w:rPr>
              <w:t>培训内容</w:t>
            </w:r>
          </w:p>
        </w:tc>
        <w:tc>
          <w:tcPr>
            <w:tcW w:w="3102" w:type="dxa"/>
            <w:vAlign w:val="center"/>
          </w:tcPr>
          <w:p w14:paraId="30DDB6A3">
            <w:pPr>
              <w:jc w:val="center"/>
              <w:rPr>
                <w:b/>
                <w:strike w:val="0"/>
                <w:dstrike w:val="0"/>
                <w:color w:val="auto"/>
                <w:szCs w:val="21"/>
                <w:highlight w:val="none"/>
              </w:rPr>
            </w:pPr>
            <w:r>
              <w:rPr>
                <w:rFonts w:hint="eastAsia"/>
                <w:b/>
                <w:strike w:val="0"/>
                <w:dstrike w:val="0"/>
                <w:color w:val="auto"/>
                <w:szCs w:val="21"/>
                <w:highlight w:val="none"/>
              </w:rPr>
              <w:t>培训人员</w:t>
            </w:r>
          </w:p>
        </w:tc>
        <w:tc>
          <w:tcPr>
            <w:tcW w:w="2938" w:type="dxa"/>
            <w:vAlign w:val="center"/>
          </w:tcPr>
          <w:p w14:paraId="66DD3C4C">
            <w:pPr>
              <w:jc w:val="center"/>
              <w:rPr>
                <w:b/>
                <w:strike w:val="0"/>
                <w:dstrike w:val="0"/>
                <w:color w:val="auto"/>
                <w:szCs w:val="21"/>
                <w:highlight w:val="none"/>
              </w:rPr>
            </w:pPr>
            <w:r>
              <w:rPr>
                <w:rFonts w:hint="eastAsia"/>
                <w:b/>
                <w:strike w:val="0"/>
                <w:dstrike w:val="0"/>
                <w:color w:val="auto"/>
                <w:szCs w:val="21"/>
                <w:highlight w:val="none"/>
              </w:rPr>
              <w:t>培训方式</w:t>
            </w:r>
          </w:p>
        </w:tc>
      </w:tr>
      <w:tr w14:paraId="3DF3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2268" w:type="dxa"/>
            <w:vAlign w:val="center"/>
          </w:tcPr>
          <w:p w14:paraId="55819C82">
            <w:pPr>
              <w:jc w:val="center"/>
              <w:rPr>
                <w:strike w:val="0"/>
                <w:dstrike w:val="0"/>
                <w:color w:val="auto"/>
                <w:szCs w:val="21"/>
                <w:highlight w:val="none"/>
              </w:rPr>
            </w:pPr>
            <w:r>
              <w:rPr>
                <w:rFonts w:hint="eastAsia"/>
                <w:strike w:val="0"/>
                <w:dstrike w:val="0"/>
                <w:color w:val="auto"/>
                <w:szCs w:val="21"/>
                <w:highlight w:val="none"/>
              </w:rPr>
              <w:t>应急小组的职责</w:t>
            </w:r>
          </w:p>
        </w:tc>
        <w:tc>
          <w:tcPr>
            <w:tcW w:w="3102" w:type="dxa"/>
            <w:vAlign w:val="center"/>
          </w:tcPr>
          <w:p w14:paraId="7FBA90C0">
            <w:pPr>
              <w:jc w:val="center"/>
              <w:rPr>
                <w:strike w:val="0"/>
                <w:dstrike w:val="0"/>
                <w:color w:val="auto"/>
                <w:szCs w:val="21"/>
                <w:highlight w:val="none"/>
              </w:rPr>
            </w:pPr>
            <w:r>
              <w:rPr>
                <w:rFonts w:hint="eastAsia"/>
                <w:strike w:val="0"/>
                <w:dstrike w:val="0"/>
                <w:color w:val="auto"/>
                <w:szCs w:val="21"/>
                <w:highlight w:val="none"/>
              </w:rPr>
              <w:t>小组成员</w:t>
            </w:r>
          </w:p>
        </w:tc>
        <w:tc>
          <w:tcPr>
            <w:tcW w:w="2938" w:type="dxa"/>
            <w:vAlign w:val="center"/>
          </w:tcPr>
          <w:p w14:paraId="786612A0">
            <w:pPr>
              <w:jc w:val="center"/>
              <w:rPr>
                <w:strike w:val="0"/>
                <w:dstrike w:val="0"/>
                <w:color w:val="auto"/>
                <w:szCs w:val="21"/>
                <w:highlight w:val="none"/>
              </w:rPr>
            </w:pPr>
            <w:r>
              <w:rPr>
                <w:rFonts w:hint="eastAsia"/>
                <w:strike w:val="0"/>
                <w:dstrike w:val="0"/>
                <w:color w:val="auto"/>
                <w:szCs w:val="21"/>
                <w:highlight w:val="none"/>
              </w:rPr>
              <w:t>自学掌握</w:t>
            </w:r>
          </w:p>
        </w:tc>
      </w:tr>
      <w:tr w14:paraId="7000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2268" w:type="dxa"/>
            <w:vAlign w:val="center"/>
          </w:tcPr>
          <w:p w14:paraId="46510B48">
            <w:pPr>
              <w:jc w:val="center"/>
              <w:rPr>
                <w:strike w:val="0"/>
                <w:dstrike w:val="0"/>
                <w:color w:val="auto"/>
                <w:szCs w:val="21"/>
                <w:highlight w:val="none"/>
              </w:rPr>
            </w:pPr>
            <w:r>
              <w:rPr>
                <w:rFonts w:hint="eastAsia"/>
                <w:strike w:val="0"/>
                <w:dstrike w:val="0"/>
                <w:color w:val="auto"/>
                <w:szCs w:val="21"/>
                <w:highlight w:val="none"/>
              </w:rPr>
              <w:t>指挥程序</w:t>
            </w:r>
          </w:p>
        </w:tc>
        <w:tc>
          <w:tcPr>
            <w:tcW w:w="3102" w:type="dxa"/>
            <w:vAlign w:val="center"/>
          </w:tcPr>
          <w:p w14:paraId="493A0055">
            <w:pPr>
              <w:jc w:val="center"/>
              <w:rPr>
                <w:strike w:val="0"/>
                <w:dstrike w:val="0"/>
                <w:color w:val="auto"/>
                <w:szCs w:val="21"/>
                <w:highlight w:val="none"/>
              </w:rPr>
            </w:pPr>
            <w:r>
              <w:rPr>
                <w:rFonts w:hint="eastAsia"/>
                <w:strike w:val="0"/>
                <w:dstrike w:val="0"/>
                <w:color w:val="auto"/>
                <w:szCs w:val="21"/>
                <w:highlight w:val="none"/>
              </w:rPr>
              <w:t>应急指挥部成员</w:t>
            </w:r>
          </w:p>
        </w:tc>
        <w:tc>
          <w:tcPr>
            <w:tcW w:w="2938" w:type="dxa"/>
            <w:vAlign w:val="center"/>
          </w:tcPr>
          <w:p w14:paraId="0E812CC7">
            <w:pPr>
              <w:jc w:val="center"/>
              <w:rPr>
                <w:strike w:val="0"/>
                <w:dstrike w:val="0"/>
                <w:color w:val="auto"/>
                <w:szCs w:val="21"/>
                <w:highlight w:val="none"/>
              </w:rPr>
            </w:pPr>
            <w:r>
              <w:rPr>
                <w:rFonts w:hint="eastAsia"/>
                <w:strike w:val="0"/>
                <w:dstrike w:val="0"/>
                <w:color w:val="auto"/>
                <w:szCs w:val="21"/>
                <w:highlight w:val="none"/>
              </w:rPr>
              <w:t>新预案发布宣贯</w:t>
            </w:r>
          </w:p>
        </w:tc>
      </w:tr>
      <w:tr w14:paraId="5BD2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2268" w:type="dxa"/>
            <w:vAlign w:val="center"/>
          </w:tcPr>
          <w:p w14:paraId="6EDEE741">
            <w:pPr>
              <w:jc w:val="center"/>
              <w:rPr>
                <w:strike w:val="0"/>
                <w:dstrike w:val="0"/>
                <w:color w:val="auto"/>
                <w:szCs w:val="21"/>
                <w:highlight w:val="none"/>
              </w:rPr>
            </w:pPr>
            <w:r>
              <w:rPr>
                <w:rFonts w:hint="eastAsia"/>
                <w:strike w:val="0"/>
                <w:dstrike w:val="0"/>
                <w:color w:val="auto"/>
                <w:szCs w:val="21"/>
                <w:highlight w:val="none"/>
              </w:rPr>
              <w:t>应急处置措施</w:t>
            </w:r>
          </w:p>
        </w:tc>
        <w:tc>
          <w:tcPr>
            <w:tcW w:w="3102" w:type="dxa"/>
            <w:vAlign w:val="center"/>
          </w:tcPr>
          <w:p w14:paraId="56D5A472">
            <w:pPr>
              <w:jc w:val="center"/>
              <w:rPr>
                <w:strike w:val="0"/>
                <w:dstrike w:val="0"/>
                <w:color w:val="auto"/>
                <w:szCs w:val="21"/>
                <w:highlight w:val="none"/>
              </w:rPr>
            </w:pPr>
            <w:r>
              <w:rPr>
                <w:rFonts w:hint="eastAsia"/>
                <w:strike w:val="0"/>
                <w:dstrike w:val="0"/>
                <w:color w:val="auto"/>
                <w:szCs w:val="21"/>
                <w:highlight w:val="none"/>
              </w:rPr>
              <w:t>生产岗位人员和应急处置人员</w:t>
            </w:r>
          </w:p>
        </w:tc>
        <w:tc>
          <w:tcPr>
            <w:tcW w:w="2938" w:type="dxa"/>
            <w:vAlign w:val="center"/>
          </w:tcPr>
          <w:p w14:paraId="63E7B8A6">
            <w:pPr>
              <w:jc w:val="center"/>
              <w:rPr>
                <w:strike w:val="0"/>
                <w:dstrike w:val="0"/>
                <w:color w:val="auto"/>
                <w:szCs w:val="21"/>
                <w:highlight w:val="none"/>
              </w:rPr>
            </w:pPr>
            <w:r>
              <w:rPr>
                <w:rFonts w:hint="eastAsia"/>
                <w:strike w:val="0"/>
                <w:dstrike w:val="0"/>
                <w:color w:val="auto"/>
                <w:szCs w:val="21"/>
                <w:highlight w:val="none"/>
              </w:rPr>
              <w:t>学习班学习、演练、事故预想</w:t>
            </w:r>
          </w:p>
        </w:tc>
      </w:tr>
      <w:tr w14:paraId="3DB8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2268" w:type="dxa"/>
            <w:vAlign w:val="center"/>
          </w:tcPr>
          <w:p w14:paraId="73484AB1">
            <w:pPr>
              <w:jc w:val="center"/>
              <w:rPr>
                <w:strike w:val="0"/>
                <w:dstrike w:val="0"/>
                <w:color w:val="auto"/>
                <w:szCs w:val="21"/>
                <w:highlight w:val="none"/>
              </w:rPr>
            </w:pPr>
            <w:r>
              <w:rPr>
                <w:rFonts w:hint="eastAsia"/>
                <w:strike w:val="0"/>
                <w:dstrike w:val="0"/>
                <w:color w:val="auto"/>
                <w:szCs w:val="21"/>
                <w:highlight w:val="none"/>
              </w:rPr>
              <w:t>应急防护用品的使用</w:t>
            </w:r>
          </w:p>
        </w:tc>
        <w:tc>
          <w:tcPr>
            <w:tcW w:w="3102" w:type="dxa"/>
            <w:vAlign w:val="center"/>
          </w:tcPr>
          <w:p w14:paraId="7FC7CEAC">
            <w:pPr>
              <w:jc w:val="center"/>
              <w:rPr>
                <w:strike w:val="0"/>
                <w:dstrike w:val="0"/>
                <w:color w:val="auto"/>
                <w:szCs w:val="21"/>
                <w:highlight w:val="none"/>
              </w:rPr>
            </w:pPr>
            <w:r>
              <w:rPr>
                <w:rFonts w:hint="eastAsia"/>
                <w:strike w:val="0"/>
                <w:dstrike w:val="0"/>
                <w:color w:val="auto"/>
                <w:szCs w:val="21"/>
                <w:highlight w:val="none"/>
              </w:rPr>
              <w:t>应急处置人员</w:t>
            </w:r>
          </w:p>
        </w:tc>
        <w:tc>
          <w:tcPr>
            <w:tcW w:w="2938" w:type="dxa"/>
            <w:vAlign w:val="center"/>
          </w:tcPr>
          <w:p w14:paraId="7AD74269">
            <w:pPr>
              <w:jc w:val="center"/>
              <w:rPr>
                <w:strike w:val="0"/>
                <w:dstrike w:val="0"/>
                <w:color w:val="auto"/>
                <w:szCs w:val="21"/>
                <w:highlight w:val="none"/>
              </w:rPr>
            </w:pPr>
            <w:r>
              <w:rPr>
                <w:rFonts w:hint="eastAsia"/>
                <w:strike w:val="0"/>
                <w:dstrike w:val="0"/>
                <w:color w:val="auto"/>
                <w:szCs w:val="21"/>
                <w:highlight w:val="none"/>
              </w:rPr>
              <w:t>专题培训</w:t>
            </w:r>
          </w:p>
        </w:tc>
      </w:tr>
      <w:tr w14:paraId="0D61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2268" w:type="dxa"/>
            <w:vAlign w:val="center"/>
          </w:tcPr>
          <w:p w14:paraId="5C0A4091">
            <w:pPr>
              <w:jc w:val="center"/>
              <w:rPr>
                <w:strike w:val="0"/>
                <w:dstrike w:val="0"/>
                <w:color w:val="auto"/>
                <w:szCs w:val="21"/>
                <w:highlight w:val="none"/>
              </w:rPr>
            </w:pPr>
            <w:r>
              <w:rPr>
                <w:rFonts w:hint="eastAsia"/>
                <w:strike w:val="0"/>
                <w:dstrike w:val="0"/>
                <w:color w:val="auto"/>
                <w:szCs w:val="21"/>
                <w:highlight w:val="none"/>
              </w:rPr>
              <w:t>报警、疏散</w:t>
            </w:r>
          </w:p>
        </w:tc>
        <w:tc>
          <w:tcPr>
            <w:tcW w:w="3102" w:type="dxa"/>
            <w:vAlign w:val="center"/>
          </w:tcPr>
          <w:p w14:paraId="36226839">
            <w:pPr>
              <w:jc w:val="center"/>
              <w:rPr>
                <w:strike w:val="0"/>
                <w:dstrike w:val="0"/>
                <w:color w:val="auto"/>
                <w:szCs w:val="21"/>
                <w:highlight w:val="none"/>
              </w:rPr>
            </w:pPr>
            <w:r>
              <w:rPr>
                <w:rFonts w:hint="eastAsia"/>
                <w:strike w:val="0"/>
                <w:dstrike w:val="0"/>
                <w:color w:val="auto"/>
                <w:szCs w:val="21"/>
                <w:highlight w:val="none"/>
              </w:rPr>
              <w:t>所有人员</w:t>
            </w:r>
          </w:p>
        </w:tc>
        <w:tc>
          <w:tcPr>
            <w:tcW w:w="2938" w:type="dxa"/>
            <w:vAlign w:val="center"/>
          </w:tcPr>
          <w:p w14:paraId="215B051B">
            <w:pPr>
              <w:jc w:val="center"/>
              <w:rPr>
                <w:strike w:val="0"/>
                <w:dstrike w:val="0"/>
                <w:color w:val="auto"/>
                <w:szCs w:val="21"/>
                <w:highlight w:val="none"/>
              </w:rPr>
            </w:pPr>
            <w:r>
              <w:rPr>
                <w:rFonts w:hint="eastAsia"/>
                <w:strike w:val="0"/>
                <w:dstrike w:val="0"/>
                <w:color w:val="auto"/>
                <w:szCs w:val="21"/>
                <w:highlight w:val="none"/>
              </w:rPr>
              <w:t>现场学习和宣传</w:t>
            </w:r>
          </w:p>
        </w:tc>
      </w:tr>
      <w:tr w14:paraId="08F0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268" w:type="dxa"/>
            <w:vAlign w:val="center"/>
          </w:tcPr>
          <w:p w14:paraId="12D7C491">
            <w:pPr>
              <w:jc w:val="center"/>
              <w:rPr>
                <w:strike w:val="0"/>
                <w:dstrike w:val="0"/>
                <w:color w:val="auto"/>
                <w:szCs w:val="21"/>
                <w:highlight w:val="none"/>
              </w:rPr>
            </w:pPr>
            <w:r>
              <w:rPr>
                <w:rFonts w:hint="eastAsia"/>
                <w:strike w:val="0"/>
                <w:dstrike w:val="0"/>
                <w:color w:val="auto"/>
                <w:szCs w:val="21"/>
                <w:highlight w:val="none"/>
              </w:rPr>
              <w:t>事故调查</w:t>
            </w:r>
          </w:p>
        </w:tc>
        <w:tc>
          <w:tcPr>
            <w:tcW w:w="3102" w:type="dxa"/>
            <w:vAlign w:val="center"/>
          </w:tcPr>
          <w:p w14:paraId="7B4C2CD3">
            <w:pPr>
              <w:jc w:val="center"/>
              <w:rPr>
                <w:strike w:val="0"/>
                <w:dstrike w:val="0"/>
                <w:color w:val="auto"/>
                <w:szCs w:val="21"/>
                <w:highlight w:val="none"/>
              </w:rPr>
            </w:pPr>
            <w:r>
              <w:rPr>
                <w:rFonts w:hint="eastAsia"/>
                <w:strike w:val="0"/>
                <w:dstrike w:val="0"/>
                <w:color w:val="auto"/>
                <w:szCs w:val="21"/>
                <w:highlight w:val="none"/>
              </w:rPr>
              <w:t>本项目应急办公室和综合保障组成员</w:t>
            </w:r>
          </w:p>
        </w:tc>
        <w:tc>
          <w:tcPr>
            <w:tcW w:w="2938" w:type="dxa"/>
            <w:vAlign w:val="center"/>
          </w:tcPr>
          <w:p w14:paraId="470E52E6">
            <w:pPr>
              <w:jc w:val="center"/>
              <w:rPr>
                <w:strike w:val="0"/>
                <w:dstrike w:val="0"/>
                <w:color w:val="auto"/>
                <w:szCs w:val="21"/>
                <w:highlight w:val="none"/>
              </w:rPr>
            </w:pPr>
            <w:r>
              <w:rPr>
                <w:rFonts w:hint="eastAsia"/>
                <w:strike w:val="0"/>
                <w:dstrike w:val="0"/>
                <w:color w:val="auto"/>
                <w:szCs w:val="21"/>
                <w:highlight w:val="none"/>
              </w:rPr>
              <w:t>组织讲课</w:t>
            </w:r>
          </w:p>
        </w:tc>
      </w:tr>
    </w:tbl>
    <w:p w14:paraId="517B5553">
      <w:pPr>
        <w:jc w:val="center"/>
        <w:rPr>
          <w:b/>
          <w:strike w:val="0"/>
          <w:dstrike w:val="0"/>
          <w:color w:val="auto"/>
          <w:sz w:val="24"/>
          <w:highlight w:val="none"/>
        </w:rPr>
      </w:pPr>
      <w:r>
        <w:rPr>
          <w:rFonts w:hint="eastAsia"/>
          <w:b/>
          <w:strike w:val="0"/>
          <w:dstrike w:val="0"/>
          <w:color w:val="auto"/>
          <w:sz w:val="24"/>
          <w:highlight w:val="none"/>
          <w:lang w:eastAsia="zh-CN"/>
        </w:rPr>
        <w:t>表8.6</w:t>
      </w:r>
      <w:r>
        <w:rPr>
          <w:rFonts w:hint="eastAsia"/>
          <w:b/>
          <w:strike w:val="0"/>
          <w:dstrike w:val="0"/>
          <w:color w:val="auto"/>
          <w:sz w:val="24"/>
          <w:highlight w:val="none"/>
        </w:rPr>
        <w:t>-2</w:t>
      </w:r>
      <w:r>
        <w:rPr>
          <w:b/>
          <w:strike w:val="0"/>
          <w:dstrike w:val="0"/>
          <w:color w:val="auto"/>
          <w:sz w:val="24"/>
          <w:highlight w:val="none"/>
        </w:rPr>
        <w:t xml:space="preserve">  </w:t>
      </w:r>
      <w:r>
        <w:rPr>
          <w:rFonts w:hint="eastAsia"/>
          <w:b/>
          <w:strike w:val="0"/>
          <w:dstrike w:val="0"/>
          <w:color w:val="auto"/>
          <w:sz w:val="24"/>
          <w:highlight w:val="none"/>
        </w:rPr>
        <w:t>突发环境事件培训种类</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89"/>
        <w:gridCol w:w="6931"/>
      </w:tblGrid>
      <w:tr w14:paraId="3F55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289" w:type="dxa"/>
            <w:vAlign w:val="center"/>
          </w:tcPr>
          <w:p w14:paraId="21AFCDF5">
            <w:pPr>
              <w:jc w:val="center"/>
              <w:rPr>
                <w:b/>
                <w:strike w:val="0"/>
                <w:dstrike w:val="0"/>
                <w:color w:val="auto"/>
                <w:szCs w:val="21"/>
                <w:highlight w:val="none"/>
              </w:rPr>
            </w:pPr>
            <w:r>
              <w:rPr>
                <w:rFonts w:hint="eastAsia"/>
                <w:b/>
                <w:strike w:val="0"/>
                <w:dstrike w:val="0"/>
                <w:color w:val="auto"/>
                <w:szCs w:val="21"/>
                <w:highlight w:val="none"/>
              </w:rPr>
              <w:t>序号</w:t>
            </w:r>
          </w:p>
        </w:tc>
        <w:tc>
          <w:tcPr>
            <w:tcW w:w="6931" w:type="dxa"/>
            <w:vAlign w:val="center"/>
          </w:tcPr>
          <w:p w14:paraId="264929F9">
            <w:pPr>
              <w:jc w:val="center"/>
              <w:rPr>
                <w:b/>
                <w:strike w:val="0"/>
                <w:dstrike w:val="0"/>
                <w:color w:val="auto"/>
                <w:szCs w:val="21"/>
                <w:highlight w:val="none"/>
              </w:rPr>
            </w:pPr>
            <w:r>
              <w:rPr>
                <w:rFonts w:hint="eastAsia"/>
                <w:b/>
                <w:strike w:val="0"/>
                <w:dstrike w:val="0"/>
                <w:color w:val="auto"/>
                <w:szCs w:val="21"/>
                <w:highlight w:val="none"/>
              </w:rPr>
              <w:t>事件种类</w:t>
            </w:r>
          </w:p>
        </w:tc>
      </w:tr>
      <w:tr w14:paraId="7DB5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9" w:type="dxa"/>
            <w:vAlign w:val="center"/>
          </w:tcPr>
          <w:p w14:paraId="15D6AD41">
            <w:pPr>
              <w:jc w:val="center"/>
              <w:rPr>
                <w:strike w:val="0"/>
                <w:dstrike w:val="0"/>
                <w:color w:val="auto"/>
                <w:szCs w:val="21"/>
                <w:highlight w:val="none"/>
              </w:rPr>
            </w:pPr>
            <w:r>
              <w:rPr>
                <w:rFonts w:hint="eastAsia"/>
                <w:strike w:val="0"/>
                <w:dstrike w:val="0"/>
                <w:color w:val="auto"/>
                <w:szCs w:val="21"/>
                <w:highlight w:val="none"/>
              </w:rPr>
              <w:t>1</w:t>
            </w:r>
          </w:p>
        </w:tc>
        <w:tc>
          <w:tcPr>
            <w:tcW w:w="6931" w:type="dxa"/>
            <w:vAlign w:val="center"/>
          </w:tcPr>
          <w:p w14:paraId="3760DED8">
            <w:pPr>
              <w:jc w:val="center"/>
              <w:rPr>
                <w:strike w:val="0"/>
                <w:dstrike w:val="0"/>
                <w:color w:val="auto"/>
                <w:szCs w:val="21"/>
                <w:highlight w:val="none"/>
              </w:rPr>
            </w:pPr>
            <w:r>
              <w:rPr>
                <w:rFonts w:hint="eastAsia"/>
                <w:strike w:val="0"/>
                <w:dstrike w:val="0"/>
                <w:color w:val="auto"/>
                <w:szCs w:val="21"/>
                <w:highlight w:val="none"/>
              </w:rPr>
              <w:t>柴油、汽油、LNG泄漏引发次生大气、水环境污染事件</w:t>
            </w:r>
          </w:p>
        </w:tc>
      </w:tr>
      <w:tr w14:paraId="7449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5" w:hRule="atLeast"/>
          <w:jc w:val="center"/>
        </w:trPr>
        <w:tc>
          <w:tcPr>
            <w:tcW w:w="1289" w:type="dxa"/>
            <w:vAlign w:val="center"/>
          </w:tcPr>
          <w:p w14:paraId="57B56C0F">
            <w:pPr>
              <w:jc w:val="center"/>
              <w:rPr>
                <w:strike w:val="0"/>
                <w:dstrike w:val="0"/>
                <w:color w:val="auto"/>
                <w:szCs w:val="21"/>
                <w:highlight w:val="none"/>
              </w:rPr>
            </w:pPr>
            <w:r>
              <w:rPr>
                <w:rFonts w:hint="eastAsia"/>
                <w:strike w:val="0"/>
                <w:dstrike w:val="0"/>
                <w:color w:val="auto"/>
                <w:szCs w:val="21"/>
                <w:highlight w:val="none"/>
              </w:rPr>
              <w:t>2</w:t>
            </w:r>
          </w:p>
        </w:tc>
        <w:tc>
          <w:tcPr>
            <w:tcW w:w="6931" w:type="dxa"/>
            <w:vAlign w:val="center"/>
          </w:tcPr>
          <w:p w14:paraId="07D730A6">
            <w:pPr>
              <w:jc w:val="center"/>
              <w:rPr>
                <w:strike w:val="0"/>
                <w:dstrike w:val="0"/>
                <w:color w:val="auto"/>
                <w:szCs w:val="21"/>
                <w:highlight w:val="none"/>
              </w:rPr>
            </w:pPr>
            <w:r>
              <w:rPr>
                <w:rFonts w:hint="eastAsia"/>
                <w:strike w:val="0"/>
                <w:dstrike w:val="0"/>
                <w:color w:val="auto"/>
                <w:szCs w:val="21"/>
                <w:highlight w:val="none"/>
              </w:rPr>
              <w:t>柴油、汽油、LNG火灾引发次生大气、水环境污染事件</w:t>
            </w:r>
          </w:p>
        </w:tc>
      </w:tr>
      <w:tr w14:paraId="57DC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5" w:hRule="atLeast"/>
          <w:jc w:val="center"/>
        </w:trPr>
        <w:tc>
          <w:tcPr>
            <w:tcW w:w="1289" w:type="dxa"/>
            <w:vAlign w:val="center"/>
          </w:tcPr>
          <w:p w14:paraId="70164D60">
            <w:pPr>
              <w:jc w:val="center"/>
              <w:rPr>
                <w:strike w:val="0"/>
                <w:dstrike w:val="0"/>
                <w:color w:val="auto"/>
                <w:szCs w:val="21"/>
                <w:highlight w:val="none"/>
              </w:rPr>
            </w:pPr>
            <w:bookmarkStart w:id="259" w:name="_Toc15923"/>
            <w:bookmarkStart w:id="260" w:name="_Toc17311"/>
            <w:bookmarkStart w:id="261" w:name="_Toc22434"/>
            <w:bookmarkStart w:id="262" w:name="_Toc16389"/>
            <w:r>
              <w:rPr>
                <w:rFonts w:hint="eastAsia"/>
                <w:strike w:val="0"/>
                <w:dstrike w:val="0"/>
                <w:color w:val="auto"/>
                <w:szCs w:val="21"/>
                <w:highlight w:val="none"/>
              </w:rPr>
              <w:t>3</w:t>
            </w:r>
          </w:p>
        </w:tc>
        <w:tc>
          <w:tcPr>
            <w:tcW w:w="6931" w:type="dxa"/>
            <w:vAlign w:val="center"/>
          </w:tcPr>
          <w:p w14:paraId="0FF05D4F">
            <w:pPr>
              <w:jc w:val="center"/>
              <w:rPr>
                <w:strike w:val="0"/>
                <w:dstrike w:val="0"/>
                <w:color w:val="auto"/>
                <w:szCs w:val="21"/>
                <w:highlight w:val="none"/>
              </w:rPr>
            </w:pPr>
            <w:r>
              <w:rPr>
                <w:rFonts w:hint="eastAsia"/>
                <w:strike w:val="0"/>
                <w:dstrike w:val="0"/>
                <w:color w:val="auto"/>
                <w:szCs w:val="21"/>
                <w:highlight w:val="none"/>
              </w:rPr>
              <w:t>储气罐区、储油罐区爆炸引发次生大气、水环境污染事件</w:t>
            </w:r>
          </w:p>
        </w:tc>
      </w:tr>
      <w:tr w14:paraId="7CEC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5" w:hRule="atLeast"/>
          <w:jc w:val="center"/>
        </w:trPr>
        <w:tc>
          <w:tcPr>
            <w:tcW w:w="1289" w:type="dxa"/>
            <w:vAlign w:val="center"/>
          </w:tcPr>
          <w:p w14:paraId="717A49D1">
            <w:pPr>
              <w:jc w:val="center"/>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4</w:t>
            </w:r>
          </w:p>
        </w:tc>
        <w:tc>
          <w:tcPr>
            <w:tcW w:w="6931" w:type="dxa"/>
            <w:vAlign w:val="center"/>
          </w:tcPr>
          <w:p w14:paraId="329564C1">
            <w:pPr>
              <w:jc w:val="center"/>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充电/换电预留位</w:t>
            </w:r>
            <w:r>
              <w:rPr>
                <w:rFonts w:hint="eastAsia"/>
                <w:strike w:val="0"/>
                <w:dstrike w:val="0"/>
                <w:color w:val="auto"/>
                <w:szCs w:val="21"/>
                <w:highlight w:val="none"/>
              </w:rPr>
              <w:t>爆炸引发次生大气、水环境污染事件</w:t>
            </w:r>
          </w:p>
        </w:tc>
      </w:tr>
    </w:tbl>
    <w:p w14:paraId="18A5EADB">
      <w:pPr>
        <w:pStyle w:val="5"/>
        <w:spacing w:line="360" w:lineRule="auto"/>
        <w:ind w:firstLine="482" w:firstLineChars="200"/>
        <w:rPr>
          <w:strike w:val="0"/>
          <w:dstrike w:val="0"/>
          <w:color w:val="auto"/>
          <w:sz w:val="24"/>
          <w:szCs w:val="32"/>
          <w:highlight w:val="none"/>
        </w:rPr>
      </w:pPr>
      <w:r>
        <w:rPr>
          <w:rFonts w:hint="eastAsia"/>
          <w:strike w:val="0"/>
          <w:dstrike w:val="0"/>
          <w:color w:val="auto"/>
          <w:sz w:val="24"/>
          <w:szCs w:val="32"/>
          <w:highlight w:val="none"/>
          <w:lang w:val="en-US" w:eastAsia="zh-CN"/>
        </w:rPr>
        <w:t>8</w:t>
      </w:r>
      <w:r>
        <w:rPr>
          <w:rFonts w:hint="eastAsia"/>
          <w:strike w:val="0"/>
          <w:dstrike w:val="0"/>
          <w:color w:val="auto"/>
          <w:sz w:val="24"/>
          <w:szCs w:val="32"/>
          <w:highlight w:val="none"/>
        </w:rPr>
        <w:t xml:space="preserve">.6.3 </w:t>
      </w:r>
      <w:r>
        <w:rPr>
          <w:strike w:val="0"/>
          <w:dstrike w:val="0"/>
          <w:color w:val="auto"/>
          <w:sz w:val="24"/>
          <w:szCs w:val="32"/>
          <w:highlight w:val="none"/>
        </w:rPr>
        <w:t>应急演练</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9"/>
      <w:bookmarkEnd w:id="260"/>
      <w:bookmarkEnd w:id="261"/>
      <w:bookmarkEnd w:id="262"/>
    </w:p>
    <w:p w14:paraId="2D01E1C1">
      <w:pPr>
        <w:keepNext/>
        <w:keepLines/>
        <w:spacing w:line="360" w:lineRule="auto"/>
        <w:ind w:firstLine="561"/>
        <w:rPr>
          <w:b/>
          <w:bCs/>
          <w:strike w:val="0"/>
          <w:dstrike w:val="0"/>
          <w:color w:val="auto"/>
          <w:sz w:val="24"/>
          <w:highlight w:val="none"/>
        </w:rPr>
      </w:pPr>
      <w:bookmarkStart w:id="263" w:name="_Toc404622186"/>
      <w:bookmarkStart w:id="264" w:name="_Toc404629924"/>
      <w:r>
        <w:rPr>
          <w:rFonts w:hint="eastAsia"/>
          <w:b/>
          <w:bCs/>
          <w:strike w:val="0"/>
          <w:dstrike w:val="0"/>
          <w:color w:val="auto"/>
          <w:sz w:val="24"/>
          <w:highlight w:val="none"/>
          <w:lang w:eastAsia="zh-CN"/>
        </w:rPr>
        <w:t>8.6.3</w:t>
      </w:r>
      <w:r>
        <w:rPr>
          <w:b/>
          <w:bCs/>
          <w:strike w:val="0"/>
          <w:dstrike w:val="0"/>
          <w:color w:val="auto"/>
          <w:sz w:val="24"/>
          <w:highlight w:val="none"/>
        </w:rPr>
        <w:t>.1</w:t>
      </w:r>
      <w:r>
        <w:rPr>
          <w:rFonts w:hint="eastAsia"/>
          <w:b/>
          <w:bCs/>
          <w:strike w:val="0"/>
          <w:dstrike w:val="0"/>
          <w:color w:val="auto"/>
          <w:sz w:val="24"/>
          <w:highlight w:val="none"/>
        </w:rPr>
        <w:t xml:space="preserve"> </w:t>
      </w:r>
      <w:r>
        <w:rPr>
          <w:b/>
          <w:bCs/>
          <w:strike w:val="0"/>
          <w:dstrike w:val="0"/>
          <w:color w:val="auto"/>
          <w:sz w:val="24"/>
          <w:highlight w:val="none"/>
        </w:rPr>
        <w:t>演练基本内容</w:t>
      </w:r>
      <w:bookmarkEnd w:id="263"/>
      <w:r>
        <w:rPr>
          <w:b/>
          <w:bCs/>
          <w:strike w:val="0"/>
          <w:dstrike w:val="0"/>
          <w:color w:val="auto"/>
          <w:sz w:val="24"/>
          <w:highlight w:val="none"/>
        </w:rPr>
        <w:t>演练的类型</w:t>
      </w:r>
      <w:bookmarkEnd w:id="264"/>
    </w:p>
    <w:p w14:paraId="39BB7419">
      <w:pPr>
        <w:spacing w:line="360" w:lineRule="auto"/>
        <w:ind w:firstLine="480"/>
        <w:rPr>
          <w:strike w:val="0"/>
          <w:dstrike w:val="0"/>
          <w:color w:val="auto"/>
          <w:sz w:val="24"/>
          <w:highlight w:val="none"/>
        </w:rPr>
      </w:pPr>
      <w:r>
        <w:rPr>
          <w:strike w:val="0"/>
          <w:dstrike w:val="0"/>
          <w:color w:val="auto"/>
          <w:sz w:val="24"/>
          <w:highlight w:val="none"/>
        </w:rPr>
        <w:t>针对</w:t>
      </w:r>
      <w:r>
        <w:rPr>
          <w:rFonts w:hint="eastAsia"/>
          <w:strike w:val="0"/>
          <w:dstrike w:val="0"/>
          <w:color w:val="auto"/>
          <w:sz w:val="24"/>
          <w:highlight w:val="none"/>
        </w:rPr>
        <w:t>站区</w:t>
      </w:r>
      <w:r>
        <w:rPr>
          <w:strike w:val="0"/>
          <w:dstrike w:val="0"/>
          <w:color w:val="auto"/>
          <w:sz w:val="24"/>
          <w:highlight w:val="none"/>
        </w:rPr>
        <w:t>可能出现的事故类型及影响大小，每年组织1次应急演练，演练内容如下：</w:t>
      </w:r>
    </w:p>
    <w:p w14:paraId="6A605041">
      <w:pPr>
        <w:spacing w:line="360" w:lineRule="auto"/>
        <w:ind w:firstLine="480"/>
        <w:rPr>
          <w:strike w:val="0"/>
          <w:dstrike w:val="0"/>
          <w:color w:val="auto"/>
          <w:sz w:val="24"/>
          <w:highlight w:val="none"/>
        </w:rPr>
      </w:pPr>
      <w:r>
        <w:rPr>
          <w:strike w:val="0"/>
          <w:dstrike w:val="0"/>
          <w:color w:val="auto"/>
          <w:sz w:val="24"/>
          <w:highlight w:val="none"/>
        </w:rPr>
        <w:t>（1）熟悉应急组织响应程序；</w:t>
      </w:r>
    </w:p>
    <w:p w14:paraId="34C27A23">
      <w:pPr>
        <w:spacing w:line="360" w:lineRule="auto"/>
        <w:ind w:firstLine="480"/>
        <w:rPr>
          <w:strike w:val="0"/>
          <w:dstrike w:val="0"/>
          <w:color w:val="auto"/>
          <w:sz w:val="24"/>
          <w:highlight w:val="none"/>
        </w:rPr>
      </w:pPr>
      <w:r>
        <w:rPr>
          <w:strike w:val="0"/>
          <w:dstrike w:val="0"/>
          <w:color w:val="auto"/>
          <w:sz w:val="24"/>
          <w:highlight w:val="none"/>
        </w:rPr>
        <w:t>（2）熟悉应急监测和处理的工作内容；</w:t>
      </w:r>
    </w:p>
    <w:p w14:paraId="206F956D">
      <w:pPr>
        <w:spacing w:line="360" w:lineRule="auto"/>
        <w:ind w:firstLine="480"/>
        <w:rPr>
          <w:strike w:val="0"/>
          <w:dstrike w:val="0"/>
          <w:color w:val="auto"/>
          <w:sz w:val="24"/>
          <w:highlight w:val="none"/>
        </w:rPr>
      </w:pPr>
      <w:r>
        <w:rPr>
          <w:strike w:val="0"/>
          <w:dstrike w:val="0"/>
          <w:color w:val="auto"/>
          <w:sz w:val="24"/>
          <w:highlight w:val="none"/>
        </w:rPr>
        <w:t>（3）熟悉环境风险物质泄漏、</w:t>
      </w:r>
      <w:r>
        <w:rPr>
          <w:rFonts w:hint="eastAsia"/>
          <w:strike w:val="0"/>
          <w:dstrike w:val="0"/>
          <w:color w:val="auto"/>
          <w:sz w:val="24"/>
          <w:highlight w:val="none"/>
        </w:rPr>
        <w:t>火灾</w:t>
      </w:r>
      <w:r>
        <w:rPr>
          <w:strike w:val="0"/>
          <w:dstrike w:val="0"/>
          <w:color w:val="auto"/>
          <w:sz w:val="24"/>
          <w:highlight w:val="none"/>
        </w:rPr>
        <w:t>等现场事故处置流程及其内容；</w:t>
      </w:r>
    </w:p>
    <w:p w14:paraId="7263B04E">
      <w:pPr>
        <w:spacing w:line="360" w:lineRule="auto"/>
        <w:ind w:firstLine="480"/>
        <w:rPr>
          <w:strike w:val="0"/>
          <w:dstrike w:val="0"/>
          <w:color w:val="auto"/>
          <w:sz w:val="24"/>
          <w:highlight w:val="none"/>
        </w:rPr>
      </w:pPr>
      <w:r>
        <w:rPr>
          <w:strike w:val="0"/>
          <w:dstrike w:val="0"/>
          <w:color w:val="auto"/>
          <w:sz w:val="24"/>
          <w:highlight w:val="none"/>
        </w:rPr>
        <w:t>（4）熟悉应急预案终止的条件和程序；</w:t>
      </w:r>
    </w:p>
    <w:p w14:paraId="6602F49F">
      <w:pPr>
        <w:spacing w:line="360" w:lineRule="auto"/>
        <w:ind w:firstLine="480"/>
        <w:rPr>
          <w:strike w:val="0"/>
          <w:dstrike w:val="0"/>
          <w:color w:val="auto"/>
          <w:sz w:val="24"/>
          <w:highlight w:val="none"/>
        </w:rPr>
      </w:pPr>
      <w:r>
        <w:rPr>
          <w:strike w:val="0"/>
          <w:dstrike w:val="0"/>
          <w:color w:val="auto"/>
          <w:sz w:val="24"/>
          <w:highlight w:val="none"/>
        </w:rPr>
        <w:t>（5）检验应急预案的启动</w:t>
      </w:r>
      <w:bookmarkStart w:id="265" w:name="OfficeAI_Add_5_12"/>
      <w:r>
        <w:rPr>
          <w:rFonts w:hint="eastAsia"/>
          <w:strike w:val="0"/>
          <w:dstrike w:val="0"/>
          <w:color w:val="auto"/>
          <w:sz w:val="24"/>
          <w:highlight w:val="none"/>
          <w:lang w:eastAsia="zh-CN"/>
        </w:rPr>
        <w:t>和</w:t>
      </w:r>
      <w:bookmarkEnd w:id="265"/>
      <w:r>
        <w:rPr>
          <w:strike w:val="0"/>
          <w:dstrike w:val="0"/>
          <w:color w:val="auto"/>
          <w:sz w:val="24"/>
          <w:highlight w:val="none"/>
        </w:rPr>
        <w:t>终止的各项工作是否达到规定的要求；</w:t>
      </w:r>
    </w:p>
    <w:p w14:paraId="4CB76B2A">
      <w:pPr>
        <w:spacing w:line="360" w:lineRule="auto"/>
        <w:ind w:firstLine="480"/>
        <w:rPr>
          <w:strike w:val="0"/>
          <w:dstrike w:val="0"/>
          <w:color w:val="auto"/>
          <w:sz w:val="24"/>
          <w:highlight w:val="none"/>
        </w:rPr>
      </w:pPr>
      <w:r>
        <w:rPr>
          <w:strike w:val="0"/>
          <w:dstrike w:val="0"/>
          <w:color w:val="auto"/>
          <w:sz w:val="24"/>
          <w:highlight w:val="none"/>
        </w:rPr>
        <w:t>（6）针对不足的地方提出整改措施。</w:t>
      </w:r>
    </w:p>
    <w:p w14:paraId="47BCA018">
      <w:pPr>
        <w:keepNext/>
        <w:keepLines/>
        <w:spacing w:line="360" w:lineRule="auto"/>
        <w:ind w:firstLine="561"/>
        <w:rPr>
          <w:b/>
          <w:bCs/>
          <w:strike w:val="0"/>
          <w:dstrike w:val="0"/>
          <w:color w:val="auto"/>
          <w:sz w:val="24"/>
          <w:highlight w:val="none"/>
        </w:rPr>
      </w:pPr>
      <w:bookmarkStart w:id="266" w:name="_Toc404629925"/>
      <w:r>
        <w:rPr>
          <w:rFonts w:hint="eastAsia"/>
          <w:b/>
          <w:bCs/>
          <w:strike w:val="0"/>
          <w:dstrike w:val="0"/>
          <w:color w:val="auto"/>
          <w:sz w:val="24"/>
          <w:highlight w:val="none"/>
          <w:lang w:eastAsia="zh-CN"/>
        </w:rPr>
        <w:t>8.6.3</w:t>
      </w:r>
      <w:r>
        <w:rPr>
          <w:b/>
          <w:bCs/>
          <w:strike w:val="0"/>
          <w:dstrike w:val="0"/>
          <w:color w:val="auto"/>
          <w:sz w:val="24"/>
          <w:highlight w:val="none"/>
        </w:rPr>
        <w:t>.2</w:t>
      </w:r>
      <w:r>
        <w:rPr>
          <w:rFonts w:hint="eastAsia"/>
          <w:b/>
          <w:bCs/>
          <w:strike w:val="0"/>
          <w:dstrike w:val="0"/>
          <w:color w:val="auto"/>
          <w:sz w:val="24"/>
          <w:highlight w:val="none"/>
        </w:rPr>
        <w:t xml:space="preserve"> </w:t>
      </w:r>
      <w:r>
        <w:rPr>
          <w:b/>
          <w:bCs/>
          <w:strike w:val="0"/>
          <w:dstrike w:val="0"/>
          <w:color w:val="auto"/>
          <w:sz w:val="24"/>
          <w:highlight w:val="none"/>
        </w:rPr>
        <w:t>演练频次</w:t>
      </w:r>
      <w:bookmarkEnd w:id="266"/>
    </w:p>
    <w:p w14:paraId="141799D6">
      <w:pPr>
        <w:spacing w:line="360" w:lineRule="auto"/>
        <w:ind w:firstLine="480"/>
        <w:rPr>
          <w:strike w:val="0"/>
          <w:dstrike w:val="0"/>
          <w:color w:val="auto"/>
          <w:sz w:val="24"/>
          <w:highlight w:val="none"/>
        </w:rPr>
      </w:pPr>
      <w:bookmarkStart w:id="267" w:name="_Toc404629926"/>
      <w:r>
        <w:rPr>
          <w:strike w:val="0"/>
          <w:dstrike w:val="0"/>
          <w:color w:val="auto"/>
          <w:sz w:val="24"/>
          <w:highlight w:val="none"/>
        </w:rPr>
        <w:t>综合预案的演练，原则上不少于每年1次；现场处置方案，应组织经常性演练。</w:t>
      </w:r>
    </w:p>
    <w:p w14:paraId="6D26B70D">
      <w:pPr>
        <w:keepNext/>
        <w:keepLines/>
        <w:spacing w:line="360" w:lineRule="auto"/>
        <w:ind w:firstLine="561"/>
        <w:rPr>
          <w:b/>
          <w:bCs/>
          <w:strike w:val="0"/>
          <w:dstrike w:val="0"/>
          <w:color w:val="auto"/>
          <w:sz w:val="24"/>
          <w:highlight w:val="none"/>
        </w:rPr>
      </w:pPr>
      <w:r>
        <w:rPr>
          <w:rFonts w:hint="eastAsia"/>
          <w:b/>
          <w:bCs/>
          <w:strike w:val="0"/>
          <w:dstrike w:val="0"/>
          <w:color w:val="auto"/>
          <w:sz w:val="24"/>
          <w:highlight w:val="none"/>
          <w:lang w:eastAsia="zh-CN"/>
        </w:rPr>
        <w:t>8.6.3</w:t>
      </w:r>
      <w:r>
        <w:rPr>
          <w:b/>
          <w:bCs/>
          <w:strike w:val="0"/>
          <w:dstrike w:val="0"/>
          <w:color w:val="auto"/>
          <w:sz w:val="24"/>
          <w:highlight w:val="none"/>
        </w:rPr>
        <w:t>.3</w:t>
      </w:r>
      <w:r>
        <w:rPr>
          <w:rFonts w:hint="eastAsia"/>
          <w:b/>
          <w:bCs/>
          <w:strike w:val="0"/>
          <w:dstrike w:val="0"/>
          <w:color w:val="auto"/>
          <w:sz w:val="24"/>
          <w:highlight w:val="none"/>
        </w:rPr>
        <w:t xml:space="preserve"> </w:t>
      </w:r>
      <w:r>
        <w:rPr>
          <w:b/>
          <w:bCs/>
          <w:strike w:val="0"/>
          <w:dstrike w:val="0"/>
          <w:color w:val="auto"/>
          <w:sz w:val="24"/>
          <w:highlight w:val="none"/>
        </w:rPr>
        <w:t>演练基本内容</w:t>
      </w:r>
      <w:bookmarkEnd w:id="267"/>
    </w:p>
    <w:p w14:paraId="2D940E50">
      <w:pPr>
        <w:spacing w:line="360" w:lineRule="auto"/>
        <w:ind w:firstLine="480"/>
        <w:rPr>
          <w:strike w:val="0"/>
          <w:dstrike w:val="0"/>
          <w:color w:val="auto"/>
          <w:sz w:val="24"/>
          <w:highlight w:val="none"/>
        </w:rPr>
      </w:pPr>
      <w:r>
        <w:rPr>
          <w:strike w:val="0"/>
          <w:dstrike w:val="0"/>
          <w:color w:val="auto"/>
          <w:sz w:val="24"/>
          <w:highlight w:val="none"/>
        </w:rPr>
        <w:t>演练内容包括事故报告、预案启动、应急响应及处置措施、个体防护用品和消防器材的使用、人员的撤离及疏散、应急监测及</w:t>
      </w:r>
      <w:r>
        <w:rPr>
          <w:rFonts w:hint="eastAsia"/>
          <w:strike w:val="0"/>
          <w:dstrike w:val="0"/>
          <w:color w:val="auto"/>
          <w:sz w:val="24"/>
          <w:highlight w:val="none"/>
          <w:lang w:val="en-US" w:eastAsia="zh-CN"/>
        </w:rPr>
        <w:t>终止</w:t>
      </w:r>
      <w:r>
        <w:rPr>
          <w:strike w:val="0"/>
          <w:dstrike w:val="0"/>
          <w:color w:val="auto"/>
          <w:sz w:val="24"/>
          <w:highlight w:val="none"/>
        </w:rPr>
        <w:t>等。</w:t>
      </w:r>
    </w:p>
    <w:p w14:paraId="1E660566">
      <w:pPr>
        <w:spacing w:line="360" w:lineRule="auto"/>
        <w:ind w:firstLine="480" w:firstLineChars="200"/>
        <w:jc w:val="left"/>
        <w:rPr>
          <w:strike w:val="0"/>
          <w:dstrike w:val="0"/>
          <w:color w:val="auto"/>
          <w:sz w:val="24"/>
          <w:highlight w:val="none"/>
        </w:rPr>
      </w:pPr>
      <w:r>
        <w:rPr>
          <w:strike w:val="0"/>
          <w:dstrike w:val="0"/>
          <w:color w:val="auto"/>
          <w:sz w:val="24"/>
          <w:highlight w:val="none"/>
        </w:rPr>
        <w:t>通过定期的演练，提高</w:t>
      </w:r>
      <w:r>
        <w:rPr>
          <w:rFonts w:hint="eastAsia"/>
          <w:strike w:val="0"/>
          <w:dstrike w:val="0"/>
          <w:color w:val="auto"/>
          <w:sz w:val="24"/>
          <w:highlight w:val="none"/>
        </w:rPr>
        <w:t>加油站</w:t>
      </w:r>
      <w:r>
        <w:rPr>
          <w:strike w:val="0"/>
          <w:dstrike w:val="0"/>
          <w:color w:val="auto"/>
          <w:sz w:val="24"/>
          <w:highlight w:val="none"/>
        </w:rPr>
        <w:t>防范和处置突发性环境事件的技能，增强实战能力，同时作好演练记录。演练事件名称</w:t>
      </w:r>
      <w:r>
        <w:rPr>
          <w:rFonts w:hint="eastAsia"/>
          <w:strike w:val="0"/>
          <w:dstrike w:val="0"/>
          <w:color w:val="auto"/>
          <w:sz w:val="24"/>
          <w:highlight w:val="none"/>
        </w:rPr>
        <w:t>见</w:t>
      </w:r>
      <w:r>
        <w:rPr>
          <w:rFonts w:hint="eastAsia"/>
          <w:strike w:val="0"/>
          <w:dstrike w:val="0"/>
          <w:color w:val="auto"/>
          <w:sz w:val="24"/>
          <w:highlight w:val="none"/>
          <w:lang w:eastAsia="zh-CN"/>
        </w:rPr>
        <w:t>表8.6</w:t>
      </w:r>
      <w:r>
        <w:rPr>
          <w:rFonts w:hint="eastAsia"/>
          <w:strike w:val="0"/>
          <w:dstrike w:val="0"/>
          <w:color w:val="auto"/>
          <w:sz w:val="24"/>
          <w:highlight w:val="none"/>
        </w:rPr>
        <w:t>-3。</w:t>
      </w:r>
    </w:p>
    <w:p w14:paraId="794F47C8">
      <w:pPr>
        <w:spacing w:line="360" w:lineRule="auto"/>
        <w:jc w:val="center"/>
        <w:rPr>
          <w:b/>
          <w:bCs/>
          <w:strike w:val="0"/>
          <w:dstrike w:val="0"/>
          <w:color w:val="auto"/>
          <w:sz w:val="24"/>
          <w:highlight w:val="none"/>
        </w:rPr>
      </w:pPr>
      <w:r>
        <w:rPr>
          <w:rFonts w:hint="eastAsia"/>
          <w:b/>
          <w:bCs/>
          <w:strike w:val="0"/>
          <w:dstrike w:val="0"/>
          <w:color w:val="auto"/>
          <w:sz w:val="24"/>
          <w:highlight w:val="none"/>
          <w:lang w:eastAsia="zh-CN"/>
        </w:rPr>
        <w:t>表8.6</w:t>
      </w:r>
      <w:r>
        <w:rPr>
          <w:rFonts w:hint="eastAsia"/>
          <w:b/>
          <w:bCs/>
          <w:strike w:val="0"/>
          <w:dstrike w:val="0"/>
          <w:color w:val="auto"/>
          <w:sz w:val="24"/>
          <w:highlight w:val="none"/>
        </w:rPr>
        <w:t>-3</w:t>
      </w:r>
      <w:r>
        <w:rPr>
          <w:b/>
          <w:bCs/>
          <w:strike w:val="0"/>
          <w:dstrike w:val="0"/>
          <w:color w:val="auto"/>
          <w:sz w:val="24"/>
          <w:highlight w:val="none"/>
        </w:rPr>
        <w:t xml:space="preserve">  突发环境事件演练</w:t>
      </w:r>
    </w:p>
    <w:tbl>
      <w:tblPr>
        <w:tblStyle w:val="22"/>
        <w:tblW w:w="8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6389"/>
      </w:tblGrid>
      <w:tr w14:paraId="35D9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23" w:type="dxa"/>
            <w:vAlign w:val="center"/>
          </w:tcPr>
          <w:p w14:paraId="237AFF8D">
            <w:pPr>
              <w:jc w:val="center"/>
              <w:rPr>
                <w:b/>
                <w:bCs/>
                <w:strike w:val="0"/>
                <w:dstrike w:val="0"/>
                <w:color w:val="auto"/>
                <w:szCs w:val="21"/>
                <w:highlight w:val="none"/>
              </w:rPr>
            </w:pPr>
            <w:r>
              <w:rPr>
                <w:b/>
                <w:bCs/>
                <w:strike w:val="0"/>
                <w:dstrike w:val="0"/>
                <w:color w:val="auto"/>
                <w:szCs w:val="21"/>
                <w:highlight w:val="none"/>
              </w:rPr>
              <w:t>序号</w:t>
            </w:r>
          </w:p>
        </w:tc>
        <w:tc>
          <w:tcPr>
            <w:tcW w:w="6389" w:type="dxa"/>
          </w:tcPr>
          <w:p w14:paraId="592CE5C9">
            <w:pPr>
              <w:jc w:val="center"/>
              <w:rPr>
                <w:b/>
                <w:bCs/>
                <w:strike w:val="0"/>
                <w:dstrike w:val="0"/>
                <w:color w:val="auto"/>
                <w:szCs w:val="21"/>
                <w:highlight w:val="none"/>
              </w:rPr>
            </w:pPr>
            <w:r>
              <w:rPr>
                <w:b/>
                <w:bCs/>
                <w:strike w:val="0"/>
                <w:dstrike w:val="0"/>
                <w:color w:val="auto"/>
                <w:szCs w:val="21"/>
                <w:highlight w:val="none"/>
              </w:rPr>
              <w:t>事件</w:t>
            </w:r>
          </w:p>
        </w:tc>
      </w:tr>
      <w:tr w14:paraId="569D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auto"/>
            <w:vAlign w:val="center"/>
          </w:tcPr>
          <w:p w14:paraId="73AF5972">
            <w:pPr>
              <w:jc w:val="center"/>
              <w:rPr>
                <w:strike w:val="0"/>
                <w:dstrike w:val="0"/>
                <w:color w:val="auto"/>
                <w:szCs w:val="21"/>
                <w:highlight w:val="none"/>
              </w:rPr>
            </w:pPr>
            <w:r>
              <w:rPr>
                <w:rFonts w:hint="eastAsia"/>
                <w:strike w:val="0"/>
                <w:dstrike w:val="0"/>
                <w:color w:val="auto"/>
                <w:szCs w:val="21"/>
                <w:highlight w:val="none"/>
              </w:rPr>
              <w:t>1</w:t>
            </w:r>
          </w:p>
        </w:tc>
        <w:tc>
          <w:tcPr>
            <w:tcW w:w="6389" w:type="dxa"/>
            <w:shd w:val="clear" w:color="auto" w:fill="auto"/>
            <w:vAlign w:val="center"/>
          </w:tcPr>
          <w:p w14:paraId="1049F449">
            <w:pPr>
              <w:jc w:val="center"/>
              <w:rPr>
                <w:strike w:val="0"/>
                <w:dstrike w:val="0"/>
                <w:color w:val="auto"/>
                <w:szCs w:val="21"/>
                <w:highlight w:val="none"/>
              </w:rPr>
            </w:pPr>
            <w:r>
              <w:rPr>
                <w:rFonts w:hint="eastAsia"/>
                <w:strike w:val="0"/>
                <w:dstrike w:val="0"/>
                <w:color w:val="auto"/>
                <w:szCs w:val="21"/>
                <w:highlight w:val="none"/>
              </w:rPr>
              <w:t>柴油、汽油、LNG泄漏引发次生大气、水环境污染事件</w:t>
            </w:r>
          </w:p>
        </w:tc>
      </w:tr>
      <w:tr w14:paraId="1E56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auto"/>
            <w:vAlign w:val="center"/>
          </w:tcPr>
          <w:p w14:paraId="19362B8C">
            <w:pPr>
              <w:jc w:val="center"/>
              <w:rPr>
                <w:strike w:val="0"/>
                <w:dstrike w:val="0"/>
                <w:color w:val="auto"/>
                <w:szCs w:val="21"/>
                <w:highlight w:val="none"/>
              </w:rPr>
            </w:pPr>
            <w:r>
              <w:rPr>
                <w:rFonts w:hint="eastAsia"/>
                <w:strike w:val="0"/>
                <w:dstrike w:val="0"/>
                <w:color w:val="auto"/>
                <w:szCs w:val="21"/>
                <w:highlight w:val="none"/>
              </w:rPr>
              <w:t>2</w:t>
            </w:r>
          </w:p>
        </w:tc>
        <w:tc>
          <w:tcPr>
            <w:tcW w:w="6389" w:type="dxa"/>
            <w:shd w:val="clear" w:color="auto" w:fill="auto"/>
            <w:vAlign w:val="center"/>
          </w:tcPr>
          <w:p w14:paraId="3A8B43AA">
            <w:pPr>
              <w:jc w:val="center"/>
              <w:rPr>
                <w:strike w:val="0"/>
                <w:dstrike w:val="0"/>
                <w:color w:val="auto"/>
                <w:szCs w:val="21"/>
                <w:highlight w:val="none"/>
              </w:rPr>
            </w:pPr>
            <w:r>
              <w:rPr>
                <w:rFonts w:hint="eastAsia"/>
                <w:strike w:val="0"/>
                <w:dstrike w:val="0"/>
                <w:color w:val="auto"/>
                <w:szCs w:val="21"/>
                <w:highlight w:val="none"/>
              </w:rPr>
              <w:t>柴油、汽油、LNG火灾引发次生大气、水环境污染事件</w:t>
            </w:r>
          </w:p>
        </w:tc>
      </w:tr>
      <w:tr w14:paraId="53EF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auto"/>
            <w:vAlign w:val="center"/>
          </w:tcPr>
          <w:p w14:paraId="18D462F4">
            <w:pPr>
              <w:jc w:val="center"/>
              <w:rPr>
                <w:strike w:val="0"/>
                <w:dstrike w:val="0"/>
                <w:color w:val="auto"/>
                <w:szCs w:val="21"/>
                <w:highlight w:val="none"/>
              </w:rPr>
            </w:pPr>
            <w:r>
              <w:rPr>
                <w:rFonts w:hint="eastAsia"/>
                <w:strike w:val="0"/>
                <w:dstrike w:val="0"/>
                <w:color w:val="auto"/>
                <w:szCs w:val="21"/>
                <w:highlight w:val="none"/>
              </w:rPr>
              <w:t>3</w:t>
            </w:r>
          </w:p>
        </w:tc>
        <w:tc>
          <w:tcPr>
            <w:tcW w:w="6389" w:type="dxa"/>
            <w:shd w:val="clear" w:color="auto" w:fill="auto"/>
            <w:vAlign w:val="center"/>
          </w:tcPr>
          <w:p w14:paraId="18310BFD">
            <w:pPr>
              <w:jc w:val="center"/>
              <w:rPr>
                <w:strike w:val="0"/>
                <w:dstrike w:val="0"/>
                <w:color w:val="auto"/>
                <w:szCs w:val="21"/>
                <w:highlight w:val="none"/>
              </w:rPr>
            </w:pPr>
            <w:r>
              <w:rPr>
                <w:rFonts w:hint="eastAsia"/>
                <w:strike w:val="0"/>
                <w:dstrike w:val="0"/>
                <w:color w:val="auto"/>
                <w:szCs w:val="21"/>
                <w:highlight w:val="none"/>
              </w:rPr>
              <w:t>储气罐区、储油罐区爆炸引发次生大气、水环境污染事件</w:t>
            </w:r>
          </w:p>
        </w:tc>
      </w:tr>
      <w:tr w14:paraId="3AC7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auto"/>
            <w:vAlign w:val="center"/>
          </w:tcPr>
          <w:p w14:paraId="1145FE5E">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4</w:t>
            </w:r>
          </w:p>
        </w:tc>
        <w:tc>
          <w:tcPr>
            <w:tcW w:w="6389" w:type="dxa"/>
            <w:shd w:val="clear" w:color="auto" w:fill="auto"/>
            <w:vAlign w:val="center"/>
          </w:tcPr>
          <w:p w14:paraId="4EC21D1E">
            <w:pPr>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strike w:val="0"/>
                <w:dstrike w:val="0"/>
                <w:color w:val="auto"/>
                <w:szCs w:val="21"/>
                <w:highlight w:val="none"/>
                <w:lang w:val="en-US" w:eastAsia="zh-CN"/>
              </w:rPr>
              <w:t>充电/换电预留位</w:t>
            </w:r>
            <w:r>
              <w:rPr>
                <w:rFonts w:hint="eastAsia"/>
                <w:strike w:val="0"/>
                <w:dstrike w:val="0"/>
                <w:color w:val="auto"/>
                <w:szCs w:val="21"/>
                <w:highlight w:val="none"/>
              </w:rPr>
              <w:t>爆炸引发次生大气、水环境污染事件</w:t>
            </w:r>
          </w:p>
        </w:tc>
      </w:tr>
    </w:tbl>
    <w:p w14:paraId="00248D62">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.7公众教育和信息</w:t>
      </w:r>
    </w:p>
    <w:p w14:paraId="77F0C2D5">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应急救援指挥中心根据企业生产的安排，组织应急专业救援组对工厂邻近地区采取发放传单、开座谈会等形式开展公众教育和发布有关信息，或配合当地消防部门对邻近地区公众进行应急救援的培训。</w:t>
      </w:r>
    </w:p>
    <w:p w14:paraId="747CB89B">
      <w:pPr>
        <w:pStyle w:val="4"/>
        <w:spacing w:before="0" w:after="0" w:line="360" w:lineRule="auto"/>
        <w:ind w:firstLine="643" w:firstLineChars="200"/>
        <w:rPr>
          <w:rFonts w:ascii="Times New Roman" w:hAnsi="Times New Roman" w:eastAsia="宋体"/>
          <w:strike w:val="0"/>
          <w:dstrike w:val="0"/>
          <w:color w:val="auto"/>
          <w:highlight w:val="none"/>
        </w:rPr>
      </w:pPr>
      <w:r>
        <w:rPr>
          <w:rFonts w:hint="eastAsia" w:ascii="Times New Roman" w:hAnsi="Times New Roman" w:eastAsia="宋体"/>
          <w:strike w:val="0"/>
          <w:dstrike w:val="0"/>
          <w:color w:val="auto"/>
          <w:highlight w:val="none"/>
          <w:lang w:val="en-US" w:eastAsia="zh-CN"/>
        </w:rPr>
        <w:t>8</w:t>
      </w:r>
      <w:r>
        <w:rPr>
          <w:rFonts w:ascii="Times New Roman" w:hAnsi="Times New Roman" w:eastAsia="宋体"/>
          <w:strike w:val="0"/>
          <w:dstrike w:val="0"/>
          <w:color w:val="auto"/>
          <w:highlight w:val="none"/>
        </w:rPr>
        <w:t>.8环境风险事故应急预案主要内容</w:t>
      </w:r>
    </w:p>
    <w:p w14:paraId="6F0871D2">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项目环境风险事故突发事故应急预案大纲见下表。</w:t>
      </w:r>
    </w:p>
    <w:p w14:paraId="1620D4B5">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lang w:eastAsia="zh-CN"/>
        </w:rPr>
        <w:t>表8.8</w:t>
      </w:r>
      <w:r>
        <w:rPr>
          <w:b/>
          <w:bCs/>
          <w:strike w:val="0"/>
          <w:dstrike w:val="0"/>
          <w:color w:val="auto"/>
          <w:sz w:val="24"/>
          <w:szCs w:val="32"/>
          <w:highlight w:val="none"/>
        </w:rPr>
        <w:t xml:space="preserve">-1 </w:t>
      </w:r>
      <w:r>
        <w:rPr>
          <w:rFonts w:hint="eastAsia"/>
          <w:b/>
          <w:bCs/>
          <w:strike w:val="0"/>
          <w:dstrike w:val="0"/>
          <w:color w:val="auto"/>
          <w:sz w:val="24"/>
          <w:szCs w:val="32"/>
          <w:highlight w:val="none"/>
        </w:rPr>
        <w:t xml:space="preserve"> </w:t>
      </w:r>
      <w:r>
        <w:rPr>
          <w:b/>
          <w:bCs/>
          <w:strike w:val="0"/>
          <w:dstrike w:val="0"/>
          <w:color w:val="auto"/>
          <w:sz w:val="24"/>
          <w:szCs w:val="32"/>
          <w:highlight w:val="none"/>
        </w:rPr>
        <w:t>突发事故应急预案基本要求表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567"/>
        <w:gridCol w:w="4877"/>
      </w:tblGrid>
      <w:tr w14:paraId="3E63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8" w:type="dxa"/>
            <w:vAlign w:val="center"/>
          </w:tcPr>
          <w:p w14:paraId="06DB5533">
            <w:pPr>
              <w:jc w:val="center"/>
              <w:rPr>
                <w:b/>
                <w:bCs/>
                <w:strike w:val="0"/>
                <w:dstrike w:val="0"/>
                <w:color w:val="auto"/>
                <w:szCs w:val="21"/>
                <w:highlight w:val="none"/>
              </w:rPr>
            </w:pPr>
            <w:r>
              <w:rPr>
                <w:b/>
                <w:bCs/>
                <w:strike w:val="0"/>
                <w:dstrike w:val="0"/>
                <w:color w:val="auto"/>
                <w:szCs w:val="21"/>
                <w:highlight w:val="none"/>
              </w:rPr>
              <w:t>序号</w:t>
            </w:r>
          </w:p>
        </w:tc>
        <w:tc>
          <w:tcPr>
            <w:tcW w:w="2567" w:type="dxa"/>
            <w:vAlign w:val="center"/>
          </w:tcPr>
          <w:p w14:paraId="5D624FD2">
            <w:pPr>
              <w:jc w:val="center"/>
              <w:rPr>
                <w:b/>
                <w:bCs/>
                <w:strike w:val="0"/>
                <w:dstrike w:val="0"/>
                <w:color w:val="auto"/>
                <w:szCs w:val="21"/>
                <w:highlight w:val="none"/>
              </w:rPr>
            </w:pPr>
            <w:r>
              <w:rPr>
                <w:b/>
                <w:bCs/>
                <w:strike w:val="0"/>
                <w:dstrike w:val="0"/>
                <w:color w:val="auto"/>
                <w:szCs w:val="21"/>
                <w:highlight w:val="none"/>
              </w:rPr>
              <w:t>项目</w:t>
            </w:r>
          </w:p>
        </w:tc>
        <w:tc>
          <w:tcPr>
            <w:tcW w:w="4877" w:type="dxa"/>
            <w:vAlign w:val="center"/>
          </w:tcPr>
          <w:p w14:paraId="7477DDB6">
            <w:pPr>
              <w:jc w:val="center"/>
              <w:rPr>
                <w:b/>
                <w:bCs/>
                <w:strike w:val="0"/>
                <w:dstrike w:val="0"/>
                <w:color w:val="auto"/>
                <w:szCs w:val="21"/>
                <w:highlight w:val="none"/>
              </w:rPr>
            </w:pPr>
            <w:r>
              <w:rPr>
                <w:b/>
                <w:bCs/>
                <w:strike w:val="0"/>
                <w:dstrike w:val="0"/>
                <w:color w:val="auto"/>
                <w:szCs w:val="21"/>
                <w:highlight w:val="none"/>
              </w:rPr>
              <w:t>内容及要求</w:t>
            </w:r>
          </w:p>
        </w:tc>
      </w:tr>
      <w:tr w14:paraId="7747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8" w:type="dxa"/>
            <w:vAlign w:val="center"/>
          </w:tcPr>
          <w:p w14:paraId="58088564">
            <w:pPr>
              <w:jc w:val="center"/>
              <w:rPr>
                <w:strike w:val="0"/>
                <w:dstrike w:val="0"/>
                <w:color w:val="auto"/>
                <w:szCs w:val="21"/>
                <w:highlight w:val="none"/>
              </w:rPr>
            </w:pPr>
            <w:r>
              <w:rPr>
                <w:strike w:val="0"/>
                <w:dstrike w:val="0"/>
                <w:color w:val="auto"/>
                <w:szCs w:val="21"/>
                <w:highlight w:val="none"/>
              </w:rPr>
              <w:t>1</w:t>
            </w:r>
          </w:p>
        </w:tc>
        <w:tc>
          <w:tcPr>
            <w:tcW w:w="2567" w:type="dxa"/>
            <w:vAlign w:val="center"/>
          </w:tcPr>
          <w:p w14:paraId="1905B2AD">
            <w:pPr>
              <w:jc w:val="center"/>
              <w:rPr>
                <w:strike w:val="0"/>
                <w:dstrike w:val="0"/>
                <w:color w:val="auto"/>
                <w:szCs w:val="21"/>
                <w:highlight w:val="none"/>
              </w:rPr>
            </w:pPr>
            <w:r>
              <w:rPr>
                <w:strike w:val="0"/>
                <w:dstrike w:val="0"/>
                <w:color w:val="auto"/>
                <w:szCs w:val="21"/>
                <w:highlight w:val="none"/>
              </w:rPr>
              <w:t>危险源概况</w:t>
            </w:r>
          </w:p>
        </w:tc>
        <w:tc>
          <w:tcPr>
            <w:tcW w:w="4877" w:type="dxa"/>
            <w:vAlign w:val="center"/>
          </w:tcPr>
          <w:p w14:paraId="18B947FE">
            <w:pPr>
              <w:jc w:val="center"/>
              <w:rPr>
                <w:strike w:val="0"/>
                <w:dstrike w:val="0"/>
                <w:color w:val="auto"/>
                <w:szCs w:val="21"/>
                <w:highlight w:val="none"/>
              </w:rPr>
            </w:pPr>
            <w:r>
              <w:rPr>
                <w:strike w:val="0"/>
                <w:dstrike w:val="0"/>
                <w:color w:val="auto"/>
                <w:szCs w:val="21"/>
                <w:highlight w:val="none"/>
              </w:rPr>
              <w:t>详述危险源类型、数量及其分布</w:t>
            </w:r>
          </w:p>
        </w:tc>
      </w:tr>
      <w:tr w14:paraId="650B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8" w:type="dxa"/>
            <w:vAlign w:val="center"/>
          </w:tcPr>
          <w:p w14:paraId="24D29AD8">
            <w:pPr>
              <w:jc w:val="center"/>
              <w:rPr>
                <w:strike w:val="0"/>
                <w:dstrike w:val="0"/>
                <w:color w:val="auto"/>
                <w:szCs w:val="21"/>
                <w:highlight w:val="none"/>
              </w:rPr>
            </w:pPr>
            <w:r>
              <w:rPr>
                <w:strike w:val="0"/>
                <w:dstrike w:val="0"/>
                <w:color w:val="auto"/>
                <w:szCs w:val="21"/>
                <w:highlight w:val="none"/>
              </w:rPr>
              <w:t>2</w:t>
            </w:r>
          </w:p>
        </w:tc>
        <w:tc>
          <w:tcPr>
            <w:tcW w:w="2567" w:type="dxa"/>
            <w:vAlign w:val="center"/>
          </w:tcPr>
          <w:p w14:paraId="486C24F2">
            <w:pPr>
              <w:jc w:val="center"/>
              <w:rPr>
                <w:strike w:val="0"/>
                <w:dstrike w:val="0"/>
                <w:color w:val="auto"/>
                <w:szCs w:val="21"/>
                <w:highlight w:val="none"/>
              </w:rPr>
            </w:pPr>
            <w:r>
              <w:rPr>
                <w:strike w:val="0"/>
                <w:dstrike w:val="0"/>
                <w:color w:val="auto"/>
                <w:szCs w:val="21"/>
                <w:highlight w:val="none"/>
              </w:rPr>
              <w:t>应急计划区</w:t>
            </w:r>
          </w:p>
        </w:tc>
        <w:tc>
          <w:tcPr>
            <w:tcW w:w="4877" w:type="dxa"/>
            <w:vAlign w:val="center"/>
          </w:tcPr>
          <w:p w14:paraId="0C3A452F">
            <w:pPr>
              <w:jc w:val="center"/>
              <w:rPr>
                <w:strike w:val="0"/>
                <w:dstrike w:val="0"/>
                <w:color w:val="auto"/>
                <w:szCs w:val="21"/>
                <w:highlight w:val="none"/>
              </w:rPr>
            </w:pPr>
            <w:r>
              <w:rPr>
                <w:strike w:val="0"/>
                <w:dstrike w:val="0"/>
                <w:color w:val="auto"/>
                <w:szCs w:val="21"/>
                <w:highlight w:val="none"/>
              </w:rPr>
              <w:t>装置区、贮罐区、邻区</w:t>
            </w:r>
          </w:p>
        </w:tc>
      </w:tr>
      <w:tr w14:paraId="53FA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78" w:type="dxa"/>
            <w:vAlign w:val="center"/>
          </w:tcPr>
          <w:p w14:paraId="56622D01">
            <w:pPr>
              <w:jc w:val="center"/>
              <w:rPr>
                <w:strike w:val="0"/>
                <w:dstrike w:val="0"/>
                <w:color w:val="auto"/>
                <w:szCs w:val="21"/>
                <w:highlight w:val="none"/>
              </w:rPr>
            </w:pPr>
            <w:r>
              <w:rPr>
                <w:strike w:val="0"/>
                <w:dstrike w:val="0"/>
                <w:color w:val="auto"/>
                <w:szCs w:val="21"/>
                <w:highlight w:val="none"/>
              </w:rPr>
              <w:t>3</w:t>
            </w:r>
          </w:p>
        </w:tc>
        <w:tc>
          <w:tcPr>
            <w:tcW w:w="2567" w:type="dxa"/>
            <w:vAlign w:val="center"/>
          </w:tcPr>
          <w:p w14:paraId="12981BAC">
            <w:pPr>
              <w:jc w:val="center"/>
              <w:rPr>
                <w:strike w:val="0"/>
                <w:dstrike w:val="0"/>
                <w:color w:val="auto"/>
                <w:szCs w:val="21"/>
                <w:highlight w:val="none"/>
              </w:rPr>
            </w:pPr>
            <w:r>
              <w:rPr>
                <w:strike w:val="0"/>
                <w:dstrike w:val="0"/>
                <w:color w:val="auto"/>
                <w:szCs w:val="21"/>
                <w:highlight w:val="none"/>
              </w:rPr>
              <w:t>应急组织</w:t>
            </w:r>
          </w:p>
        </w:tc>
        <w:tc>
          <w:tcPr>
            <w:tcW w:w="4877" w:type="dxa"/>
            <w:vAlign w:val="center"/>
          </w:tcPr>
          <w:p w14:paraId="651C564C">
            <w:pPr>
              <w:jc w:val="center"/>
              <w:rPr>
                <w:strike w:val="0"/>
                <w:dstrike w:val="0"/>
                <w:color w:val="auto"/>
                <w:szCs w:val="21"/>
                <w:highlight w:val="none"/>
              </w:rPr>
            </w:pPr>
            <w:r>
              <w:rPr>
                <w:rFonts w:hint="eastAsia"/>
                <w:strike w:val="0"/>
                <w:dstrike w:val="0"/>
                <w:color w:val="auto"/>
                <w:szCs w:val="21"/>
                <w:highlight w:val="none"/>
              </w:rPr>
              <w:t>站区</w:t>
            </w:r>
            <w:r>
              <w:rPr>
                <w:strike w:val="0"/>
                <w:dstrike w:val="0"/>
                <w:color w:val="auto"/>
                <w:szCs w:val="21"/>
                <w:highlight w:val="none"/>
              </w:rPr>
              <w:t>指挥部</w:t>
            </w:r>
            <w:r>
              <w:rPr>
                <w:rFonts w:hint="eastAsia"/>
                <w:strike w:val="0"/>
                <w:dstrike w:val="0"/>
                <w:color w:val="auto"/>
                <w:szCs w:val="21"/>
                <w:highlight w:val="none"/>
              </w:rPr>
              <w:t>--</w:t>
            </w:r>
            <w:r>
              <w:rPr>
                <w:strike w:val="0"/>
                <w:dstrike w:val="0"/>
                <w:color w:val="auto"/>
                <w:szCs w:val="21"/>
                <w:highlight w:val="none"/>
              </w:rPr>
              <w:t>负责现场全面指挥；专业救援队伍</w:t>
            </w:r>
            <w:r>
              <w:rPr>
                <w:rFonts w:hint="eastAsia"/>
                <w:strike w:val="0"/>
                <w:dstrike w:val="0"/>
                <w:color w:val="auto"/>
                <w:szCs w:val="21"/>
                <w:highlight w:val="none"/>
              </w:rPr>
              <w:t>--</w:t>
            </w:r>
            <w:r>
              <w:rPr>
                <w:strike w:val="0"/>
                <w:dstrike w:val="0"/>
                <w:color w:val="auto"/>
                <w:szCs w:val="21"/>
                <w:highlight w:val="none"/>
              </w:rPr>
              <w:t>负责事故控制、救援、善后处理</w:t>
            </w:r>
          </w:p>
        </w:tc>
      </w:tr>
      <w:tr w14:paraId="7813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78" w:type="dxa"/>
            <w:vAlign w:val="center"/>
          </w:tcPr>
          <w:p w14:paraId="0E32C1E5">
            <w:pPr>
              <w:jc w:val="center"/>
              <w:rPr>
                <w:strike w:val="0"/>
                <w:dstrike w:val="0"/>
                <w:color w:val="auto"/>
                <w:szCs w:val="21"/>
                <w:highlight w:val="none"/>
              </w:rPr>
            </w:pPr>
            <w:r>
              <w:rPr>
                <w:strike w:val="0"/>
                <w:dstrike w:val="0"/>
                <w:color w:val="auto"/>
                <w:szCs w:val="21"/>
                <w:highlight w:val="none"/>
              </w:rPr>
              <w:t>4</w:t>
            </w:r>
          </w:p>
        </w:tc>
        <w:tc>
          <w:tcPr>
            <w:tcW w:w="2567" w:type="dxa"/>
            <w:vAlign w:val="center"/>
          </w:tcPr>
          <w:p w14:paraId="1AB5D23C">
            <w:pPr>
              <w:jc w:val="center"/>
              <w:rPr>
                <w:strike w:val="0"/>
                <w:dstrike w:val="0"/>
                <w:color w:val="auto"/>
                <w:szCs w:val="21"/>
                <w:highlight w:val="none"/>
              </w:rPr>
            </w:pPr>
            <w:r>
              <w:rPr>
                <w:strike w:val="0"/>
                <w:dstrike w:val="0"/>
                <w:color w:val="auto"/>
                <w:szCs w:val="21"/>
                <w:highlight w:val="none"/>
              </w:rPr>
              <w:t>应急状态分类及应急响应程序</w:t>
            </w:r>
          </w:p>
        </w:tc>
        <w:tc>
          <w:tcPr>
            <w:tcW w:w="4877" w:type="dxa"/>
            <w:vAlign w:val="center"/>
          </w:tcPr>
          <w:p w14:paraId="134C4F84">
            <w:pPr>
              <w:jc w:val="center"/>
              <w:rPr>
                <w:strike w:val="0"/>
                <w:dstrike w:val="0"/>
                <w:color w:val="auto"/>
                <w:szCs w:val="21"/>
                <w:highlight w:val="none"/>
              </w:rPr>
            </w:pPr>
            <w:r>
              <w:rPr>
                <w:strike w:val="0"/>
                <w:dstrike w:val="0"/>
                <w:color w:val="auto"/>
                <w:szCs w:val="21"/>
                <w:highlight w:val="none"/>
              </w:rPr>
              <w:t>规定事故的级别及相应的应急分类响应程序</w:t>
            </w:r>
          </w:p>
        </w:tc>
      </w:tr>
      <w:tr w14:paraId="35E8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8" w:type="dxa"/>
            <w:vAlign w:val="center"/>
          </w:tcPr>
          <w:p w14:paraId="111F31FB">
            <w:pPr>
              <w:jc w:val="center"/>
              <w:rPr>
                <w:strike w:val="0"/>
                <w:dstrike w:val="0"/>
                <w:color w:val="auto"/>
                <w:szCs w:val="21"/>
                <w:highlight w:val="none"/>
              </w:rPr>
            </w:pPr>
            <w:r>
              <w:rPr>
                <w:strike w:val="0"/>
                <w:dstrike w:val="0"/>
                <w:color w:val="auto"/>
                <w:szCs w:val="21"/>
                <w:highlight w:val="none"/>
              </w:rPr>
              <w:t>5</w:t>
            </w:r>
          </w:p>
        </w:tc>
        <w:tc>
          <w:tcPr>
            <w:tcW w:w="2567" w:type="dxa"/>
            <w:vAlign w:val="center"/>
          </w:tcPr>
          <w:p w14:paraId="486E6BC0">
            <w:pPr>
              <w:jc w:val="center"/>
              <w:rPr>
                <w:strike w:val="0"/>
                <w:dstrike w:val="0"/>
                <w:color w:val="auto"/>
                <w:szCs w:val="21"/>
                <w:highlight w:val="none"/>
              </w:rPr>
            </w:pPr>
            <w:r>
              <w:rPr>
                <w:strike w:val="0"/>
                <w:dstrike w:val="0"/>
                <w:color w:val="auto"/>
                <w:szCs w:val="21"/>
                <w:highlight w:val="none"/>
              </w:rPr>
              <w:t>应急设施、设备与材料</w:t>
            </w:r>
          </w:p>
        </w:tc>
        <w:tc>
          <w:tcPr>
            <w:tcW w:w="4877" w:type="dxa"/>
            <w:vAlign w:val="center"/>
          </w:tcPr>
          <w:p w14:paraId="533EB13E">
            <w:pPr>
              <w:jc w:val="center"/>
              <w:rPr>
                <w:strike w:val="0"/>
                <w:dstrike w:val="0"/>
                <w:color w:val="auto"/>
                <w:szCs w:val="21"/>
                <w:highlight w:val="none"/>
              </w:rPr>
            </w:pPr>
            <w:r>
              <w:rPr>
                <w:rFonts w:hint="eastAsia"/>
                <w:strike w:val="0"/>
                <w:dstrike w:val="0"/>
                <w:color w:val="auto"/>
                <w:szCs w:val="21"/>
                <w:highlight w:val="none"/>
              </w:rPr>
              <w:t>储油罐区、储气</w:t>
            </w:r>
            <w:r>
              <w:rPr>
                <w:strike w:val="0"/>
                <w:dstrike w:val="0"/>
                <w:color w:val="auto"/>
                <w:szCs w:val="21"/>
                <w:highlight w:val="none"/>
              </w:rPr>
              <w:t>罐区</w:t>
            </w:r>
            <w:r>
              <w:rPr>
                <w:rFonts w:hint="eastAsia"/>
                <w:strike w:val="0"/>
                <w:dstrike w:val="0"/>
                <w:color w:val="auto"/>
                <w:szCs w:val="21"/>
                <w:highlight w:val="none"/>
                <w:lang w:eastAsia="zh-CN"/>
              </w:rPr>
              <w:t>、</w:t>
            </w:r>
            <w:r>
              <w:rPr>
                <w:rFonts w:hint="eastAsia"/>
                <w:strike w:val="0"/>
                <w:dstrike w:val="0"/>
                <w:color w:val="auto"/>
                <w:szCs w:val="21"/>
                <w:highlight w:val="none"/>
                <w:lang w:val="en-US" w:eastAsia="zh-CN"/>
              </w:rPr>
              <w:t>充电/换电预留位</w:t>
            </w:r>
            <w:r>
              <w:rPr>
                <w:strike w:val="0"/>
                <w:dstrike w:val="0"/>
                <w:color w:val="auto"/>
                <w:szCs w:val="21"/>
                <w:highlight w:val="none"/>
              </w:rPr>
              <w:t>：防火灾、爆炸事故、泄漏应急设施</w:t>
            </w:r>
          </w:p>
        </w:tc>
      </w:tr>
      <w:tr w14:paraId="3D07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8" w:type="dxa"/>
            <w:vAlign w:val="center"/>
          </w:tcPr>
          <w:p w14:paraId="7F729074">
            <w:pPr>
              <w:jc w:val="center"/>
              <w:rPr>
                <w:strike w:val="0"/>
                <w:dstrike w:val="0"/>
                <w:color w:val="auto"/>
                <w:szCs w:val="21"/>
                <w:highlight w:val="none"/>
              </w:rPr>
            </w:pPr>
            <w:r>
              <w:rPr>
                <w:strike w:val="0"/>
                <w:dstrike w:val="0"/>
                <w:color w:val="auto"/>
                <w:szCs w:val="21"/>
                <w:highlight w:val="none"/>
              </w:rPr>
              <w:t>6</w:t>
            </w:r>
          </w:p>
        </w:tc>
        <w:tc>
          <w:tcPr>
            <w:tcW w:w="2567" w:type="dxa"/>
            <w:vAlign w:val="center"/>
          </w:tcPr>
          <w:p w14:paraId="6CFDC988">
            <w:pPr>
              <w:jc w:val="center"/>
              <w:rPr>
                <w:strike w:val="0"/>
                <w:dstrike w:val="0"/>
                <w:color w:val="auto"/>
                <w:szCs w:val="21"/>
                <w:highlight w:val="none"/>
              </w:rPr>
            </w:pPr>
            <w:r>
              <w:rPr>
                <w:strike w:val="0"/>
                <w:dstrike w:val="0"/>
                <w:color w:val="auto"/>
                <w:szCs w:val="21"/>
                <w:highlight w:val="none"/>
              </w:rPr>
              <w:t>应急通讯、通知和交通</w:t>
            </w:r>
          </w:p>
        </w:tc>
        <w:tc>
          <w:tcPr>
            <w:tcW w:w="4877" w:type="dxa"/>
            <w:vAlign w:val="center"/>
          </w:tcPr>
          <w:p w14:paraId="2DCCD2FC">
            <w:pPr>
              <w:jc w:val="center"/>
              <w:rPr>
                <w:strike w:val="0"/>
                <w:dstrike w:val="0"/>
                <w:color w:val="auto"/>
                <w:szCs w:val="21"/>
                <w:highlight w:val="none"/>
              </w:rPr>
            </w:pPr>
            <w:r>
              <w:rPr>
                <w:strike w:val="0"/>
                <w:dstrike w:val="0"/>
                <w:color w:val="auto"/>
                <w:szCs w:val="21"/>
                <w:highlight w:val="none"/>
              </w:rPr>
              <w:t>应急状态下的通讯方式、通知方式利交通保障、管制</w:t>
            </w:r>
          </w:p>
        </w:tc>
      </w:tr>
      <w:tr w14:paraId="1C97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78" w:type="dxa"/>
            <w:vAlign w:val="center"/>
          </w:tcPr>
          <w:p w14:paraId="552D8B38">
            <w:pPr>
              <w:jc w:val="center"/>
              <w:rPr>
                <w:strike w:val="0"/>
                <w:dstrike w:val="0"/>
                <w:color w:val="auto"/>
                <w:szCs w:val="21"/>
                <w:highlight w:val="none"/>
              </w:rPr>
            </w:pPr>
            <w:r>
              <w:rPr>
                <w:strike w:val="0"/>
                <w:dstrike w:val="0"/>
                <w:color w:val="auto"/>
                <w:szCs w:val="21"/>
                <w:highlight w:val="none"/>
              </w:rPr>
              <w:t>7</w:t>
            </w:r>
          </w:p>
        </w:tc>
        <w:tc>
          <w:tcPr>
            <w:tcW w:w="2567" w:type="dxa"/>
            <w:vAlign w:val="center"/>
          </w:tcPr>
          <w:p w14:paraId="58702739">
            <w:pPr>
              <w:jc w:val="center"/>
              <w:rPr>
                <w:strike w:val="0"/>
                <w:dstrike w:val="0"/>
                <w:color w:val="auto"/>
                <w:szCs w:val="21"/>
                <w:highlight w:val="none"/>
              </w:rPr>
            </w:pPr>
            <w:r>
              <w:rPr>
                <w:strike w:val="0"/>
                <w:dstrike w:val="0"/>
                <w:color w:val="auto"/>
                <w:szCs w:val="21"/>
                <w:highlight w:val="none"/>
              </w:rPr>
              <w:t>应急环境监测及事故后评估</w:t>
            </w:r>
          </w:p>
        </w:tc>
        <w:tc>
          <w:tcPr>
            <w:tcW w:w="4877" w:type="dxa"/>
            <w:vAlign w:val="center"/>
          </w:tcPr>
          <w:p w14:paraId="2259103C">
            <w:pPr>
              <w:jc w:val="center"/>
              <w:rPr>
                <w:strike w:val="0"/>
                <w:dstrike w:val="0"/>
                <w:color w:val="auto"/>
                <w:szCs w:val="21"/>
                <w:highlight w:val="none"/>
              </w:rPr>
            </w:pPr>
            <w:r>
              <w:rPr>
                <w:strike w:val="0"/>
                <w:dstrike w:val="0"/>
                <w:color w:val="auto"/>
                <w:szCs w:val="21"/>
                <w:highlight w:val="none"/>
              </w:rPr>
              <w:t>由专业队伍负责对事故现场进行侦察监测，对事故性质、参数与后果进行评估，为指挥部门提供决策依据</w:t>
            </w:r>
          </w:p>
        </w:tc>
      </w:tr>
      <w:tr w14:paraId="7152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78" w:type="dxa"/>
            <w:vAlign w:val="center"/>
          </w:tcPr>
          <w:p w14:paraId="5A7CEC90">
            <w:pPr>
              <w:jc w:val="center"/>
              <w:rPr>
                <w:strike w:val="0"/>
                <w:dstrike w:val="0"/>
                <w:color w:val="auto"/>
                <w:szCs w:val="21"/>
                <w:highlight w:val="none"/>
              </w:rPr>
            </w:pPr>
            <w:r>
              <w:rPr>
                <w:strike w:val="0"/>
                <w:dstrike w:val="0"/>
                <w:color w:val="auto"/>
                <w:szCs w:val="21"/>
                <w:highlight w:val="none"/>
              </w:rPr>
              <w:t>8</w:t>
            </w:r>
          </w:p>
        </w:tc>
        <w:tc>
          <w:tcPr>
            <w:tcW w:w="2567" w:type="dxa"/>
            <w:vAlign w:val="center"/>
          </w:tcPr>
          <w:p w14:paraId="3EA34485">
            <w:pPr>
              <w:jc w:val="center"/>
              <w:rPr>
                <w:strike w:val="0"/>
                <w:dstrike w:val="0"/>
                <w:color w:val="auto"/>
                <w:szCs w:val="21"/>
                <w:highlight w:val="none"/>
              </w:rPr>
            </w:pPr>
            <w:r>
              <w:rPr>
                <w:strike w:val="0"/>
                <w:dstrike w:val="0"/>
                <w:color w:val="auto"/>
                <w:szCs w:val="21"/>
                <w:highlight w:val="none"/>
              </w:rPr>
              <w:t>应急防范措施、清除泄漏措施方法和器材</w:t>
            </w:r>
          </w:p>
        </w:tc>
        <w:tc>
          <w:tcPr>
            <w:tcW w:w="4877" w:type="dxa"/>
            <w:vAlign w:val="center"/>
          </w:tcPr>
          <w:p w14:paraId="3830BDAC">
            <w:pPr>
              <w:jc w:val="center"/>
              <w:rPr>
                <w:strike w:val="0"/>
                <w:dstrike w:val="0"/>
                <w:color w:val="auto"/>
                <w:szCs w:val="21"/>
                <w:highlight w:val="none"/>
              </w:rPr>
            </w:pPr>
            <w:r>
              <w:rPr>
                <w:strike w:val="0"/>
                <w:dstrike w:val="0"/>
                <w:color w:val="auto"/>
                <w:szCs w:val="21"/>
                <w:highlight w:val="none"/>
              </w:rPr>
              <w:t>事故现场：控制事故、防止扩大、蔓延和链锁反应；清楚现场泄漏物，降低危害，相应的实施器材配备</w:t>
            </w:r>
          </w:p>
        </w:tc>
      </w:tr>
      <w:tr w14:paraId="5FAF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78" w:type="dxa"/>
            <w:vAlign w:val="center"/>
          </w:tcPr>
          <w:p w14:paraId="738BFD31">
            <w:pPr>
              <w:jc w:val="center"/>
              <w:rPr>
                <w:strike w:val="0"/>
                <w:dstrike w:val="0"/>
                <w:color w:val="auto"/>
                <w:szCs w:val="21"/>
                <w:highlight w:val="none"/>
              </w:rPr>
            </w:pPr>
            <w:r>
              <w:rPr>
                <w:strike w:val="0"/>
                <w:dstrike w:val="0"/>
                <w:color w:val="auto"/>
                <w:szCs w:val="21"/>
                <w:highlight w:val="none"/>
              </w:rPr>
              <w:t>9</w:t>
            </w:r>
          </w:p>
        </w:tc>
        <w:tc>
          <w:tcPr>
            <w:tcW w:w="2567" w:type="dxa"/>
            <w:vAlign w:val="center"/>
          </w:tcPr>
          <w:p w14:paraId="2AAE134D">
            <w:pPr>
              <w:jc w:val="center"/>
              <w:rPr>
                <w:strike w:val="0"/>
                <w:dstrike w:val="0"/>
                <w:color w:val="auto"/>
                <w:szCs w:val="21"/>
                <w:highlight w:val="none"/>
              </w:rPr>
            </w:pPr>
            <w:r>
              <w:rPr>
                <w:strike w:val="0"/>
                <w:dstrike w:val="0"/>
                <w:color w:val="auto"/>
                <w:szCs w:val="21"/>
                <w:highlight w:val="none"/>
              </w:rPr>
              <w:t>应急剂量控制、撤离组织计划、医疗救护与公众健康</w:t>
            </w:r>
          </w:p>
        </w:tc>
        <w:tc>
          <w:tcPr>
            <w:tcW w:w="4877" w:type="dxa"/>
            <w:vAlign w:val="center"/>
          </w:tcPr>
          <w:p w14:paraId="71042183">
            <w:pPr>
              <w:jc w:val="center"/>
              <w:rPr>
                <w:strike w:val="0"/>
                <w:dstrike w:val="0"/>
                <w:color w:val="auto"/>
                <w:szCs w:val="21"/>
                <w:highlight w:val="none"/>
              </w:rPr>
            </w:pPr>
            <w:r>
              <w:rPr>
                <w:strike w:val="0"/>
                <w:dstrike w:val="0"/>
                <w:color w:val="auto"/>
                <w:szCs w:val="21"/>
                <w:highlight w:val="none"/>
              </w:rPr>
              <w:t>事故现场：事故处理人员对毒物的应急剂量制定、现场及邻近装置人员撤离组织计划及救护</w:t>
            </w:r>
          </w:p>
        </w:tc>
      </w:tr>
      <w:tr w14:paraId="783C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78" w:type="dxa"/>
            <w:vAlign w:val="center"/>
          </w:tcPr>
          <w:p w14:paraId="4CBDC3C8">
            <w:pPr>
              <w:jc w:val="center"/>
              <w:rPr>
                <w:strike w:val="0"/>
                <w:dstrike w:val="0"/>
                <w:color w:val="auto"/>
                <w:szCs w:val="21"/>
                <w:highlight w:val="none"/>
              </w:rPr>
            </w:pPr>
            <w:r>
              <w:rPr>
                <w:strike w:val="0"/>
                <w:dstrike w:val="0"/>
                <w:color w:val="auto"/>
                <w:szCs w:val="21"/>
                <w:highlight w:val="none"/>
              </w:rPr>
              <w:t>10</w:t>
            </w:r>
          </w:p>
        </w:tc>
        <w:tc>
          <w:tcPr>
            <w:tcW w:w="2567" w:type="dxa"/>
            <w:vAlign w:val="center"/>
          </w:tcPr>
          <w:p w14:paraId="5DB2B4A7">
            <w:pPr>
              <w:jc w:val="center"/>
              <w:rPr>
                <w:strike w:val="0"/>
                <w:dstrike w:val="0"/>
                <w:color w:val="auto"/>
                <w:szCs w:val="21"/>
                <w:highlight w:val="none"/>
              </w:rPr>
            </w:pPr>
            <w:r>
              <w:rPr>
                <w:strike w:val="0"/>
                <w:dstrike w:val="0"/>
                <w:color w:val="auto"/>
                <w:szCs w:val="21"/>
                <w:highlight w:val="none"/>
              </w:rPr>
              <w:t>应急状态终与恢复措施</w:t>
            </w:r>
          </w:p>
        </w:tc>
        <w:tc>
          <w:tcPr>
            <w:tcW w:w="4877" w:type="dxa"/>
            <w:vAlign w:val="center"/>
          </w:tcPr>
          <w:p w14:paraId="2448D6C9">
            <w:pPr>
              <w:jc w:val="center"/>
              <w:rPr>
                <w:strike w:val="0"/>
                <w:dstrike w:val="0"/>
                <w:color w:val="auto"/>
                <w:szCs w:val="21"/>
                <w:highlight w:val="none"/>
              </w:rPr>
            </w:pPr>
            <w:r>
              <w:rPr>
                <w:strike w:val="0"/>
                <w:dstrike w:val="0"/>
                <w:color w:val="auto"/>
                <w:szCs w:val="21"/>
                <w:highlight w:val="none"/>
              </w:rPr>
              <w:t>规定应急状态终止程序；事故现场善后处理，恢复措施邻近区域解除事故警戒及善后恢复措施</w:t>
            </w:r>
          </w:p>
        </w:tc>
      </w:tr>
      <w:tr w14:paraId="2A74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8" w:type="dxa"/>
            <w:vAlign w:val="center"/>
          </w:tcPr>
          <w:p w14:paraId="0FA3BB49">
            <w:pPr>
              <w:jc w:val="center"/>
              <w:rPr>
                <w:strike w:val="0"/>
                <w:dstrike w:val="0"/>
                <w:color w:val="auto"/>
                <w:szCs w:val="21"/>
                <w:highlight w:val="none"/>
              </w:rPr>
            </w:pPr>
            <w:r>
              <w:rPr>
                <w:strike w:val="0"/>
                <w:dstrike w:val="0"/>
                <w:color w:val="auto"/>
                <w:szCs w:val="21"/>
                <w:highlight w:val="none"/>
              </w:rPr>
              <w:t>11</w:t>
            </w:r>
          </w:p>
        </w:tc>
        <w:tc>
          <w:tcPr>
            <w:tcW w:w="2567" w:type="dxa"/>
            <w:vAlign w:val="center"/>
          </w:tcPr>
          <w:p w14:paraId="4773112E">
            <w:pPr>
              <w:jc w:val="center"/>
              <w:rPr>
                <w:strike w:val="0"/>
                <w:dstrike w:val="0"/>
                <w:color w:val="auto"/>
                <w:szCs w:val="21"/>
                <w:highlight w:val="none"/>
              </w:rPr>
            </w:pPr>
            <w:r>
              <w:rPr>
                <w:strike w:val="0"/>
                <w:dstrike w:val="0"/>
                <w:color w:val="auto"/>
                <w:szCs w:val="21"/>
                <w:highlight w:val="none"/>
              </w:rPr>
              <w:t>人员培训与演练</w:t>
            </w:r>
          </w:p>
        </w:tc>
        <w:tc>
          <w:tcPr>
            <w:tcW w:w="4877" w:type="dxa"/>
            <w:vAlign w:val="center"/>
          </w:tcPr>
          <w:p w14:paraId="22612057">
            <w:pPr>
              <w:jc w:val="center"/>
              <w:rPr>
                <w:strike w:val="0"/>
                <w:dstrike w:val="0"/>
                <w:color w:val="auto"/>
                <w:szCs w:val="21"/>
                <w:highlight w:val="none"/>
              </w:rPr>
            </w:pPr>
            <w:r>
              <w:rPr>
                <w:strike w:val="0"/>
                <w:dstrike w:val="0"/>
                <w:color w:val="auto"/>
                <w:szCs w:val="21"/>
                <w:highlight w:val="none"/>
              </w:rPr>
              <w:t>应急计划制定后，平时安排人员培训与演练</w:t>
            </w:r>
          </w:p>
        </w:tc>
      </w:tr>
      <w:tr w14:paraId="3881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8" w:type="dxa"/>
            <w:vAlign w:val="center"/>
          </w:tcPr>
          <w:p w14:paraId="6E9A610D">
            <w:pPr>
              <w:jc w:val="center"/>
              <w:rPr>
                <w:strike w:val="0"/>
                <w:dstrike w:val="0"/>
                <w:color w:val="auto"/>
                <w:szCs w:val="21"/>
                <w:highlight w:val="none"/>
              </w:rPr>
            </w:pPr>
            <w:r>
              <w:rPr>
                <w:strike w:val="0"/>
                <w:dstrike w:val="0"/>
                <w:color w:val="auto"/>
                <w:szCs w:val="21"/>
                <w:highlight w:val="none"/>
              </w:rPr>
              <w:t>12</w:t>
            </w:r>
          </w:p>
        </w:tc>
        <w:tc>
          <w:tcPr>
            <w:tcW w:w="2567" w:type="dxa"/>
            <w:vAlign w:val="center"/>
          </w:tcPr>
          <w:p w14:paraId="757F6141">
            <w:pPr>
              <w:jc w:val="center"/>
              <w:rPr>
                <w:strike w:val="0"/>
                <w:dstrike w:val="0"/>
                <w:color w:val="auto"/>
                <w:szCs w:val="21"/>
                <w:highlight w:val="none"/>
              </w:rPr>
            </w:pPr>
            <w:r>
              <w:rPr>
                <w:strike w:val="0"/>
                <w:dstrike w:val="0"/>
                <w:color w:val="auto"/>
                <w:szCs w:val="21"/>
                <w:highlight w:val="none"/>
              </w:rPr>
              <w:t>公众教育信息</w:t>
            </w:r>
          </w:p>
        </w:tc>
        <w:tc>
          <w:tcPr>
            <w:tcW w:w="4877" w:type="dxa"/>
            <w:vAlign w:val="center"/>
          </w:tcPr>
          <w:p w14:paraId="2F609610">
            <w:pPr>
              <w:jc w:val="center"/>
              <w:rPr>
                <w:strike w:val="0"/>
                <w:dstrike w:val="0"/>
                <w:color w:val="auto"/>
                <w:szCs w:val="21"/>
                <w:highlight w:val="none"/>
              </w:rPr>
            </w:pPr>
            <w:r>
              <w:rPr>
                <w:strike w:val="0"/>
                <w:dstrike w:val="0"/>
                <w:color w:val="auto"/>
                <w:szCs w:val="21"/>
                <w:highlight w:val="none"/>
              </w:rPr>
              <w:t>对工厂邻近地区开展公众教育、培训和发布有关信息</w:t>
            </w:r>
          </w:p>
        </w:tc>
      </w:tr>
      <w:tr w14:paraId="4B29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78" w:type="dxa"/>
            <w:vAlign w:val="center"/>
          </w:tcPr>
          <w:p w14:paraId="7D5C349B">
            <w:pPr>
              <w:jc w:val="center"/>
              <w:rPr>
                <w:strike w:val="0"/>
                <w:dstrike w:val="0"/>
                <w:color w:val="auto"/>
                <w:szCs w:val="21"/>
                <w:highlight w:val="none"/>
              </w:rPr>
            </w:pPr>
            <w:r>
              <w:rPr>
                <w:strike w:val="0"/>
                <w:dstrike w:val="0"/>
                <w:color w:val="auto"/>
                <w:szCs w:val="21"/>
                <w:highlight w:val="none"/>
              </w:rPr>
              <w:t>13</w:t>
            </w:r>
          </w:p>
        </w:tc>
        <w:tc>
          <w:tcPr>
            <w:tcW w:w="2567" w:type="dxa"/>
            <w:vAlign w:val="center"/>
          </w:tcPr>
          <w:p w14:paraId="672E85F7">
            <w:pPr>
              <w:jc w:val="center"/>
              <w:rPr>
                <w:strike w:val="0"/>
                <w:dstrike w:val="0"/>
                <w:color w:val="auto"/>
                <w:szCs w:val="21"/>
                <w:highlight w:val="none"/>
              </w:rPr>
            </w:pPr>
            <w:r>
              <w:rPr>
                <w:strike w:val="0"/>
                <w:dstrike w:val="0"/>
                <w:color w:val="auto"/>
                <w:szCs w:val="21"/>
                <w:highlight w:val="none"/>
              </w:rPr>
              <w:t>记录和报告</w:t>
            </w:r>
          </w:p>
        </w:tc>
        <w:tc>
          <w:tcPr>
            <w:tcW w:w="4877" w:type="dxa"/>
            <w:vAlign w:val="center"/>
          </w:tcPr>
          <w:p w14:paraId="5D737FB2">
            <w:pPr>
              <w:jc w:val="center"/>
              <w:rPr>
                <w:strike w:val="0"/>
                <w:dstrike w:val="0"/>
                <w:color w:val="auto"/>
                <w:szCs w:val="21"/>
                <w:highlight w:val="none"/>
              </w:rPr>
            </w:pPr>
            <w:r>
              <w:rPr>
                <w:strike w:val="0"/>
                <w:dstrike w:val="0"/>
                <w:color w:val="auto"/>
                <w:szCs w:val="21"/>
                <w:highlight w:val="none"/>
              </w:rPr>
              <w:t>设置应急事故专门记录，建档案和专门报告制度，设专门部门和负责管理</w:t>
            </w:r>
          </w:p>
        </w:tc>
      </w:tr>
      <w:tr w14:paraId="526A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78" w:type="dxa"/>
            <w:vAlign w:val="center"/>
          </w:tcPr>
          <w:p w14:paraId="311EB221">
            <w:pPr>
              <w:jc w:val="center"/>
              <w:rPr>
                <w:strike w:val="0"/>
                <w:dstrike w:val="0"/>
                <w:color w:val="auto"/>
                <w:szCs w:val="21"/>
                <w:highlight w:val="none"/>
              </w:rPr>
            </w:pPr>
            <w:r>
              <w:rPr>
                <w:strike w:val="0"/>
                <w:dstrike w:val="0"/>
                <w:color w:val="auto"/>
                <w:szCs w:val="21"/>
                <w:highlight w:val="none"/>
              </w:rPr>
              <w:t>14</w:t>
            </w:r>
          </w:p>
        </w:tc>
        <w:tc>
          <w:tcPr>
            <w:tcW w:w="2567" w:type="dxa"/>
            <w:vAlign w:val="center"/>
          </w:tcPr>
          <w:p w14:paraId="3D3232ED">
            <w:pPr>
              <w:jc w:val="center"/>
              <w:rPr>
                <w:strike w:val="0"/>
                <w:dstrike w:val="0"/>
                <w:color w:val="auto"/>
                <w:szCs w:val="21"/>
                <w:highlight w:val="none"/>
              </w:rPr>
            </w:pPr>
            <w:r>
              <w:rPr>
                <w:strike w:val="0"/>
                <w:dstrike w:val="0"/>
                <w:color w:val="auto"/>
                <w:szCs w:val="21"/>
                <w:highlight w:val="none"/>
              </w:rPr>
              <w:t>附件</w:t>
            </w:r>
          </w:p>
        </w:tc>
        <w:tc>
          <w:tcPr>
            <w:tcW w:w="4877" w:type="dxa"/>
            <w:vAlign w:val="center"/>
          </w:tcPr>
          <w:p w14:paraId="69AA2BB6">
            <w:pPr>
              <w:jc w:val="center"/>
              <w:rPr>
                <w:strike w:val="0"/>
                <w:dstrike w:val="0"/>
                <w:color w:val="auto"/>
                <w:szCs w:val="21"/>
                <w:highlight w:val="none"/>
              </w:rPr>
            </w:pPr>
            <w:r>
              <w:rPr>
                <w:strike w:val="0"/>
                <w:dstrike w:val="0"/>
                <w:color w:val="auto"/>
                <w:szCs w:val="21"/>
                <w:highlight w:val="none"/>
              </w:rPr>
              <w:t>与应急事故有关的多种附件材料的准备和形成</w:t>
            </w:r>
          </w:p>
        </w:tc>
      </w:tr>
    </w:tbl>
    <w:p w14:paraId="0F00F0E7">
      <w:pPr>
        <w:pStyle w:val="3"/>
        <w:jc w:val="center"/>
        <w:rPr>
          <w:rFonts w:eastAsia="宋体"/>
          <w:strike w:val="0"/>
          <w:dstrike w:val="0"/>
          <w:color w:val="auto"/>
          <w:highlight w:val="none"/>
        </w:rPr>
      </w:pPr>
      <w:r>
        <w:rPr>
          <w:rFonts w:eastAsia="宋体"/>
          <w:b w:val="0"/>
          <w:bCs w:val="0"/>
          <w:strike w:val="0"/>
          <w:dstrike w:val="0"/>
          <w:color w:val="auto"/>
          <w:sz w:val="24"/>
          <w:szCs w:val="24"/>
          <w:highlight w:val="none"/>
        </w:rPr>
        <w:br w:type="page"/>
      </w:r>
      <w:r>
        <w:rPr>
          <w:rFonts w:hint="eastAsia" w:eastAsia="宋体"/>
          <w:strike w:val="0"/>
          <w:dstrike w:val="0"/>
          <w:color w:val="auto"/>
          <w:highlight w:val="none"/>
          <w:lang w:val="en-US" w:eastAsia="zh-CN"/>
        </w:rPr>
        <w:t>9评价</w:t>
      </w:r>
      <w:r>
        <w:rPr>
          <w:rFonts w:eastAsia="宋体"/>
          <w:strike w:val="0"/>
          <w:dstrike w:val="0"/>
          <w:color w:val="auto"/>
          <w:highlight w:val="none"/>
        </w:rPr>
        <w:t>结论</w:t>
      </w:r>
    </w:p>
    <w:p w14:paraId="24365A42">
      <w:pPr>
        <w:spacing w:line="360" w:lineRule="auto"/>
        <w:ind w:firstLine="480" w:firstLineChars="200"/>
        <w:rPr>
          <w:rFonts w:hint="eastAsia"/>
          <w:strike w:val="0"/>
          <w:dstrike w:val="0"/>
          <w:color w:val="auto"/>
          <w:sz w:val="24"/>
          <w:szCs w:val="32"/>
          <w:highlight w:val="none"/>
          <w:lang w:eastAsia="zh-CN"/>
        </w:rPr>
      </w:pPr>
      <w:r>
        <w:rPr>
          <w:strike w:val="0"/>
          <w:dstrike w:val="0"/>
          <w:color w:val="auto"/>
          <w:sz w:val="24"/>
          <w:szCs w:val="32"/>
          <w:highlight w:val="none"/>
        </w:rPr>
        <w:t>根据对本项目原辅料、产品、污染物识别结果，本项目生产过程中涉及的风险物质为汽油、柴油、天然气</w:t>
      </w:r>
      <w:r>
        <w:rPr>
          <w:rFonts w:hint="eastAsia"/>
          <w:strike w:val="0"/>
          <w:dstrike w:val="0"/>
          <w:color w:val="auto"/>
          <w:sz w:val="24"/>
          <w:szCs w:val="32"/>
          <w:highlight w:val="none"/>
          <w:lang w:eastAsia="zh-CN"/>
        </w:rPr>
        <w:t>。</w:t>
      </w:r>
    </w:p>
    <w:p w14:paraId="3B822FC3">
      <w:pPr>
        <w:spacing w:line="360" w:lineRule="auto"/>
        <w:ind w:firstLine="480" w:firstLineChars="200"/>
        <w:rPr>
          <w:rFonts w:hint="eastAsia" w:eastAsia="宋体"/>
          <w:strike w:val="0"/>
          <w:dstrike w:val="0"/>
          <w:color w:val="auto"/>
          <w:sz w:val="24"/>
          <w:szCs w:val="32"/>
          <w:highlight w:val="none"/>
          <w:lang w:val="en-US" w:eastAsia="zh-CN"/>
        </w:rPr>
      </w:pPr>
      <w:r>
        <w:rPr>
          <w:rFonts w:hint="eastAsia"/>
          <w:strike w:val="0"/>
          <w:dstrike w:val="0"/>
          <w:color w:val="auto"/>
          <w:sz w:val="24"/>
          <w:highlight w:val="none"/>
          <w:lang w:val="en-US" w:eastAsia="zh-CN"/>
        </w:rPr>
        <w:t>根据分析，</w:t>
      </w:r>
      <w:r>
        <w:rPr>
          <w:strike w:val="0"/>
          <w:dstrike w:val="0"/>
          <w:color w:val="auto"/>
          <w:sz w:val="24"/>
          <w:highlight w:val="none"/>
        </w:rPr>
        <w:t>本项目地表水风险潜势为I，评价等级为简单分析，大气风险潜势为II</w:t>
      </w:r>
      <w:r>
        <w:rPr>
          <w:rFonts w:hint="eastAsia"/>
          <w:strike w:val="0"/>
          <w:dstrike w:val="0"/>
          <w:color w:val="auto"/>
          <w:sz w:val="24"/>
          <w:highlight w:val="none"/>
        </w:rPr>
        <w:t>，</w:t>
      </w:r>
      <w:r>
        <w:rPr>
          <w:strike w:val="0"/>
          <w:dstrike w:val="0"/>
          <w:color w:val="auto"/>
          <w:sz w:val="24"/>
          <w:highlight w:val="none"/>
        </w:rPr>
        <w:t>综合评价等级为三级评价</w:t>
      </w:r>
      <w:r>
        <w:rPr>
          <w:rFonts w:hint="eastAsia"/>
          <w:strike w:val="0"/>
          <w:dstrike w:val="0"/>
          <w:color w:val="auto"/>
          <w:sz w:val="24"/>
          <w:highlight w:val="none"/>
          <w:lang w:eastAsia="zh-CN"/>
        </w:rPr>
        <w:t>。</w:t>
      </w:r>
    </w:p>
    <w:p w14:paraId="75605EA4">
      <w:pPr>
        <w:spacing w:line="360" w:lineRule="auto"/>
        <w:ind w:firstLine="480" w:firstLineChars="200"/>
        <w:rPr>
          <w:strike w:val="0"/>
          <w:dstrike w:val="0"/>
          <w:color w:val="auto"/>
          <w:sz w:val="24"/>
          <w:highlight w:val="none"/>
        </w:rPr>
      </w:pPr>
      <w:r>
        <w:rPr>
          <w:strike w:val="0"/>
          <w:dstrike w:val="0"/>
          <w:color w:val="auto"/>
          <w:sz w:val="24"/>
          <w:szCs w:val="32"/>
          <w:highlight w:val="none"/>
        </w:rPr>
        <w:t>根据本项目危险品的特性，风险</w:t>
      </w:r>
      <w:r>
        <w:rPr>
          <w:rFonts w:hint="eastAsia"/>
          <w:strike w:val="0"/>
          <w:dstrike w:val="0"/>
          <w:color w:val="auto"/>
          <w:sz w:val="24"/>
          <w:szCs w:val="32"/>
          <w:highlight w:val="none"/>
          <w:lang w:val="en-US" w:eastAsia="zh-CN"/>
        </w:rPr>
        <w:t>管理</w:t>
      </w:r>
      <w:r>
        <w:rPr>
          <w:strike w:val="0"/>
          <w:dstrike w:val="0"/>
          <w:color w:val="auto"/>
          <w:sz w:val="24"/>
          <w:szCs w:val="32"/>
          <w:highlight w:val="none"/>
        </w:rPr>
        <w:t>防范措施主要包括</w:t>
      </w:r>
      <w:r>
        <w:rPr>
          <w:rFonts w:hint="eastAsia"/>
          <w:strike w:val="0"/>
          <w:dstrike w:val="0"/>
          <w:color w:val="auto"/>
          <w:sz w:val="24"/>
          <w:szCs w:val="32"/>
          <w:highlight w:val="none"/>
          <w:lang w:eastAsia="zh-CN"/>
        </w:rPr>
        <w:t>了</w:t>
      </w:r>
      <w:r>
        <w:rPr>
          <w:strike w:val="0"/>
          <w:dstrike w:val="0"/>
          <w:color w:val="auto"/>
          <w:sz w:val="24"/>
          <w:szCs w:val="32"/>
          <w:highlight w:val="none"/>
        </w:rPr>
        <w:t>物料安全运输，卸料、存储、</w:t>
      </w:r>
      <w:r>
        <w:rPr>
          <w:strike w:val="0"/>
          <w:dstrike w:val="0"/>
          <w:color w:val="auto"/>
          <w:sz w:val="24"/>
          <w:highlight w:val="none"/>
        </w:rPr>
        <w:t>加装操作安全，厂区防火，人员安全培训等方面。</w:t>
      </w:r>
    </w:p>
    <w:p w14:paraId="1D229229">
      <w:pPr>
        <w:spacing w:line="360" w:lineRule="auto"/>
        <w:ind w:firstLine="480" w:firstLineChars="200"/>
        <w:rPr>
          <w:strike w:val="0"/>
          <w:dstrike w:val="0"/>
          <w:color w:val="auto"/>
          <w:sz w:val="24"/>
          <w:szCs w:val="32"/>
          <w:highlight w:val="none"/>
        </w:rPr>
      </w:pPr>
      <w:r>
        <w:rPr>
          <w:strike w:val="0"/>
          <w:dstrike w:val="0"/>
          <w:color w:val="auto"/>
          <w:sz w:val="24"/>
          <w:szCs w:val="32"/>
          <w:highlight w:val="none"/>
        </w:rPr>
        <w:t>本项目在危险化学品的运输</w:t>
      </w:r>
      <w:r>
        <w:rPr>
          <w:rFonts w:hint="eastAsia"/>
          <w:strike w:val="0"/>
          <w:dstrike w:val="0"/>
          <w:color w:val="auto"/>
          <w:sz w:val="24"/>
          <w:szCs w:val="32"/>
          <w:highlight w:val="none"/>
          <w:lang w:eastAsia="zh-CN"/>
        </w:rPr>
        <w:t>、</w:t>
      </w:r>
      <w:r>
        <w:rPr>
          <w:strike w:val="0"/>
          <w:dstrike w:val="0"/>
          <w:color w:val="auto"/>
          <w:sz w:val="24"/>
          <w:szCs w:val="32"/>
          <w:highlight w:val="none"/>
        </w:rPr>
        <w:t>储存和使用过程中由于设备质量、人为操作等原因，存在着发生泄漏和突发性污染事故风险的可能性。对于这种风险，本项目制定</w:t>
      </w:r>
      <w:r>
        <w:rPr>
          <w:rFonts w:hint="eastAsia"/>
          <w:strike w:val="0"/>
          <w:dstrike w:val="0"/>
          <w:color w:val="auto"/>
          <w:sz w:val="24"/>
          <w:szCs w:val="32"/>
          <w:highlight w:val="none"/>
          <w:lang w:eastAsia="zh-CN"/>
        </w:rPr>
        <w:t>了</w:t>
      </w:r>
      <w:r>
        <w:rPr>
          <w:strike w:val="0"/>
          <w:dstrike w:val="0"/>
          <w:color w:val="auto"/>
          <w:sz w:val="24"/>
          <w:szCs w:val="32"/>
          <w:highlight w:val="none"/>
        </w:rPr>
        <w:t>相应的防范措施及应急预案，</w:t>
      </w:r>
      <w:r>
        <w:rPr>
          <w:rFonts w:hint="eastAsia"/>
          <w:strike w:val="0"/>
          <w:dstrike w:val="0"/>
          <w:color w:val="auto"/>
          <w:sz w:val="24"/>
          <w:szCs w:val="32"/>
          <w:highlight w:val="none"/>
          <w:lang w:val="en-US" w:eastAsia="zh-CN"/>
        </w:rPr>
        <w:t>站区根据实际管理人员情况</w:t>
      </w:r>
      <w:r>
        <w:rPr>
          <w:strike w:val="0"/>
          <w:dstrike w:val="0"/>
          <w:color w:val="auto"/>
          <w:sz w:val="24"/>
          <w:szCs w:val="32"/>
          <w:highlight w:val="none"/>
        </w:rPr>
        <w:t>明确</w:t>
      </w:r>
      <w:r>
        <w:rPr>
          <w:rFonts w:hint="eastAsia"/>
          <w:strike w:val="0"/>
          <w:dstrike w:val="0"/>
          <w:color w:val="auto"/>
          <w:sz w:val="24"/>
          <w:szCs w:val="32"/>
          <w:highlight w:val="none"/>
          <w:lang w:val="en-US" w:eastAsia="zh-CN"/>
        </w:rPr>
        <w:t>相关</w:t>
      </w:r>
      <w:r>
        <w:rPr>
          <w:strike w:val="0"/>
          <w:dstrike w:val="0"/>
          <w:color w:val="auto"/>
          <w:sz w:val="24"/>
          <w:szCs w:val="32"/>
          <w:highlight w:val="none"/>
        </w:rPr>
        <w:t>责任人员，</w:t>
      </w:r>
      <w:r>
        <w:rPr>
          <w:rFonts w:hint="eastAsia"/>
          <w:strike w:val="0"/>
          <w:dstrike w:val="0"/>
          <w:color w:val="auto"/>
          <w:sz w:val="24"/>
          <w:szCs w:val="32"/>
          <w:highlight w:val="none"/>
          <w:lang w:val="en-US" w:eastAsia="zh-CN"/>
        </w:rPr>
        <w:t>并</w:t>
      </w:r>
      <w:r>
        <w:rPr>
          <w:strike w:val="0"/>
          <w:dstrike w:val="0"/>
          <w:color w:val="auto"/>
          <w:sz w:val="24"/>
          <w:szCs w:val="32"/>
          <w:highlight w:val="none"/>
        </w:rPr>
        <w:t>配备一定的防治设备和应急响应能力。</w:t>
      </w:r>
    </w:p>
    <w:p w14:paraId="303CD325">
      <w:pPr>
        <w:spacing w:line="360" w:lineRule="auto"/>
        <w:ind w:firstLine="480" w:firstLineChars="200"/>
        <w:rPr>
          <w:strike w:val="0"/>
          <w:dstrike w:val="0"/>
          <w:color w:val="auto"/>
          <w:highlight w:val="none"/>
        </w:rPr>
      </w:pPr>
      <w:r>
        <w:rPr>
          <w:rFonts w:hint="eastAsia"/>
          <w:strike w:val="0"/>
          <w:dstrike w:val="0"/>
          <w:color w:val="auto"/>
          <w:sz w:val="24"/>
          <w:szCs w:val="32"/>
          <w:highlight w:val="none"/>
          <w:lang w:val="en-US" w:eastAsia="zh-CN"/>
        </w:rPr>
        <w:t>综上所述，</w:t>
      </w:r>
      <w:r>
        <w:rPr>
          <w:strike w:val="0"/>
          <w:dstrike w:val="0"/>
          <w:color w:val="auto"/>
          <w:sz w:val="24"/>
          <w:szCs w:val="32"/>
          <w:highlight w:val="none"/>
        </w:rPr>
        <w:t>由于本项目</w:t>
      </w:r>
      <w:bookmarkStart w:id="268" w:name="_GoBack"/>
      <w:bookmarkEnd w:id="268"/>
      <w:r>
        <w:rPr>
          <w:strike w:val="0"/>
          <w:dstrike w:val="0"/>
          <w:color w:val="auto"/>
          <w:sz w:val="24"/>
          <w:szCs w:val="32"/>
          <w:highlight w:val="none"/>
        </w:rPr>
        <w:t>的环境风险主要是人为事件，完全可以通过政府各有关职能部门加强监督指导，企业内部制定严格的管理条例和岗位责任制，加强职工的安全生产教育，提高风险</w:t>
      </w:r>
      <w:r>
        <w:rPr>
          <w:rFonts w:hint="eastAsia"/>
          <w:strike w:val="0"/>
          <w:dstrike w:val="0"/>
          <w:color w:val="auto"/>
          <w:sz w:val="24"/>
          <w:szCs w:val="32"/>
          <w:highlight w:val="none"/>
          <w:lang w:val="en-US" w:eastAsia="zh-CN"/>
        </w:rPr>
        <w:t>防范</w:t>
      </w:r>
      <w:r>
        <w:rPr>
          <w:strike w:val="0"/>
          <w:dstrike w:val="0"/>
          <w:color w:val="auto"/>
          <w:sz w:val="24"/>
          <w:szCs w:val="32"/>
          <w:highlight w:val="none"/>
        </w:rPr>
        <w:t>意识。在项目采取</w:t>
      </w:r>
      <w:r>
        <w:rPr>
          <w:rFonts w:hint="eastAsia"/>
          <w:strike w:val="0"/>
          <w:dstrike w:val="0"/>
          <w:color w:val="auto"/>
          <w:sz w:val="24"/>
          <w:szCs w:val="32"/>
          <w:highlight w:val="none"/>
          <w:lang w:val="en-US" w:eastAsia="zh-CN"/>
        </w:rPr>
        <w:t>本评价报告中</w:t>
      </w:r>
      <w:r>
        <w:rPr>
          <w:strike w:val="0"/>
          <w:dstrike w:val="0"/>
          <w:color w:val="auto"/>
          <w:sz w:val="24"/>
          <w:szCs w:val="32"/>
          <w:highlight w:val="none"/>
        </w:rPr>
        <w:t>相应的防范措施后，可以减少项目的环境风险，降低环境风险事故的危害程度，且在加强管理及提高职工操作水平的前提下，本项目的环境风险是可防可控的。</w:t>
      </w:r>
    </w:p>
    <w:p w14:paraId="5CDD2FA8">
      <w:pPr>
        <w:pageBreakBefore w:val="0"/>
        <w:widowControl w:val="0"/>
        <w:kinsoku/>
        <w:wordWrap/>
        <w:overflowPunct/>
        <w:topLinePunct w:val="0"/>
        <w:autoSpaceDE/>
        <w:autoSpaceDN/>
        <w:bidi w:val="0"/>
        <w:adjustRightInd/>
        <w:snapToGrid/>
        <w:textAlignment w:val="auto"/>
        <w:outlineLvl w:val="9"/>
        <w:rPr>
          <w:strike w:val="0"/>
          <w:dstrike w:val="0"/>
          <w:color w:val="auto"/>
          <w:highlight w:val="none"/>
        </w:rPr>
      </w:pPr>
    </w:p>
    <w:p w14:paraId="55F505F7">
      <w:pPr>
        <w:pageBreakBefore w:val="0"/>
        <w:widowControl w:val="0"/>
        <w:kinsoku/>
        <w:wordWrap/>
        <w:overflowPunct/>
        <w:topLinePunct w:val="0"/>
        <w:autoSpaceDE/>
        <w:autoSpaceDN/>
        <w:bidi w:val="0"/>
        <w:adjustRightInd/>
        <w:snapToGrid/>
        <w:textAlignment w:val="auto"/>
        <w:outlineLvl w:val="9"/>
        <w:rPr>
          <w:strike w:val="0"/>
          <w:dstrike w:val="0"/>
          <w:color w:val="auto"/>
          <w:highlight w:val="none"/>
        </w:rPr>
      </w:pPr>
    </w:p>
    <w:p w14:paraId="485FD555">
      <w:pPr>
        <w:pageBreakBefore w:val="0"/>
        <w:widowControl w:val="0"/>
        <w:kinsoku/>
        <w:wordWrap/>
        <w:overflowPunct/>
        <w:topLinePunct w:val="0"/>
        <w:autoSpaceDE/>
        <w:autoSpaceDN/>
        <w:bidi w:val="0"/>
        <w:adjustRightInd/>
        <w:snapToGrid/>
        <w:textAlignment w:val="auto"/>
        <w:outlineLvl w:val="9"/>
        <w:rPr>
          <w:strike w:val="0"/>
          <w:dstrike w:val="0"/>
          <w:color w:val="auto"/>
          <w:highlight w:val="none"/>
        </w:rPr>
      </w:pPr>
    </w:p>
    <w:p w14:paraId="1DDA83A9">
      <w:pPr>
        <w:pageBreakBefore w:val="0"/>
        <w:widowControl w:val="0"/>
        <w:kinsoku/>
        <w:wordWrap/>
        <w:overflowPunct/>
        <w:topLinePunct w:val="0"/>
        <w:autoSpaceDE/>
        <w:autoSpaceDN/>
        <w:bidi w:val="0"/>
        <w:adjustRightInd/>
        <w:snapToGrid/>
        <w:textAlignment w:val="auto"/>
        <w:outlineLvl w:val="9"/>
        <w:rPr>
          <w:strike w:val="0"/>
          <w:dstrike w:val="0"/>
          <w:color w:val="auto"/>
          <w:highlight w:val="none"/>
        </w:rPr>
      </w:pPr>
    </w:p>
    <w:p w14:paraId="0918E96A">
      <w:pPr>
        <w:pageBreakBefore w:val="0"/>
        <w:widowControl w:val="0"/>
        <w:kinsoku/>
        <w:wordWrap/>
        <w:overflowPunct/>
        <w:topLinePunct w:val="0"/>
        <w:autoSpaceDE/>
        <w:autoSpaceDN/>
        <w:bidi w:val="0"/>
        <w:adjustRightInd/>
        <w:snapToGrid/>
        <w:textAlignment w:val="auto"/>
        <w:outlineLvl w:val="9"/>
        <w:rPr>
          <w:strike w:val="0"/>
          <w:dstrike w:val="0"/>
          <w:color w:val="auto"/>
          <w:highlight w:val="none"/>
        </w:rPr>
      </w:pPr>
    </w:p>
    <w:p w14:paraId="06A62843">
      <w:pPr>
        <w:pageBreakBefore w:val="0"/>
        <w:widowControl w:val="0"/>
        <w:kinsoku/>
        <w:wordWrap/>
        <w:overflowPunct/>
        <w:topLinePunct w:val="0"/>
        <w:autoSpaceDE/>
        <w:autoSpaceDN/>
        <w:bidi w:val="0"/>
        <w:adjustRightInd/>
        <w:snapToGrid/>
        <w:textAlignment w:val="auto"/>
        <w:outlineLvl w:val="9"/>
        <w:rPr>
          <w:strike w:val="0"/>
          <w:dstrike w:val="0"/>
          <w:color w:val="auto"/>
          <w:highlight w:val="none"/>
        </w:rPr>
      </w:pPr>
    </w:p>
    <w:p w14:paraId="348098CD">
      <w:pPr>
        <w:pageBreakBefore w:val="0"/>
        <w:widowControl w:val="0"/>
        <w:kinsoku/>
        <w:wordWrap/>
        <w:overflowPunct/>
        <w:topLinePunct w:val="0"/>
        <w:autoSpaceDE/>
        <w:autoSpaceDN/>
        <w:bidi w:val="0"/>
        <w:adjustRightInd/>
        <w:snapToGrid/>
        <w:textAlignment w:val="auto"/>
        <w:outlineLvl w:val="9"/>
        <w:rPr>
          <w:strike w:val="0"/>
          <w:dstrike w:val="0"/>
          <w:color w:val="auto"/>
          <w:highlight w:val="none"/>
        </w:rPr>
      </w:pPr>
    </w:p>
    <w:p w14:paraId="1829C9CB">
      <w:pPr>
        <w:rPr>
          <w:strike w:val="0"/>
          <w:dstrike w:val="0"/>
          <w:color w:val="auto"/>
          <w:highlight w:val="none"/>
        </w:rPr>
      </w:pPr>
      <w:r>
        <w:rPr>
          <w:strike w:val="0"/>
          <w:dstrike w:val="0"/>
          <w:color w:val="auto"/>
          <w:highlight w:val="none"/>
        </w:rPr>
        <w:br w:type="page"/>
      </w:r>
    </w:p>
    <w:p w14:paraId="26BC1CFC">
      <w:pPr>
        <w:pStyle w:val="4"/>
        <w:rPr>
          <w:rFonts w:hint="eastAsia" w:eastAsia="微软雅黑 Regular"/>
          <w:strike w:val="0"/>
          <w:dstrike w:val="0"/>
          <w:color w:val="auto"/>
          <w:highlight w:val="none"/>
          <w:lang w:val="en-US" w:eastAsia="zh-CN"/>
        </w:rPr>
      </w:pPr>
      <w:r>
        <w:rPr>
          <w:rFonts w:hint="eastAsia"/>
          <w:strike w:val="0"/>
          <w:dstrike w:val="0"/>
          <w:color w:val="auto"/>
          <w:highlight w:val="none"/>
          <w:lang w:val="en-US" w:eastAsia="zh-CN"/>
        </w:rPr>
        <w:t>附表</w:t>
      </w:r>
    </w:p>
    <w:p w14:paraId="2907CC9B">
      <w:pPr>
        <w:spacing w:line="360" w:lineRule="auto"/>
        <w:jc w:val="center"/>
        <w:rPr>
          <w:b/>
          <w:bCs/>
          <w:strike w:val="0"/>
          <w:dstrike w:val="0"/>
          <w:color w:val="auto"/>
          <w:sz w:val="24"/>
          <w:szCs w:val="32"/>
          <w:highlight w:val="none"/>
        </w:rPr>
      </w:pPr>
      <w:r>
        <w:rPr>
          <w:rFonts w:hint="eastAsia"/>
          <w:b/>
          <w:bCs/>
          <w:strike w:val="0"/>
          <w:dstrike w:val="0"/>
          <w:color w:val="auto"/>
          <w:sz w:val="24"/>
          <w:szCs w:val="32"/>
          <w:highlight w:val="none"/>
          <w:lang w:val="en-US" w:eastAsia="zh-CN"/>
        </w:rPr>
        <w:t>附</w:t>
      </w:r>
      <w:r>
        <w:rPr>
          <w:b/>
          <w:bCs/>
          <w:strike w:val="0"/>
          <w:dstrike w:val="0"/>
          <w:color w:val="auto"/>
          <w:sz w:val="24"/>
          <w:szCs w:val="32"/>
          <w:highlight w:val="none"/>
        </w:rPr>
        <w:t>表1</w:t>
      </w:r>
      <w:r>
        <w:rPr>
          <w:rFonts w:hint="eastAsia"/>
          <w:b/>
          <w:bCs/>
          <w:strike w:val="0"/>
          <w:dstrike w:val="0"/>
          <w:color w:val="auto"/>
          <w:sz w:val="24"/>
          <w:szCs w:val="32"/>
          <w:highlight w:val="none"/>
          <w:lang w:val="en-US" w:eastAsia="zh-CN"/>
        </w:rPr>
        <w:t xml:space="preserve">  </w:t>
      </w:r>
      <w:r>
        <w:rPr>
          <w:b/>
          <w:bCs/>
          <w:strike w:val="0"/>
          <w:dstrike w:val="0"/>
          <w:color w:val="auto"/>
          <w:sz w:val="24"/>
          <w:szCs w:val="32"/>
          <w:highlight w:val="none"/>
        </w:rPr>
        <w:t>建设项目环境风险评价自查表</w:t>
      </w:r>
    </w:p>
    <w:tbl>
      <w:tblPr>
        <w:tblStyle w:val="22"/>
        <w:tblW w:w="9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211"/>
        <w:gridCol w:w="1108"/>
        <w:gridCol w:w="370"/>
        <w:gridCol w:w="195"/>
        <w:gridCol w:w="175"/>
        <w:gridCol w:w="831"/>
        <w:gridCol w:w="277"/>
        <w:gridCol w:w="246"/>
        <w:gridCol w:w="29"/>
        <w:gridCol w:w="465"/>
        <w:gridCol w:w="554"/>
        <w:gridCol w:w="184"/>
        <w:gridCol w:w="184"/>
        <w:gridCol w:w="307"/>
        <w:gridCol w:w="371"/>
        <w:gridCol w:w="248"/>
        <w:gridCol w:w="277"/>
        <w:gridCol w:w="91"/>
        <w:gridCol w:w="93"/>
        <w:gridCol w:w="1387"/>
      </w:tblGrid>
      <w:tr w14:paraId="7329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839" w:type="dxa"/>
            <w:gridSpan w:val="3"/>
            <w:vAlign w:val="center"/>
          </w:tcPr>
          <w:p w14:paraId="5AA83684">
            <w:pPr>
              <w:jc w:val="center"/>
              <w:rPr>
                <w:strike w:val="0"/>
                <w:dstrike w:val="0"/>
                <w:color w:val="auto"/>
                <w:szCs w:val="21"/>
                <w:highlight w:val="none"/>
              </w:rPr>
            </w:pPr>
            <w:r>
              <w:rPr>
                <w:strike w:val="0"/>
                <w:dstrike w:val="0"/>
                <w:color w:val="auto"/>
                <w:szCs w:val="21"/>
                <w:highlight w:val="none"/>
              </w:rPr>
              <w:t>工作内容</w:t>
            </w:r>
          </w:p>
        </w:tc>
        <w:tc>
          <w:tcPr>
            <w:tcW w:w="6284" w:type="dxa"/>
            <w:gridSpan w:val="18"/>
            <w:vAlign w:val="center"/>
          </w:tcPr>
          <w:p w14:paraId="4129F2BB">
            <w:pPr>
              <w:jc w:val="center"/>
              <w:rPr>
                <w:strike w:val="0"/>
                <w:dstrike w:val="0"/>
                <w:color w:val="auto"/>
                <w:szCs w:val="21"/>
                <w:highlight w:val="none"/>
              </w:rPr>
            </w:pPr>
            <w:r>
              <w:rPr>
                <w:strike w:val="0"/>
                <w:dstrike w:val="0"/>
                <w:color w:val="auto"/>
                <w:szCs w:val="21"/>
                <w:highlight w:val="none"/>
              </w:rPr>
              <w:t>完成情况</w:t>
            </w:r>
          </w:p>
        </w:tc>
      </w:tr>
      <w:tr w14:paraId="4DE2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20" w:type="dxa"/>
            <w:vMerge w:val="restart"/>
            <w:vAlign w:val="center"/>
          </w:tcPr>
          <w:p w14:paraId="780A92BA">
            <w:pPr>
              <w:jc w:val="center"/>
              <w:rPr>
                <w:strike w:val="0"/>
                <w:dstrike w:val="0"/>
                <w:color w:val="auto"/>
                <w:szCs w:val="21"/>
                <w:highlight w:val="none"/>
              </w:rPr>
            </w:pPr>
            <w:r>
              <w:rPr>
                <w:strike w:val="0"/>
                <w:dstrike w:val="0"/>
                <w:color w:val="auto"/>
                <w:szCs w:val="21"/>
                <w:highlight w:val="none"/>
              </w:rPr>
              <w:t>风险调查</w:t>
            </w:r>
          </w:p>
        </w:tc>
        <w:tc>
          <w:tcPr>
            <w:tcW w:w="1211" w:type="dxa"/>
            <w:vMerge w:val="restart"/>
            <w:vAlign w:val="center"/>
          </w:tcPr>
          <w:p w14:paraId="5CE8F9F2">
            <w:pPr>
              <w:jc w:val="center"/>
              <w:rPr>
                <w:strike w:val="0"/>
                <w:dstrike w:val="0"/>
                <w:color w:val="auto"/>
                <w:szCs w:val="21"/>
                <w:highlight w:val="none"/>
              </w:rPr>
            </w:pPr>
            <w:r>
              <w:rPr>
                <w:strike w:val="0"/>
                <w:dstrike w:val="0"/>
                <w:color w:val="auto"/>
                <w:szCs w:val="21"/>
                <w:highlight w:val="none"/>
              </w:rPr>
              <w:t>危险物质</w:t>
            </w:r>
          </w:p>
        </w:tc>
        <w:tc>
          <w:tcPr>
            <w:tcW w:w="1108" w:type="dxa"/>
            <w:vAlign w:val="center"/>
          </w:tcPr>
          <w:p w14:paraId="13A56BB4">
            <w:pPr>
              <w:jc w:val="center"/>
              <w:rPr>
                <w:strike w:val="0"/>
                <w:dstrike w:val="0"/>
                <w:color w:val="auto"/>
                <w:szCs w:val="21"/>
                <w:highlight w:val="none"/>
              </w:rPr>
            </w:pPr>
            <w:r>
              <w:rPr>
                <w:strike w:val="0"/>
                <w:dstrike w:val="0"/>
                <w:color w:val="auto"/>
                <w:szCs w:val="21"/>
                <w:highlight w:val="none"/>
              </w:rPr>
              <w:t>名称</w:t>
            </w:r>
          </w:p>
        </w:tc>
        <w:tc>
          <w:tcPr>
            <w:tcW w:w="1571" w:type="dxa"/>
            <w:gridSpan w:val="4"/>
            <w:vAlign w:val="center"/>
          </w:tcPr>
          <w:p w14:paraId="2619061B">
            <w:pPr>
              <w:jc w:val="center"/>
              <w:rPr>
                <w:strike w:val="0"/>
                <w:dstrike w:val="0"/>
                <w:color w:val="auto"/>
                <w:szCs w:val="21"/>
                <w:highlight w:val="none"/>
              </w:rPr>
            </w:pPr>
            <w:r>
              <w:rPr>
                <w:rFonts w:hint="eastAsia"/>
                <w:strike w:val="0"/>
                <w:dstrike w:val="0"/>
                <w:color w:val="auto"/>
                <w:szCs w:val="21"/>
                <w:highlight w:val="none"/>
              </w:rPr>
              <w:t>92#汽油</w:t>
            </w:r>
          </w:p>
        </w:tc>
        <w:tc>
          <w:tcPr>
            <w:tcW w:w="1571" w:type="dxa"/>
            <w:gridSpan w:val="5"/>
            <w:vAlign w:val="center"/>
          </w:tcPr>
          <w:p w14:paraId="7FA71ED8">
            <w:pPr>
              <w:jc w:val="center"/>
              <w:rPr>
                <w:strike w:val="0"/>
                <w:dstrike w:val="0"/>
                <w:color w:val="auto"/>
                <w:szCs w:val="21"/>
                <w:highlight w:val="none"/>
              </w:rPr>
            </w:pPr>
            <w:r>
              <w:rPr>
                <w:strike w:val="0"/>
                <w:dstrike w:val="0"/>
                <w:color w:val="auto"/>
                <w:szCs w:val="21"/>
                <w:highlight w:val="none"/>
              </w:rPr>
              <w:t>95#汽油</w:t>
            </w:r>
          </w:p>
        </w:tc>
        <w:tc>
          <w:tcPr>
            <w:tcW w:w="1571" w:type="dxa"/>
            <w:gridSpan w:val="6"/>
            <w:shd w:val="clear" w:color="auto" w:fill="auto"/>
            <w:vAlign w:val="center"/>
          </w:tcPr>
          <w:p w14:paraId="3A814A2E">
            <w:pPr>
              <w:jc w:val="center"/>
              <w:rPr>
                <w:strike w:val="0"/>
                <w:dstrike w:val="0"/>
                <w:color w:val="auto"/>
                <w:szCs w:val="21"/>
                <w:highlight w:val="none"/>
              </w:rPr>
            </w:pPr>
            <w:r>
              <w:rPr>
                <w:rFonts w:hint="eastAsia"/>
                <w:strike w:val="0"/>
                <w:dstrike w:val="0"/>
                <w:color w:val="auto"/>
                <w:szCs w:val="21"/>
                <w:highlight w:val="none"/>
                <w:lang w:val="en-US" w:eastAsia="zh-CN"/>
              </w:rPr>
              <w:t>0#</w:t>
            </w:r>
            <w:r>
              <w:rPr>
                <w:rFonts w:hint="eastAsia"/>
                <w:strike w:val="0"/>
                <w:dstrike w:val="0"/>
                <w:color w:val="auto"/>
                <w:szCs w:val="21"/>
                <w:highlight w:val="none"/>
              </w:rPr>
              <w:t>柴油</w:t>
            </w:r>
          </w:p>
        </w:tc>
        <w:tc>
          <w:tcPr>
            <w:tcW w:w="1571" w:type="dxa"/>
            <w:gridSpan w:val="3"/>
            <w:shd w:val="clear" w:color="auto" w:fill="auto"/>
            <w:vAlign w:val="center"/>
          </w:tcPr>
          <w:p w14:paraId="47F7DBF9">
            <w:pPr>
              <w:jc w:val="center"/>
              <w:rPr>
                <w:strike w:val="0"/>
                <w:dstrike w:val="0"/>
                <w:color w:val="auto"/>
                <w:szCs w:val="21"/>
                <w:highlight w:val="none"/>
              </w:rPr>
            </w:pPr>
            <w:r>
              <w:rPr>
                <w:strike w:val="0"/>
                <w:dstrike w:val="0"/>
                <w:color w:val="auto"/>
                <w:szCs w:val="21"/>
                <w:highlight w:val="none"/>
              </w:rPr>
              <w:t>天然气</w:t>
            </w:r>
          </w:p>
        </w:tc>
      </w:tr>
      <w:tr w14:paraId="0AE8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20" w:type="dxa"/>
            <w:vMerge w:val="continue"/>
            <w:vAlign w:val="center"/>
          </w:tcPr>
          <w:p w14:paraId="4469B7BF">
            <w:pPr>
              <w:jc w:val="center"/>
              <w:rPr>
                <w:strike w:val="0"/>
                <w:dstrike w:val="0"/>
                <w:color w:val="auto"/>
                <w:szCs w:val="21"/>
                <w:highlight w:val="none"/>
              </w:rPr>
            </w:pPr>
          </w:p>
        </w:tc>
        <w:tc>
          <w:tcPr>
            <w:tcW w:w="1211" w:type="dxa"/>
            <w:vMerge w:val="continue"/>
            <w:vAlign w:val="center"/>
          </w:tcPr>
          <w:p w14:paraId="7CC18E27">
            <w:pPr>
              <w:jc w:val="center"/>
              <w:rPr>
                <w:strike w:val="0"/>
                <w:dstrike w:val="0"/>
                <w:color w:val="auto"/>
                <w:szCs w:val="21"/>
                <w:highlight w:val="none"/>
              </w:rPr>
            </w:pPr>
          </w:p>
        </w:tc>
        <w:tc>
          <w:tcPr>
            <w:tcW w:w="1108" w:type="dxa"/>
            <w:vAlign w:val="center"/>
          </w:tcPr>
          <w:p w14:paraId="332CA675">
            <w:pPr>
              <w:jc w:val="center"/>
              <w:rPr>
                <w:strike w:val="0"/>
                <w:dstrike w:val="0"/>
                <w:color w:val="auto"/>
                <w:szCs w:val="21"/>
                <w:highlight w:val="none"/>
              </w:rPr>
            </w:pPr>
            <w:r>
              <w:rPr>
                <w:strike w:val="0"/>
                <w:dstrike w:val="0"/>
                <w:color w:val="auto"/>
                <w:szCs w:val="21"/>
                <w:highlight w:val="none"/>
              </w:rPr>
              <w:t>存在总量</w:t>
            </w:r>
          </w:p>
        </w:tc>
        <w:tc>
          <w:tcPr>
            <w:tcW w:w="1571" w:type="dxa"/>
            <w:gridSpan w:val="4"/>
            <w:vAlign w:val="center"/>
          </w:tcPr>
          <w:p w14:paraId="585E31AA">
            <w:pPr>
              <w:jc w:val="center"/>
              <w:rPr>
                <w:strike w:val="0"/>
                <w:dstrike w:val="0"/>
                <w:color w:val="auto"/>
                <w:szCs w:val="21"/>
                <w:highlight w:val="none"/>
              </w:rPr>
            </w:pPr>
            <w:r>
              <w:rPr>
                <w:rFonts w:hint="eastAsia"/>
                <w:strike w:val="0"/>
                <w:dstrike w:val="0"/>
                <w:color w:val="auto"/>
                <w:szCs w:val="21"/>
                <w:highlight w:val="none"/>
              </w:rPr>
              <w:t>19.44</w:t>
            </w:r>
            <w:r>
              <w:rPr>
                <w:strike w:val="0"/>
                <w:dstrike w:val="0"/>
                <w:color w:val="auto"/>
                <w:szCs w:val="21"/>
                <w:highlight w:val="none"/>
              </w:rPr>
              <w:t>t</w:t>
            </w:r>
          </w:p>
        </w:tc>
        <w:tc>
          <w:tcPr>
            <w:tcW w:w="1571" w:type="dxa"/>
            <w:gridSpan w:val="5"/>
            <w:vAlign w:val="center"/>
          </w:tcPr>
          <w:p w14:paraId="5165F3C4">
            <w:pPr>
              <w:jc w:val="center"/>
              <w:rPr>
                <w:strike w:val="0"/>
                <w:dstrike w:val="0"/>
                <w:color w:val="auto"/>
                <w:szCs w:val="21"/>
                <w:highlight w:val="none"/>
              </w:rPr>
            </w:pPr>
            <w:r>
              <w:rPr>
                <w:strike w:val="0"/>
                <w:dstrike w:val="0"/>
                <w:color w:val="auto"/>
                <w:szCs w:val="21"/>
                <w:highlight w:val="none"/>
              </w:rPr>
              <w:t>19.58t</w:t>
            </w:r>
          </w:p>
        </w:tc>
        <w:tc>
          <w:tcPr>
            <w:tcW w:w="1571" w:type="dxa"/>
            <w:gridSpan w:val="6"/>
            <w:shd w:val="clear" w:color="auto" w:fill="auto"/>
            <w:vAlign w:val="center"/>
          </w:tcPr>
          <w:p w14:paraId="727C3682">
            <w:pPr>
              <w:jc w:val="center"/>
              <w:rPr>
                <w:strike w:val="0"/>
                <w:dstrike w:val="0"/>
                <w:color w:val="auto"/>
                <w:szCs w:val="21"/>
                <w:highlight w:val="none"/>
              </w:rPr>
            </w:pPr>
            <w:r>
              <w:rPr>
                <w:strike w:val="0"/>
                <w:dstrike w:val="0"/>
                <w:color w:val="auto"/>
                <w:szCs w:val="21"/>
                <w:highlight w:val="none"/>
              </w:rPr>
              <w:t>45.09t</w:t>
            </w:r>
          </w:p>
        </w:tc>
        <w:tc>
          <w:tcPr>
            <w:tcW w:w="1571" w:type="dxa"/>
            <w:gridSpan w:val="3"/>
            <w:vAlign w:val="center"/>
          </w:tcPr>
          <w:p w14:paraId="45902EAF">
            <w:pPr>
              <w:jc w:val="center"/>
              <w:rPr>
                <w:strike w:val="0"/>
                <w:dstrike w:val="0"/>
                <w:color w:val="auto"/>
                <w:szCs w:val="21"/>
                <w:highlight w:val="none"/>
              </w:rPr>
            </w:pPr>
            <w:r>
              <w:rPr>
                <w:rFonts w:hint="eastAsia"/>
                <w:strike w:val="0"/>
                <w:dstrike w:val="0"/>
                <w:color w:val="auto"/>
                <w:szCs w:val="21"/>
                <w:highlight w:val="none"/>
              </w:rPr>
              <w:t>24.30t</w:t>
            </w:r>
          </w:p>
        </w:tc>
      </w:tr>
      <w:tr w14:paraId="1118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1CFC108A">
            <w:pPr>
              <w:jc w:val="center"/>
              <w:rPr>
                <w:strike w:val="0"/>
                <w:dstrike w:val="0"/>
                <w:color w:val="auto"/>
                <w:szCs w:val="21"/>
                <w:highlight w:val="none"/>
              </w:rPr>
            </w:pPr>
          </w:p>
        </w:tc>
        <w:tc>
          <w:tcPr>
            <w:tcW w:w="1211" w:type="dxa"/>
            <w:vMerge w:val="restart"/>
            <w:vAlign w:val="center"/>
          </w:tcPr>
          <w:p w14:paraId="3739BA16">
            <w:pPr>
              <w:jc w:val="center"/>
              <w:rPr>
                <w:strike w:val="0"/>
                <w:dstrike w:val="0"/>
                <w:color w:val="auto"/>
                <w:szCs w:val="21"/>
                <w:highlight w:val="none"/>
              </w:rPr>
            </w:pPr>
            <w:r>
              <w:rPr>
                <w:strike w:val="0"/>
                <w:dstrike w:val="0"/>
                <w:color w:val="auto"/>
                <w:szCs w:val="21"/>
                <w:highlight w:val="none"/>
              </w:rPr>
              <w:t>环境敏感性</w:t>
            </w:r>
          </w:p>
        </w:tc>
        <w:tc>
          <w:tcPr>
            <w:tcW w:w="1108" w:type="dxa"/>
            <w:vMerge w:val="restart"/>
            <w:vAlign w:val="center"/>
          </w:tcPr>
          <w:p w14:paraId="26C03037">
            <w:pPr>
              <w:jc w:val="center"/>
              <w:rPr>
                <w:strike w:val="0"/>
                <w:dstrike w:val="0"/>
                <w:color w:val="auto"/>
                <w:szCs w:val="21"/>
                <w:highlight w:val="none"/>
              </w:rPr>
            </w:pPr>
            <w:r>
              <w:rPr>
                <w:strike w:val="0"/>
                <w:dstrike w:val="0"/>
                <w:color w:val="auto"/>
                <w:szCs w:val="21"/>
                <w:highlight w:val="none"/>
              </w:rPr>
              <w:t>大气</w:t>
            </w:r>
          </w:p>
        </w:tc>
        <w:tc>
          <w:tcPr>
            <w:tcW w:w="3142" w:type="dxa"/>
            <w:gridSpan w:val="9"/>
            <w:vAlign w:val="center"/>
          </w:tcPr>
          <w:p w14:paraId="0D300F60">
            <w:pPr>
              <w:jc w:val="center"/>
              <w:rPr>
                <w:strike w:val="0"/>
                <w:dstrike w:val="0"/>
                <w:color w:val="auto"/>
                <w:szCs w:val="21"/>
                <w:highlight w:val="none"/>
              </w:rPr>
            </w:pPr>
            <w:r>
              <w:rPr>
                <w:strike w:val="0"/>
                <w:dstrike w:val="0"/>
                <w:color w:val="auto"/>
                <w:szCs w:val="21"/>
                <w:highlight w:val="none"/>
              </w:rPr>
              <w:t>500m范围内人口数</w:t>
            </w:r>
            <w:r>
              <w:rPr>
                <w:rFonts w:hint="eastAsia"/>
                <w:strike w:val="0"/>
                <w:dstrike w:val="0"/>
                <w:color w:val="auto"/>
                <w:szCs w:val="21"/>
                <w:highlight w:val="none"/>
              </w:rPr>
              <w:t>436</w:t>
            </w:r>
            <w:r>
              <w:rPr>
                <w:strike w:val="0"/>
                <w:dstrike w:val="0"/>
                <w:color w:val="auto"/>
                <w:szCs w:val="21"/>
                <w:highlight w:val="none"/>
              </w:rPr>
              <w:t>人</w:t>
            </w:r>
          </w:p>
        </w:tc>
        <w:tc>
          <w:tcPr>
            <w:tcW w:w="3142" w:type="dxa"/>
            <w:gridSpan w:val="9"/>
            <w:vAlign w:val="center"/>
          </w:tcPr>
          <w:p w14:paraId="2821B39A">
            <w:pPr>
              <w:jc w:val="center"/>
              <w:rPr>
                <w:strike w:val="0"/>
                <w:dstrike w:val="0"/>
                <w:color w:val="auto"/>
                <w:szCs w:val="21"/>
                <w:highlight w:val="none"/>
              </w:rPr>
            </w:pPr>
            <w:r>
              <w:rPr>
                <w:rFonts w:hint="eastAsia"/>
                <w:strike w:val="0"/>
                <w:dstrike w:val="0"/>
                <w:color w:val="auto"/>
                <w:szCs w:val="21"/>
                <w:highlight w:val="none"/>
                <w:lang w:val="en-US" w:eastAsia="zh-CN"/>
              </w:rPr>
              <w:t>3</w:t>
            </w:r>
            <w:r>
              <w:rPr>
                <w:strike w:val="0"/>
                <w:dstrike w:val="0"/>
                <w:color w:val="auto"/>
                <w:szCs w:val="21"/>
                <w:highlight w:val="none"/>
              </w:rPr>
              <w:t>km范围内人口数</w:t>
            </w:r>
            <w:r>
              <w:rPr>
                <w:rFonts w:hint="eastAsia"/>
                <w:strike w:val="0"/>
                <w:dstrike w:val="0"/>
                <w:color w:val="auto"/>
                <w:szCs w:val="21"/>
                <w:highlight w:val="none"/>
                <w:lang w:eastAsia="zh-CN"/>
              </w:rPr>
              <w:t>17300</w:t>
            </w:r>
            <w:r>
              <w:rPr>
                <w:strike w:val="0"/>
                <w:dstrike w:val="0"/>
                <w:color w:val="auto"/>
                <w:szCs w:val="21"/>
                <w:highlight w:val="none"/>
              </w:rPr>
              <w:t xml:space="preserve"> 人</w:t>
            </w:r>
          </w:p>
        </w:tc>
      </w:tr>
      <w:tr w14:paraId="1DA4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6D4C4D6A">
            <w:pPr>
              <w:jc w:val="center"/>
              <w:rPr>
                <w:strike w:val="0"/>
                <w:dstrike w:val="0"/>
                <w:color w:val="auto"/>
                <w:szCs w:val="21"/>
                <w:highlight w:val="none"/>
              </w:rPr>
            </w:pPr>
          </w:p>
        </w:tc>
        <w:tc>
          <w:tcPr>
            <w:tcW w:w="1211" w:type="dxa"/>
            <w:vMerge w:val="continue"/>
            <w:vAlign w:val="center"/>
          </w:tcPr>
          <w:p w14:paraId="09644A5E">
            <w:pPr>
              <w:jc w:val="center"/>
              <w:rPr>
                <w:strike w:val="0"/>
                <w:dstrike w:val="0"/>
                <w:color w:val="auto"/>
                <w:szCs w:val="21"/>
                <w:highlight w:val="none"/>
              </w:rPr>
            </w:pPr>
          </w:p>
        </w:tc>
        <w:tc>
          <w:tcPr>
            <w:tcW w:w="1108" w:type="dxa"/>
            <w:vMerge w:val="continue"/>
            <w:vAlign w:val="center"/>
          </w:tcPr>
          <w:p w14:paraId="3CBC58B3">
            <w:pPr>
              <w:jc w:val="center"/>
              <w:rPr>
                <w:strike w:val="0"/>
                <w:dstrike w:val="0"/>
                <w:color w:val="auto"/>
                <w:szCs w:val="21"/>
                <w:highlight w:val="none"/>
              </w:rPr>
            </w:pPr>
          </w:p>
        </w:tc>
        <w:tc>
          <w:tcPr>
            <w:tcW w:w="4897" w:type="dxa"/>
            <w:gridSpan w:val="17"/>
            <w:vAlign w:val="center"/>
          </w:tcPr>
          <w:p w14:paraId="75EF2469">
            <w:pPr>
              <w:jc w:val="center"/>
              <w:rPr>
                <w:strike w:val="0"/>
                <w:dstrike w:val="0"/>
                <w:color w:val="auto"/>
                <w:szCs w:val="21"/>
                <w:highlight w:val="none"/>
              </w:rPr>
            </w:pPr>
            <w:r>
              <w:rPr>
                <w:strike w:val="0"/>
                <w:dstrike w:val="0"/>
                <w:color w:val="auto"/>
                <w:szCs w:val="21"/>
                <w:highlight w:val="none"/>
              </w:rPr>
              <w:t>每公里管段周边200m范围内人口数</w:t>
            </w:r>
          </w:p>
        </w:tc>
        <w:tc>
          <w:tcPr>
            <w:tcW w:w="1387" w:type="dxa"/>
            <w:vAlign w:val="center"/>
          </w:tcPr>
          <w:p w14:paraId="4D604955">
            <w:pPr>
              <w:jc w:val="center"/>
              <w:rPr>
                <w:strike w:val="0"/>
                <w:dstrike w:val="0"/>
                <w:color w:val="auto"/>
                <w:szCs w:val="21"/>
                <w:highlight w:val="none"/>
              </w:rPr>
            </w:pPr>
            <w:r>
              <w:rPr>
                <w:strike w:val="0"/>
                <w:dstrike w:val="0"/>
                <w:color w:val="auto"/>
                <w:szCs w:val="21"/>
                <w:highlight w:val="none"/>
              </w:rPr>
              <w:t>50人</w:t>
            </w:r>
          </w:p>
        </w:tc>
      </w:tr>
      <w:tr w14:paraId="35C7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7422ED9C">
            <w:pPr>
              <w:jc w:val="center"/>
              <w:rPr>
                <w:strike w:val="0"/>
                <w:dstrike w:val="0"/>
                <w:color w:val="auto"/>
                <w:szCs w:val="21"/>
                <w:highlight w:val="none"/>
              </w:rPr>
            </w:pPr>
          </w:p>
        </w:tc>
        <w:tc>
          <w:tcPr>
            <w:tcW w:w="1211" w:type="dxa"/>
            <w:vMerge w:val="continue"/>
            <w:vAlign w:val="center"/>
          </w:tcPr>
          <w:p w14:paraId="5B830BB7">
            <w:pPr>
              <w:jc w:val="center"/>
              <w:rPr>
                <w:strike w:val="0"/>
                <w:dstrike w:val="0"/>
                <w:color w:val="auto"/>
                <w:szCs w:val="21"/>
                <w:highlight w:val="none"/>
              </w:rPr>
            </w:pPr>
          </w:p>
        </w:tc>
        <w:tc>
          <w:tcPr>
            <w:tcW w:w="1108" w:type="dxa"/>
            <w:vMerge w:val="restart"/>
            <w:vAlign w:val="center"/>
          </w:tcPr>
          <w:p w14:paraId="547DA000">
            <w:pPr>
              <w:jc w:val="center"/>
              <w:rPr>
                <w:strike w:val="0"/>
                <w:dstrike w:val="0"/>
                <w:color w:val="auto"/>
                <w:szCs w:val="21"/>
                <w:highlight w:val="none"/>
              </w:rPr>
            </w:pPr>
            <w:r>
              <w:rPr>
                <w:strike w:val="0"/>
                <w:dstrike w:val="0"/>
                <w:color w:val="auto"/>
                <w:szCs w:val="21"/>
                <w:highlight w:val="none"/>
              </w:rPr>
              <w:t>地表水</w:t>
            </w:r>
          </w:p>
        </w:tc>
        <w:tc>
          <w:tcPr>
            <w:tcW w:w="2123" w:type="dxa"/>
            <w:gridSpan w:val="7"/>
            <w:vAlign w:val="center"/>
          </w:tcPr>
          <w:p w14:paraId="4C8CFEBC">
            <w:pPr>
              <w:jc w:val="center"/>
              <w:rPr>
                <w:strike w:val="0"/>
                <w:dstrike w:val="0"/>
                <w:color w:val="auto"/>
                <w:szCs w:val="21"/>
                <w:highlight w:val="none"/>
              </w:rPr>
            </w:pPr>
            <w:r>
              <w:rPr>
                <w:strike w:val="0"/>
                <w:dstrike w:val="0"/>
                <w:color w:val="auto"/>
                <w:szCs w:val="21"/>
                <w:highlight w:val="none"/>
              </w:rPr>
              <w:t>地表水功能敏感性</w:t>
            </w:r>
          </w:p>
        </w:tc>
        <w:tc>
          <w:tcPr>
            <w:tcW w:w="1387" w:type="dxa"/>
            <w:gridSpan w:val="4"/>
            <w:vAlign w:val="center"/>
          </w:tcPr>
          <w:p w14:paraId="65D3F86E">
            <w:pPr>
              <w:jc w:val="center"/>
              <w:rPr>
                <w:strike w:val="0"/>
                <w:dstrike w:val="0"/>
                <w:color w:val="auto"/>
                <w:szCs w:val="21"/>
                <w:highlight w:val="none"/>
              </w:rPr>
            </w:pPr>
            <w:r>
              <w:rPr>
                <w:strike w:val="0"/>
                <w:dstrike w:val="0"/>
                <w:color w:val="auto"/>
                <w:szCs w:val="21"/>
                <w:highlight w:val="none"/>
              </w:rPr>
              <w:t>F1</w:t>
            </w:r>
            <w:r>
              <w:rPr>
                <w:strike w:val="0"/>
                <w:dstrike w:val="0"/>
                <w:color w:val="auto"/>
                <w:szCs w:val="21"/>
                <w:highlight w:val="none"/>
              </w:rPr>
              <w:sym w:font="Wingdings 2" w:char="00A3"/>
            </w:r>
          </w:p>
        </w:tc>
        <w:tc>
          <w:tcPr>
            <w:tcW w:w="1387" w:type="dxa"/>
            <w:gridSpan w:val="6"/>
            <w:vAlign w:val="center"/>
          </w:tcPr>
          <w:p w14:paraId="5FAD1723">
            <w:pPr>
              <w:jc w:val="center"/>
              <w:rPr>
                <w:strike w:val="0"/>
                <w:dstrike w:val="0"/>
                <w:color w:val="auto"/>
                <w:szCs w:val="21"/>
                <w:highlight w:val="none"/>
              </w:rPr>
            </w:pPr>
            <w:r>
              <w:rPr>
                <w:strike w:val="0"/>
                <w:dstrike w:val="0"/>
                <w:color w:val="auto"/>
                <w:szCs w:val="21"/>
                <w:highlight w:val="none"/>
              </w:rPr>
              <w:t>F2</w:t>
            </w:r>
            <w:r>
              <w:rPr>
                <w:strike w:val="0"/>
                <w:dstrike w:val="0"/>
                <w:color w:val="auto"/>
                <w:szCs w:val="21"/>
                <w:highlight w:val="none"/>
              </w:rPr>
              <w:sym w:font="Wingdings 2" w:char="0052"/>
            </w:r>
          </w:p>
        </w:tc>
        <w:tc>
          <w:tcPr>
            <w:tcW w:w="1387" w:type="dxa"/>
            <w:vAlign w:val="center"/>
          </w:tcPr>
          <w:p w14:paraId="0BD2C2EE">
            <w:pPr>
              <w:jc w:val="center"/>
              <w:rPr>
                <w:strike w:val="0"/>
                <w:dstrike w:val="0"/>
                <w:color w:val="auto"/>
                <w:szCs w:val="21"/>
                <w:highlight w:val="none"/>
              </w:rPr>
            </w:pPr>
            <w:r>
              <w:rPr>
                <w:strike w:val="0"/>
                <w:dstrike w:val="0"/>
                <w:color w:val="auto"/>
                <w:szCs w:val="21"/>
                <w:highlight w:val="none"/>
              </w:rPr>
              <w:t>F3</w:t>
            </w:r>
            <w:r>
              <w:rPr>
                <w:strike w:val="0"/>
                <w:dstrike w:val="0"/>
                <w:color w:val="auto"/>
                <w:szCs w:val="21"/>
                <w:highlight w:val="none"/>
              </w:rPr>
              <w:sym w:font="Wingdings 2" w:char="00A3"/>
            </w:r>
          </w:p>
        </w:tc>
      </w:tr>
      <w:tr w14:paraId="6F35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56B049DA">
            <w:pPr>
              <w:jc w:val="center"/>
              <w:rPr>
                <w:strike w:val="0"/>
                <w:dstrike w:val="0"/>
                <w:color w:val="auto"/>
                <w:szCs w:val="21"/>
                <w:highlight w:val="none"/>
              </w:rPr>
            </w:pPr>
          </w:p>
        </w:tc>
        <w:tc>
          <w:tcPr>
            <w:tcW w:w="1211" w:type="dxa"/>
            <w:vMerge w:val="continue"/>
            <w:vAlign w:val="center"/>
          </w:tcPr>
          <w:p w14:paraId="7EECC5BD">
            <w:pPr>
              <w:jc w:val="center"/>
              <w:rPr>
                <w:strike w:val="0"/>
                <w:dstrike w:val="0"/>
                <w:color w:val="auto"/>
                <w:szCs w:val="21"/>
                <w:highlight w:val="none"/>
              </w:rPr>
            </w:pPr>
          </w:p>
        </w:tc>
        <w:tc>
          <w:tcPr>
            <w:tcW w:w="1108" w:type="dxa"/>
            <w:vMerge w:val="continue"/>
            <w:vAlign w:val="center"/>
          </w:tcPr>
          <w:p w14:paraId="5E85700F">
            <w:pPr>
              <w:jc w:val="center"/>
              <w:rPr>
                <w:strike w:val="0"/>
                <w:dstrike w:val="0"/>
                <w:color w:val="auto"/>
                <w:szCs w:val="21"/>
                <w:highlight w:val="none"/>
              </w:rPr>
            </w:pPr>
          </w:p>
        </w:tc>
        <w:tc>
          <w:tcPr>
            <w:tcW w:w="2123" w:type="dxa"/>
            <w:gridSpan w:val="7"/>
            <w:vAlign w:val="center"/>
          </w:tcPr>
          <w:p w14:paraId="6DB6D58A">
            <w:pPr>
              <w:jc w:val="center"/>
              <w:rPr>
                <w:strike w:val="0"/>
                <w:dstrike w:val="0"/>
                <w:color w:val="auto"/>
                <w:szCs w:val="21"/>
                <w:highlight w:val="none"/>
              </w:rPr>
            </w:pPr>
            <w:r>
              <w:rPr>
                <w:strike w:val="0"/>
                <w:dstrike w:val="0"/>
                <w:color w:val="auto"/>
                <w:szCs w:val="21"/>
                <w:highlight w:val="none"/>
              </w:rPr>
              <w:t>环境敏感目标分级</w:t>
            </w:r>
          </w:p>
        </w:tc>
        <w:tc>
          <w:tcPr>
            <w:tcW w:w="1387" w:type="dxa"/>
            <w:gridSpan w:val="4"/>
            <w:vAlign w:val="center"/>
          </w:tcPr>
          <w:p w14:paraId="30A66329">
            <w:pPr>
              <w:jc w:val="center"/>
              <w:rPr>
                <w:strike w:val="0"/>
                <w:dstrike w:val="0"/>
                <w:color w:val="auto"/>
                <w:szCs w:val="21"/>
                <w:highlight w:val="none"/>
              </w:rPr>
            </w:pPr>
            <w:r>
              <w:rPr>
                <w:strike w:val="0"/>
                <w:dstrike w:val="0"/>
                <w:color w:val="auto"/>
                <w:szCs w:val="21"/>
                <w:highlight w:val="none"/>
              </w:rPr>
              <w:t>S1</w:t>
            </w:r>
            <w:r>
              <w:rPr>
                <w:strike w:val="0"/>
                <w:dstrike w:val="0"/>
                <w:color w:val="auto"/>
                <w:szCs w:val="21"/>
                <w:highlight w:val="none"/>
              </w:rPr>
              <w:sym w:font="Wingdings 2" w:char="00A3"/>
            </w:r>
          </w:p>
        </w:tc>
        <w:tc>
          <w:tcPr>
            <w:tcW w:w="1387" w:type="dxa"/>
            <w:gridSpan w:val="6"/>
            <w:vAlign w:val="center"/>
          </w:tcPr>
          <w:p w14:paraId="12775D2F">
            <w:pPr>
              <w:jc w:val="center"/>
              <w:rPr>
                <w:strike w:val="0"/>
                <w:dstrike w:val="0"/>
                <w:color w:val="auto"/>
                <w:szCs w:val="21"/>
                <w:highlight w:val="none"/>
              </w:rPr>
            </w:pPr>
            <w:r>
              <w:rPr>
                <w:strike w:val="0"/>
                <w:dstrike w:val="0"/>
                <w:color w:val="auto"/>
                <w:szCs w:val="21"/>
                <w:highlight w:val="none"/>
              </w:rPr>
              <w:t>S2</w:t>
            </w:r>
            <w:r>
              <w:rPr>
                <w:strike w:val="0"/>
                <w:dstrike w:val="0"/>
                <w:color w:val="auto"/>
                <w:szCs w:val="21"/>
                <w:highlight w:val="none"/>
              </w:rPr>
              <w:sym w:font="Wingdings 2" w:char="00A3"/>
            </w:r>
          </w:p>
        </w:tc>
        <w:tc>
          <w:tcPr>
            <w:tcW w:w="1387" w:type="dxa"/>
            <w:vAlign w:val="center"/>
          </w:tcPr>
          <w:p w14:paraId="5C0C8471">
            <w:pPr>
              <w:jc w:val="center"/>
              <w:rPr>
                <w:strike w:val="0"/>
                <w:dstrike w:val="0"/>
                <w:color w:val="auto"/>
                <w:szCs w:val="21"/>
                <w:highlight w:val="none"/>
              </w:rPr>
            </w:pPr>
            <w:r>
              <w:rPr>
                <w:strike w:val="0"/>
                <w:dstrike w:val="0"/>
                <w:color w:val="auto"/>
                <w:szCs w:val="21"/>
                <w:highlight w:val="none"/>
              </w:rPr>
              <w:t>S3</w:t>
            </w:r>
            <w:r>
              <w:rPr>
                <w:strike w:val="0"/>
                <w:dstrike w:val="0"/>
                <w:color w:val="auto"/>
                <w:szCs w:val="21"/>
                <w:highlight w:val="none"/>
              </w:rPr>
              <w:sym w:font="Wingdings 2" w:char="0052"/>
            </w:r>
          </w:p>
        </w:tc>
      </w:tr>
      <w:tr w14:paraId="1E40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2778931C">
            <w:pPr>
              <w:jc w:val="center"/>
              <w:rPr>
                <w:strike w:val="0"/>
                <w:dstrike w:val="0"/>
                <w:color w:val="auto"/>
                <w:szCs w:val="21"/>
                <w:highlight w:val="none"/>
              </w:rPr>
            </w:pPr>
          </w:p>
        </w:tc>
        <w:tc>
          <w:tcPr>
            <w:tcW w:w="1211" w:type="dxa"/>
            <w:vMerge w:val="continue"/>
            <w:vAlign w:val="center"/>
          </w:tcPr>
          <w:p w14:paraId="38C7736B">
            <w:pPr>
              <w:jc w:val="center"/>
              <w:rPr>
                <w:strike w:val="0"/>
                <w:dstrike w:val="0"/>
                <w:color w:val="auto"/>
                <w:szCs w:val="21"/>
                <w:highlight w:val="none"/>
              </w:rPr>
            </w:pPr>
          </w:p>
        </w:tc>
        <w:tc>
          <w:tcPr>
            <w:tcW w:w="1108" w:type="dxa"/>
            <w:vMerge w:val="restart"/>
            <w:vAlign w:val="center"/>
          </w:tcPr>
          <w:p w14:paraId="76BAAC93">
            <w:pPr>
              <w:jc w:val="center"/>
              <w:rPr>
                <w:strike w:val="0"/>
                <w:dstrike w:val="0"/>
                <w:color w:val="auto"/>
                <w:szCs w:val="21"/>
                <w:highlight w:val="none"/>
              </w:rPr>
            </w:pPr>
            <w:r>
              <w:rPr>
                <w:strike w:val="0"/>
                <w:dstrike w:val="0"/>
                <w:color w:val="auto"/>
                <w:szCs w:val="21"/>
                <w:highlight w:val="none"/>
              </w:rPr>
              <w:t>地下水</w:t>
            </w:r>
          </w:p>
        </w:tc>
        <w:tc>
          <w:tcPr>
            <w:tcW w:w="2123" w:type="dxa"/>
            <w:gridSpan w:val="7"/>
            <w:vAlign w:val="center"/>
          </w:tcPr>
          <w:p w14:paraId="126394A2">
            <w:pPr>
              <w:jc w:val="center"/>
              <w:rPr>
                <w:strike w:val="0"/>
                <w:dstrike w:val="0"/>
                <w:color w:val="auto"/>
                <w:szCs w:val="21"/>
                <w:highlight w:val="none"/>
              </w:rPr>
            </w:pPr>
            <w:r>
              <w:rPr>
                <w:strike w:val="0"/>
                <w:dstrike w:val="0"/>
                <w:color w:val="auto"/>
                <w:szCs w:val="21"/>
                <w:highlight w:val="none"/>
              </w:rPr>
              <w:t>地下水功能敏感性</w:t>
            </w:r>
          </w:p>
        </w:tc>
        <w:tc>
          <w:tcPr>
            <w:tcW w:w="1387" w:type="dxa"/>
            <w:gridSpan w:val="4"/>
            <w:vAlign w:val="center"/>
          </w:tcPr>
          <w:p w14:paraId="730C058D">
            <w:pPr>
              <w:jc w:val="center"/>
              <w:rPr>
                <w:strike w:val="0"/>
                <w:dstrike w:val="0"/>
                <w:color w:val="auto"/>
                <w:szCs w:val="21"/>
                <w:highlight w:val="none"/>
              </w:rPr>
            </w:pPr>
            <w:r>
              <w:rPr>
                <w:strike w:val="0"/>
                <w:dstrike w:val="0"/>
                <w:color w:val="auto"/>
                <w:szCs w:val="21"/>
                <w:highlight w:val="none"/>
              </w:rPr>
              <w:t>G1</w:t>
            </w:r>
            <w:r>
              <w:rPr>
                <w:strike w:val="0"/>
                <w:dstrike w:val="0"/>
                <w:color w:val="auto"/>
                <w:szCs w:val="21"/>
                <w:highlight w:val="none"/>
              </w:rPr>
              <w:sym w:font="Wingdings 2" w:char="00A3"/>
            </w:r>
          </w:p>
        </w:tc>
        <w:tc>
          <w:tcPr>
            <w:tcW w:w="1387" w:type="dxa"/>
            <w:gridSpan w:val="6"/>
            <w:vAlign w:val="center"/>
          </w:tcPr>
          <w:p w14:paraId="1B173066">
            <w:pPr>
              <w:jc w:val="center"/>
              <w:rPr>
                <w:strike w:val="0"/>
                <w:dstrike w:val="0"/>
                <w:color w:val="auto"/>
                <w:szCs w:val="21"/>
                <w:highlight w:val="none"/>
              </w:rPr>
            </w:pPr>
            <w:r>
              <w:rPr>
                <w:strike w:val="0"/>
                <w:dstrike w:val="0"/>
                <w:color w:val="auto"/>
                <w:szCs w:val="21"/>
                <w:highlight w:val="none"/>
              </w:rPr>
              <w:t>G2</w:t>
            </w:r>
            <w:r>
              <w:rPr>
                <w:strike w:val="0"/>
                <w:dstrike w:val="0"/>
                <w:color w:val="auto"/>
                <w:szCs w:val="21"/>
                <w:highlight w:val="none"/>
              </w:rPr>
              <w:sym w:font="Wingdings 2" w:char="00A3"/>
            </w:r>
          </w:p>
        </w:tc>
        <w:tc>
          <w:tcPr>
            <w:tcW w:w="1387" w:type="dxa"/>
            <w:vAlign w:val="center"/>
          </w:tcPr>
          <w:p w14:paraId="1422B2C0">
            <w:pPr>
              <w:jc w:val="center"/>
              <w:rPr>
                <w:strike w:val="0"/>
                <w:dstrike w:val="0"/>
                <w:color w:val="auto"/>
                <w:szCs w:val="21"/>
                <w:highlight w:val="none"/>
              </w:rPr>
            </w:pPr>
            <w:r>
              <w:rPr>
                <w:strike w:val="0"/>
                <w:dstrike w:val="0"/>
                <w:color w:val="auto"/>
                <w:szCs w:val="21"/>
                <w:highlight w:val="none"/>
              </w:rPr>
              <w:t>G3</w:t>
            </w:r>
            <w:r>
              <w:rPr>
                <w:strike w:val="0"/>
                <w:dstrike w:val="0"/>
                <w:color w:val="auto"/>
                <w:szCs w:val="21"/>
                <w:highlight w:val="none"/>
              </w:rPr>
              <w:sym w:font="Wingdings 2" w:char="00A3"/>
            </w:r>
          </w:p>
        </w:tc>
      </w:tr>
      <w:tr w14:paraId="3550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26A17474">
            <w:pPr>
              <w:jc w:val="center"/>
              <w:rPr>
                <w:strike w:val="0"/>
                <w:dstrike w:val="0"/>
                <w:color w:val="auto"/>
                <w:szCs w:val="21"/>
                <w:highlight w:val="none"/>
              </w:rPr>
            </w:pPr>
          </w:p>
        </w:tc>
        <w:tc>
          <w:tcPr>
            <w:tcW w:w="1211" w:type="dxa"/>
            <w:vMerge w:val="continue"/>
            <w:vAlign w:val="center"/>
          </w:tcPr>
          <w:p w14:paraId="3FB43AEA">
            <w:pPr>
              <w:jc w:val="center"/>
              <w:rPr>
                <w:strike w:val="0"/>
                <w:dstrike w:val="0"/>
                <w:color w:val="auto"/>
                <w:szCs w:val="21"/>
                <w:highlight w:val="none"/>
              </w:rPr>
            </w:pPr>
          </w:p>
        </w:tc>
        <w:tc>
          <w:tcPr>
            <w:tcW w:w="1108" w:type="dxa"/>
            <w:vMerge w:val="continue"/>
            <w:vAlign w:val="center"/>
          </w:tcPr>
          <w:p w14:paraId="2881903F">
            <w:pPr>
              <w:jc w:val="center"/>
              <w:rPr>
                <w:strike w:val="0"/>
                <w:dstrike w:val="0"/>
                <w:color w:val="auto"/>
                <w:szCs w:val="21"/>
                <w:highlight w:val="none"/>
              </w:rPr>
            </w:pPr>
          </w:p>
        </w:tc>
        <w:tc>
          <w:tcPr>
            <w:tcW w:w="2123" w:type="dxa"/>
            <w:gridSpan w:val="7"/>
            <w:vAlign w:val="center"/>
          </w:tcPr>
          <w:p w14:paraId="35B46240">
            <w:pPr>
              <w:jc w:val="center"/>
              <w:rPr>
                <w:strike w:val="0"/>
                <w:dstrike w:val="0"/>
                <w:color w:val="auto"/>
                <w:szCs w:val="21"/>
                <w:highlight w:val="none"/>
              </w:rPr>
            </w:pPr>
            <w:r>
              <w:rPr>
                <w:strike w:val="0"/>
                <w:dstrike w:val="0"/>
                <w:color w:val="auto"/>
                <w:szCs w:val="21"/>
                <w:highlight w:val="none"/>
              </w:rPr>
              <w:t>包气带防污性能</w:t>
            </w:r>
          </w:p>
        </w:tc>
        <w:tc>
          <w:tcPr>
            <w:tcW w:w="1387" w:type="dxa"/>
            <w:gridSpan w:val="4"/>
            <w:vAlign w:val="center"/>
          </w:tcPr>
          <w:p w14:paraId="379DAC15">
            <w:pPr>
              <w:jc w:val="center"/>
              <w:rPr>
                <w:strike w:val="0"/>
                <w:dstrike w:val="0"/>
                <w:color w:val="auto"/>
                <w:szCs w:val="21"/>
                <w:highlight w:val="none"/>
              </w:rPr>
            </w:pPr>
            <w:r>
              <w:rPr>
                <w:strike w:val="0"/>
                <w:dstrike w:val="0"/>
                <w:color w:val="auto"/>
                <w:szCs w:val="21"/>
                <w:highlight w:val="none"/>
              </w:rPr>
              <w:t>D1</w:t>
            </w:r>
            <w:r>
              <w:rPr>
                <w:strike w:val="0"/>
                <w:dstrike w:val="0"/>
                <w:color w:val="auto"/>
                <w:szCs w:val="21"/>
                <w:highlight w:val="none"/>
              </w:rPr>
              <w:sym w:font="Wingdings 2" w:char="00A3"/>
            </w:r>
          </w:p>
        </w:tc>
        <w:tc>
          <w:tcPr>
            <w:tcW w:w="1387" w:type="dxa"/>
            <w:gridSpan w:val="6"/>
            <w:vAlign w:val="center"/>
          </w:tcPr>
          <w:p w14:paraId="62D608EA">
            <w:pPr>
              <w:jc w:val="center"/>
              <w:rPr>
                <w:strike w:val="0"/>
                <w:dstrike w:val="0"/>
                <w:color w:val="auto"/>
                <w:szCs w:val="21"/>
                <w:highlight w:val="none"/>
              </w:rPr>
            </w:pPr>
            <w:r>
              <w:rPr>
                <w:strike w:val="0"/>
                <w:dstrike w:val="0"/>
                <w:color w:val="auto"/>
                <w:szCs w:val="21"/>
                <w:highlight w:val="none"/>
              </w:rPr>
              <w:t>D2</w:t>
            </w:r>
            <w:r>
              <w:rPr>
                <w:strike w:val="0"/>
                <w:dstrike w:val="0"/>
                <w:color w:val="auto"/>
                <w:szCs w:val="21"/>
                <w:highlight w:val="none"/>
              </w:rPr>
              <w:sym w:font="Wingdings 2" w:char="00A3"/>
            </w:r>
          </w:p>
        </w:tc>
        <w:tc>
          <w:tcPr>
            <w:tcW w:w="1387" w:type="dxa"/>
            <w:vAlign w:val="center"/>
          </w:tcPr>
          <w:p w14:paraId="37F9FCE2">
            <w:pPr>
              <w:jc w:val="center"/>
              <w:rPr>
                <w:strike w:val="0"/>
                <w:dstrike w:val="0"/>
                <w:color w:val="auto"/>
                <w:szCs w:val="21"/>
                <w:highlight w:val="none"/>
              </w:rPr>
            </w:pPr>
            <w:r>
              <w:rPr>
                <w:strike w:val="0"/>
                <w:dstrike w:val="0"/>
                <w:color w:val="auto"/>
                <w:szCs w:val="21"/>
                <w:highlight w:val="none"/>
              </w:rPr>
              <w:t>D3</w:t>
            </w:r>
            <w:r>
              <w:rPr>
                <w:strike w:val="0"/>
                <w:dstrike w:val="0"/>
                <w:color w:val="auto"/>
                <w:szCs w:val="21"/>
                <w:highlight w:val="none"/>
              </w:rPr>
              <w:sym w:font="Wingdings 2" w:char="00A3"/>
            </w:r>
          </w:p>
        </w:tc>
      </w:tr>
      <w:tr w14:paraId="12CB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Merge w:val="restart"/>
            <w:vAlign w:val="center"/>
          </w:tcPr>
          <w:p w14:paraId="2520BF33">
            <w:pPr>
              <w:jc w:val="center"/>
              <w:rPr>
                <w:strike w:val="0"/>
                <w:dstrike w:val="0"/>
                <w:color w:val="auto"/>
                <w:szCs w:val="21"/>
                <w:highlight w:val="none"/>
              </w:rPr>
            </w:pPr>
            <w:r>
              <w:rPr>
                <w:strike w:val="0"/>
                <w:dstrike w:val="0"/>
                <w:color w:val="auto"/>
                <w:szCs w:val="21"/>
                <w:highlight w:val="none"/>
              </w:rPr>
              <w:t>物质及工艺系统危险性</w:t>
            </w:r>
          </w:p>
        </w:tc>
        <w:tc>
          <w:tcPr>
            <w:tcW w:w="1108" w:type="dxa"/>
            <w:vAlign w:val="center"/>
          </w:tcPr>
          <w:p w14:paraId="5F6C40CA">
            <w:pPr>
              <w:jc w:val="center"/>
              <w:rPr>
                <w:strike w:val="0"/>
                <w:dstrike w:val="0"/>
                <w:color w:val="auto"/>
                <w:szCs w:val="21"/>
                <w:highlight w:val="none"/>
              </w:rPr>
            </w:pPr>
            <w:r>
              <w:rPr>
                <w:strike w:val="0"/>
                <w:dstrike w:val="0"/>
                <w:color w:val="auto"/>
                <w:szCs w:val="21"/>
                <w:highlight w:val="none"/>
              </w:rPr>
              <w:t>Q值</w:t>
            </w:r>
          </w:p>
        </w:tc>
        <w:tc>
          <w:tcPr>
            <w:tcW w:w="1571" w:type="dxa"/>
            <w:gridSpan w:val="4"/>
            <w:vAlign w:val="center"/>
          </w:tcPr>
          <w:p w14:paraId="2B25DC74">
            <w:pPr>
              <w:jc w:val="center"/>
              <w:rPr>
                <w:strike w:val="0"/>
                <w:dstrike w:val="0"/>
                <w:color w:val="auto"/>
                <w:szCs w:val="21"/>
                <w:highlight w:val="none"/>
              </w:rPr>
            </w:pPr>
            <w:r>
              <w:rPr>
                <w:strike w:val="0"/>
                <w:dstrike w:val="0"/>
                <w:color w:val="auto"/>
                <w:szCs w:val="21"/>
                <w:highlight w:val="none"/>
              </w:rPr>
              <w:t>Q＜1</w:t>
            </w:r>
            <w:r>
              <w:rPr>
                <w:strike w:val="0"/>
                <w:dstrike w:val="0"/>
                <w:color w:val="auto"/>
                <w:szCs w:val="21"/>
                <w:highlight w:val="none"/>
              </w:rPr>
              <w:sym w:font="Wingdings 2" w:char="00A3"/>
            </w:r>
          </w:p>
        </w:tc>
        <w:tc>
          <w:tcPr>
            <w:tcW w:w="1571" w:type="dxa"/>
            <w:gridSpan w:val="5"/>
            <w:vAlign w:val="center"/>
          </w:tcPr>
          <w:p w14:paraId="4977CF91">
            <w:pPr>
              <w:jc w:val="center"/>
              <w:rPr>
                <w:strike w:val="0"/>
                <w:dstrike w:val="0"/>
                <w:color w:val="auto"/>
                <w:szCs w:val="21"/>
                <w:highlight w:val="none"/>
              </w:rPr>
            </w:pPr>
            <w:r>
              <w:rPr>
                <w:strike w:val="0"/>
                <w:dstrike w:val="0"/>
                <w:color w:val="auto"/>
                <w:szCs w:val="21"/>
                <w:highlight w:val="none"/>
              </w:rPr>
              <w:t>1≤Q＜10</w:t>
            </w:r>
            <w:r>
              <w:rPr>
                <w:strike w:val="0"/>
                <w:dstrike w:val="0"/>
                <w:color w:val="auto"/>
                <w:szCs w:val="21"/>
                <w:highlight w:val="none"/>
              </w:rPr>
              <w:sym w:font="Wingdings 2" w:char="0052"/>
            </w:r>
          </w:p>
        </w:tc>
        <w:tc>
          <w:tcPr>
            <w:tcW w:w="1571" w:type="dxa"/>
            <w:gridSpan w:val="6"/>
            <w:vAlign w:val="center"/>
          </w:tcPr>
          <w:p w14:paraId="55E1BF90">
            <w:pPr>
              <w:jc w:val="center"/>
              <w:rPr>
                <w:strike w:val="0"/>
                <w:dstrike w:val="0"/>
                <w:color w:val="auto"/>
                <w:szCs w:val="21"/>
                <w:highlight w:val="none"/>
              </w:rPr>
            </w:pPr>
            <w:r>
              <w:rPr>
                <w:strike w:val="0"/>
                <w:dstrike w:val="0"/>
                <w:color w:val="auto"/>
                <w:szCs w:val="21"/>
                <w:highlight w:val="none"/>
              </w:rPr>
              <w:t>10≤Q＜100</w:t>
            </w:r>
            <w:r>
              <w:rPr>
                <w:strike w:val="0"/>
                <w:dstrike w:val="0"/>
                <w:color w:val="auto"/>
                <w:szCs w:val="21"/>
                <w:highlight w:val="none"/>
              </w:rPr>
              <w:sym w:font="Wingdings 2" w:char="00A3"/>
            </w:r>
          </w:p>
        </w:tc>
        <w:tc>
          <w:tcPr>
            <w:tcW w:w="1571" w:type="dxa"/>
            <w:gridSpan w:val="3"/>
            <w:vAlign w:val="center"/>
          </w:tcPr>
          <w:p w14:paraId="7C1797B4">
            <w:pPr>
              <w:jc w:val="center"/>
              <w:rPr>
                <w:strike w:val="0"/>
                <w:dstrike w:val="0"/>
                <w:color w:val="auto"/>
                <w:szCs w:val="21"/>
                <w:highlight w:val="none"/>
              </w:rPr>
            </w:pPr>
            <w:r>
              <w:rPr>
                <w:strike w:val="0"/>
                <w:dstrike w:val="0"/>
                <w:color w:val="auto"/>
                <w:szCs w:val="21"/>
                <w:highlight w:val="none"/>
              </w:rPr>
              <w:t>Q＞100</w:t>
            </w:r>
            <w:r>
              <w:rPr>
                <w:strike w:val="0"/>
                <w:dstrike w:val="0"/>
                <w:color w:val="auto"/>
                <w:szCs w:val="21"/>
                <w:highlight w:val="none"/>
              </w:rPr>
              <w:sym w:font="Wingdings 2" w:char="00A3"/>
            </w:r>
          </w:p>
        </w:tc>
      </w:tr>
      <w:tr w14:paraId="4262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Merge w:val="continue"/>
            <w:vAlign w:val="center"/>
          </w:tcPr>
          <w:p w14:paraId="24DFE04C">
            <w:pPr>
              <w:jc w:val="center"/>
              <w:rPr>
                <w:strike w:val="0"/>
                <w:dstrike w:val="0"/>
                <w:color w:val="auto"/>
                <w:szCs w:val="21"/>
                <w:highlight w:val="none"/>
              </w:rPr>
            </w:pPr>
          </w:p>
        </w:tc>
        <w:tc>
          <w:tcPr>
            <w:tcW w:w="1108" w:type="dxa"/>
            <w:vAlign w:val="center"/>
          </w:tcPr>
          <w:p w14:paraId="167FDB22">
            <w:pPr>
              <w:jc w:val="center"/>
              <w:rPr>
                <w:strike w:val="0"/>
                <w:dstrike w:val="0"/>
                <w:color w:val="auto"/>
                <w:szCs w:val="21"/>
                <w:highlight w:val="none"/>
              </w:rPr>
            </w:pPr>
            <w:r>
              <w:rPr>
                <w:strike w:val="0"/>
                <w:dstrike w:val="0"/>
                <w:color w:val="auto"/>
                <w:szCs w:val="21"/>
                <w:highlight w:val="none"/>
              </w:rPr>
              <w:t>M值</w:t>
            </w:r>
          </w:p>
        </w:tc>
        <w:tc>
          <w:tcPr>
            <w:tcW w:w="1571" w:type="dxa"/>
            <w:gridSpan w:val="4"/>
            <w:vAlign w:val="center"/>
          </w:tcPr>
          <w:p w14:paraId="7C6A7F35">
            <w:pPr>
              <w:jc w:val="center"/>
              <w:rPr>
                <w:strike w:val="0"/>
                <w:dstrike w:val="0"/>
                <w:color w:val="auto"/>
                <w:szCs w:val="21"/>
                <w:highlight w:val="none"/>
              </w:rPr>
            </w:pPr>
            <w:r>
              <w:rPr>
                <w:strike w:val="0"/>
                <w:dstrike w:val="0"/>
                <w:color w:val="auto"/>
                <w:szCs w:val="21"/>
                <w:highlight w:val="none"/>
              </w:rPr>
              <w:t>M1</w:t>
            </w:r>
            <w:r>
              <w:rPr>
                <w:strike w:val="0"/>
                <w:dstrike w:val="0"/>
                <w:color w:val="auto"/>
                <w:szCs w:val="21"/>
                <w:highlight w:val="none"/>
              </w:rPr>
              <w:sym w:font="Wingdings 2" w:char="00A3"/>
            </w:r>
          </w:p>
        </w:tc>
        <w:tc>
          <w:tcPr>
            <w:tcW w:w="1571" w:type="dxa"/>
            <w:gridSpan w:val="5"/>
            <w:vAlign w:val="center"/>
          </w:tcPr>
          <w:p w14:paraId="16C2E6AE">
            <w:pPr>
              <w:jc w:val="center"/>
              <w:rPr>
                <w:strike w:val="0"/>
                <w:dstrike w:val="0"/>
                <w:color w:val="auto"/>
                <w:szCs w:val="21"/>
                <w:highlight w:val="none"/>
              </w:rPr>
            </w:pPr>
            <w:r>
              <w:rPr>
                <w:strike w:val="0"/>
                <w:dstrike w:val="0"/>
                <w:color w:val="auto"/>
                <w:szCs w:val="21"/>
                <w:highlight w:val="none"/>
              </w:rPr>
              <w:t>M2</w:t>
            </w:r>
            <w:r>
              <w:rPr>
                <w:strike w:val="0"/>
                <w:dstrike w:val="0"/>
                <w:color w:val="auto"/>
                <w:szCs w:val="21"/>
                <w:highlight w:val="none"/>
              </w:rPr>
              <w:sym w:font="Wingdings 2" w:char="00A3"/>
            </w:r>
          </w:p>
        </w:tc>
        <w:tc>
          <w:tcPr>
            <w:tcW w:w="1571" w:type="dxa"/>
            <w:gridSpan w:val="6"/>
            <w:vAlign w:val="center"/>
          </w:tcPr>
          <w:p w14:paraId="030635A3">
            <w:pPr>
              <w:jc w:val="center"/>
              <w:rPr>
                <w:strike w:val="0"/>
                <w:dstrike w:val="0"/>
                <w:color w:val="auto"/>
                <w:szCs w:val="21"/>
                <w:highlight w:val="none"/>
              </w:rPr>
            </w:pPr>
            <w:r>
              <w:rPr>
                <w:strike w:val="0"/>
                <w:dstrike w:val="0"/>
                <w:color w:val="auto"/>
                <w:szCs w:val="21"/>
                <w:highlight w:val="none"/>
              </w:rPr>
              <w:t>M3</w:t>
            </w:r>
            <w:r>
              <w:rPr>
                <w:strike w:val="0"/>
                <w:dstrike w:val="0"/>
                <w:color w:val="auto"/>
                <w:szCs w:val="21"/>
                <w:highlight w:val="none"/>
              </w:rPr>
              <w:sym w:font="Wingdings 2" w:char="00A3"/>
            </w:r>
          </w:p>
        </w:tc>
        <w:tc>
          <w:tcPr>
            <w:tcW w:w="1571" w:type="dxa"/>
            <w:gridSpan w:val="3"/>
            <w:vAlign w:val="center"/>
          </w:tcPr>
          <w:p w14:paraId="6B8ACCFB">
            <w:pPr>
              <w:jc w:val="center"/>
              <w:rPr>
                <w:strike w:val="0"/>
                <w:dstrike w:val="0"/>
                <w:color w:val="auto"/>
                <w:szCs w:val="21"/>
                <w:highlight w:val="none"/>
              </w:rPr>
            </w:pPr>
            <w:r>
              <w:rPr>
                <w:strike w:val="0"/>
                <w:dstrike w:val="0"/>
                <w:color w:val="auto"/>
                <w:szCs w:val="21"/>
                <w:highlight w:val="none"/>
              </w:rPr>
              <w:t>M4</w:t>
            </w:r>
            <w:r>
              <w:rPr>
                <w:strike w:val="0"/>
                <w:dstrike w:val="0"/>
                <w:color w:val="auto"/>
                <w:szCs w:val="21"/>
                <w:highlight w:val="none"/>
              </w:rPr>
              <w:sym w:font="Wingdings 2" w:char="0052"/>
            </w:r>
          </w:p>
        </w:tc>
      </w:tr>
      <w:tr w14:paraId="5B85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Merge w:val="continue"/>
            <w:vAlign w:val="center"/>
          </w:tcPr>
          <w:p w14:paraId="71DCCC07">
            <w:pPr>
              <w:jc w:val="center"/>
              <w:rPr>
                <w:strike w:val="0"/>
                <w:dstrike w:val="0"/>
                <w:color w:val="auto"/>
                <w:szCs w:val="21"/>
                <w:highlight w:val="none"/>
              </w:rPr>
            </w:pPr>
          </w:p>
        </w:tc>
        <w:tc>
          <w:tcPr>
            <w:tcW w:w="1108" w:type="dxa"/>
            <w:vAlign w:val="center"/>
          </w:tcPr>
          <w:p w14:paraId="0E6785ED">
            <w:pPr>
              <w:jc w:val="center"/>
              <w:rPr>
                <w:strike w:val="0"/>
                <w:dstrike w:val="0"/>
                <w:color w:val="auto"/>
                <w:szCs w:val="21"/>
                <w:highlight w:val="none"/>
              </w:rPr>
            </w:pPr>
            <w:r>
              <w:rPr>
                <w:strike w:val="0"/>
                <w:dstrike w:val="0"/>
                <w:color w:val="auto"/>
                <w:szCs w:val="21"/>
                <w:highlight w:val="none"/>
              </w:rPr>
              <w:t>P值</w:t>
            </w:r>
          </w:p>
        </w:tc>
        <w:tc>
          <w:tcPr>
            <w:tcW w:w="1571" w:type="dxa"/>
            <w:gridSpan w:val="4"/>
            <w:vAlign w:val="center"/>
          </w:tcPr>
          <w:p w14:paraId="6331D3E6">
            <w:pPr>
              <w:jc w:val="center"/>
              <w:rPr>
                <w:strike w:val="0"/>
                <w:dstrike w:val="0"/>
                <w:color w:val="auto"/>
                <w:szCs w:val="21"/>
                <w:highlight w:val="none"/>
              </w:rPr>
            </w:pPr>
            <w:r>
              <w:rPr>
                <w:strike w:val="0"/>
                <w:dstrike w:val="0"/>
                <w:color w:val="auto"/>
                <w:szCs w:val="21"/>
                <w:highlight w:val="none"/>
              </w:rPr>
              <w:t>P1</w:t>
            </w:r>
            <w:r>
              <w:rPr>
                <w:strike w:val="0"/>
                <w:dstrike w:val="0"/>
                <w:color w:val="auto"/>
                <w:szCs w:val="21"/>
                <w:highlight w:val="none"/>
              </w:rPr>
              <w:sym w:font="Wingdings 2" w:char="00A3"/>
            </w:r>
          </w:p>
        </w:tc>
        <w:tc>
          <w:tcPr>
            <w:tcW w:w="1571" w:type="dxa"/>
            <w:gridSpan w:val="5"/>
            <w:vAlign w:val="center"/>
          </w:tcPr>
          <w:p w14:paraId="3C0770EB">
            <w:pPr>
              <w:jc w:val="center"/>
              <w:rPr>
                <w:strike w:val="0"/>
                <w:dstrike w:val="0"/>
                <w:color w:val="auto"/>
                <w:szCs w:val="21"/>
                <w:highlight w:val="none"/>
              </w:rPr>
            </w:pPr>
            <w:r>
              <w:rPr>
                <w:strike w:val="0"/>
                <w:dstrike w:val="0"/>
                <w:color w:val="auto"/>
                <w:szCs w:val="21"/>
                <w:highlight w:val="none"/>
              </w:rPr>
              <w:t>P2</w:t>
            </w:r>
            <w:r>
              <w:rPr>
                <w:strike w:val="0"/>
                <w:dstrike w:val="0"/>
                <w:color w:val="auto"/>
                <w:szCs w:val="21"/>
                <w:highlight w:val="none"/>
              </w:rPr>
              <w:sym w:font="Wingdings 2" w:char="00A3"/>
            </w:r>
          </w:p>
        </w:tc>
        <w:tc>
          <w:tcPr>
            <w:tcW w:w="1571" w:type="dxa"/>
            <w:gridSpan w:val="6"/>
            <w:vAlign w:val="center"/>
          </w:tcPr>
          <w:p w14:paraId="2391F089">
            <w:pPr>
              <w:jc w:val="center"/>
              <w:rPr>
                <w:strike w:val="0"/>
                <w:dstrike w:val="0"/>
                <w:color w:val="auto"/>
                <w:szCs w:val="21"/>
                <w:highlight w:val="none"/>
              </w:rPr>
            </w:pPr>
            <w:r>
              <w:rPr>
                <w:strike w:val="0"/>
                <w:dstrike w:val="0"/>
                <w:color w:val="auto"/>
                <w:szCs w:val="21"/>
                <w:highlight w:val="none"/>
              </w:rPr>
              <w:t>P3</w:t>
            </w:r>
            <w:r>
              <w:rPr>
                <w:strike w:val="0"/>
                <w:dstrike w:val="0"/>
                <w:color w:val="auto"/>
                <w:szCs w:val="21"/>
                <w:highlight w:val="none"/>
              </w:rPr>
              <w:sym w:font="Wingdings 2" w:char="00A3"/>
            </w:r>
          </w:p>
        </w:tc>
        <w:tc>
          <w:tcPr>
            <w:tcW w:w="1571" w:type="dxa"/>
            <w:gridSpan w:val="3"/>
            <w:vAlign w:val="center"/>
          </w:tcPr>
          <w:p w14:paraId="7E34C140">
            <w:pPr>
              <w:jc w:val="center"/>
              <w:rPr>
                <w:strike w:val="0"/>
                <w:dstrike w:val="0"/>
                <w:color w:val="auto"/>
                <w:szCs w:val="21"/>
                <w:highlight w:val="none"/>
              </w:rPr>
            </w:pPr>
            <w:r>
              <w:rPr>
                <w:strike w:val="0"/>
                <w:dstrike w:val="0"/>
                <w:color w:val="auto"/>
                <w:szCs w:val="21"/>
                <w:highlight w:val="none"/>
              </w:rPr>
              <w:t>P4</w:t>
            </w:r>
            <w:r>
              <w:rPr>
                <w:strike w:val="0"/>
                <w:dstrike w:val="0"/>
                <w:color w:val="auto"/>
                <w:szCs w:val="21"/>
                <w:highlight w:val="none"/>
              </w:rPr>
              <w:sym w:font="Wingdings 2" w:char="0052"/>
            </w:r>
          </w:p>
        </w:tc>
      </w:tr>
      <w:tr w14:paraId="3A0A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Merge w:val="restart"/>
            <w:vAlign w:val="center"/>
          </w:tcPr>
          <w:p w14:paraId="0CD386C9">
            <w:pPr>
              <w:jc w:val="center"/>
              <w:rPr>
                <w:strike w:val="0"/>
                <w:dstrike w:val="0"/>
                <w:color w:val="auto"/>
                <w:szCs w:val="21"/>
                <w:highlight w:val="none"/>
              </w:rPr>
            </w:pPr>
            <w:r>
              <w:rPr>
                <w:strike w:val="0"/>
                <w:dstrike w:val="0"/>
                <w:color w:val="auto"/>
                <w:szCs w:val="21"/>
                <w:highlight w:val="none"/>
              </w:rPr>
              <w:t>环境敏感程度</w:t>
            </w:r>
          </w:p>
        </w:tc>
        <w:tc>
          <w:tcPr>
            <w:tcW w:w="1108" w:type="dxa"/>
            <w:vAlign w:val="center"/>
          </w:tcPr>
          <w:p w14:paraId="255DB8BE">
            <w:pPr>
              <w:jc w:val="center"/>
              <w:rPr>
                <w:strike w:val="0"/>
                <w:dstrike w:val="0"/>
                <w:color w:val="auto"/>
                <w:szCs w:val="21"/>
                <w:highlight w:val="none"/>
              </w:rPr>
            </w:pPr>
            <w:r>
              <w:rPr>
                <w:strike w:val="0"/>
                <w:dstrike w:val="0"/>
                <w:color w:val="auto"/>
                <w:szCs w:val="21"/>
                <w:highlight w:val="none"/>
              </w:rPr>
              <w:t>大气</w:t>
            </w:r>
          </w:p>
        </w:tc>
        <w:tc>
          <w:tcPr>
            <w:tcW w:w="2094" w:type="dxa"/>
            <w:gridSpan w:val="6"/>
            <w:vAlign w:val="center"/>
          </w:tcPr>
          <w:p w14:paraId="19CB9DA8">
            <w:pPr>
              <w:jc w:val="center"/>
              <w:rPr>
                <w:strike w:val="0"/>
                <w:dstrike w:val="0"/>
                <w:color w:val="auto"/>
                <w:szCs w:val="21"/>
                <w:highlight w:val="none"/>
              </w:rPr>
            </w:pPr>
            <w:r>
              <w:rPr>
                <w:strike w:val="0"/>
                <w:dstrike w:val="0"/>
                <w:color w:val="auto"/>
                <w:szCs w:val="21"/>
                <w:highlight w:val="none"/>
              </w:rPr>
              <w:t>E1</w:t>
            </w:r>
            <w:r>
              <w:rPr>
                <w:strike w:val="0"/>
                <w:dstrike w:val="0"/>
                <w:color w:val="auto"/>
                <w:szCs w:val="21"/>
                <w:highlight w:val="none"/>
              </w:rPr>
              <w:sym w:font="Wingdings 2" w:char="00A3"/>
            </w:r>
          </w:p>
        </w:tc>
        <w:tc>
          <w:tcPr>
            <w:tcW w:w="2094" w:type="dxa"/>
            <w:gridSpan w:val="7"/>
            <w:vAlign w:val="center"/>
          </w:tcPr>
          <w:p w14:paraId="21039ACC">
            <w:pPr>
              <w:jc w:val="center"/>
              <w:rPr>
                <w:strike w:val="0"/>
                <w:dstrike w:val="0"/>
                <w:color w:val="auto"/>
                <w:szCs w:val="21"/>
                <w:highlight w:val="none"/>
              </w:rPr>
            </w:pPr>
            <w:r>
              <w:rPr>
                <w:strike w:val="0"/>
                <w:dstrike w:val="0"/>
                <w:color w:val="auto"/>
                <w:szCs w:val="21"/>
                <w:highlight w:val="none"/>
              </w:rPr>
              <w:t>E2</w:t>
            </w:r>
            <w:r>
              <w:rPr>
                <w:strike w:val="0"/>
                <w:dstrike w:val="0"/>
                <w:color w:val="auto"/>
                <w:szCs w:val="21"/>
                <w:highlight w:val="none"/>
              </w:rPr>
              <w:sym w:font="Wingdings 2" w:char="0052"/>
            </w:r>
          </w:p>
        </w:tc>
        <w:tc>
          <w:tcPr>
            <w:tcW w:w="2096" w:type="dxa"/>
            <w:gridSpan w:val="5"/>
            <w:vAlign w:val="center"/>
          </w:tcPr>
          <w:p w14:paraId="11ACAD65">
            <w:pPr>
              <w:jc w:val="center"/>
              <w:rPr>
                <w:strike w:val="0"/>
                <w:dstrike w:val="0"/>
                <w:color w:val="auto"/>
                <w:szCs w:val="21"/>
                <w:highlight w:val="none"/>
              </w:rPr>
            </w:pPr>
            <w:r>
              <w:rPr>
                <w:strike w:val="0"/>
                <w:dstrike w:val="0"/>
                <w:color w:val="auto"/>
                <w:szCs w:val="21"/>
                <w:highlight w:val="none"/>
              </w:rPr>
              <w:t>E3</w:t>
            </w:r>
            <w:r>
              <w:rPr>
                <w:strike w:val="0"/>
                <w:dstrike w:val="0"/>
                <w:color w:val="auto"/>
                <w:szCs w:val="21"/>
                <w:highlight w:val="none"/>
              </w:rPr>
              <w:sym w:font="Wingdings 2" w:char="00A3"/>
            </w:r>
          </w:p>
        </w:tc>
      </w:tr>
      <w:tr w14:paraId="4540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Merge w:val="continue"/>
            <w:vAlign w:val="center"/>
          </w:tcPr>
          <w:p w14:paraId="346DEB81">
            <w:pPr>
              <w:jc w:val="center"/>
              <w:rPr>
                <w:strike w:val="0"/>
                <w:dstrike w:val="0"/>
                <w:color w:val="auto"/>
                <w:szCs w:val="21"/>
                <w:highlight w:val="none"/>
              </w:rPr>
            </w:pPr>
          </w:p>
        </w:tc>
        <w:tc>
          <w:tcPr>
            <w:tcW w:w="1108" w:type="dxa"/>
            <w:vAlign w:val="center"/>
          </w:tcPr>
          <w:p w14:paraId="4F5CE8E7">
            <w:pPr>
              <w:jc w:val="center"/>
              <w:rPr>
                <w:strike w:val="0"/>
                <w:dstrike w:val="0"/>
                <w:color w:val="auto"/>
                <w:szCs w:val="21"/>
                <w:highlight w:val="none"/>
              </w:rPr>
            </w:pPr>
            <w:r>
              <w:rPr>
                <w:strike w:val="0"/>
                <w:dstrike w:val="0"/>
                <w:color w:val="auto"/>
                <w:szCs w:val="21"/>
                <w:highlight w:val="none"/>
              </w:rPr>
              <w:t>地表水</w:t>
            </w:r>
          </w:p>
        </w:tc>
        <w:tc>
          <w:tcPr>
            <w:tcW w:w="2094" w:type="dxa"/>
            <w:gridSpan w:val="6"/>
            <w:vAlign w:val="center"/>
          </w:tcPr>
          <w:p w14:paraId="1603D3AC">
            <w:pPr>
              <w:jc w:val="center"/>
              <w:rPr>
                <w:strike w:val="0"/>
                <w:dstrike w:val="0"/>
                <w:color w:val="auto"/>
                <w:szCs w:val="21"/>
                <w:highlight w:val="none"/>
              </w:rPr>
            </w:pPr>
            <w:r>
              <w:rPr>
                <w:strike w:val="0"/>
                <w:dstrike w:val="0"/>
                <w:color w:val="auto"/>
                <w:szCs w:val="21"/>
                <w:highlight w:val="none"/>
              </w:rPr>
              <w:t>E1</w:t>
            </w:r>
            <w:r>
              <w:rPr>
                <w:strike w:val="0"/>
                <w:dstrike w:val="0"/>
                <w:color w:val="auto"/>
                <w:szCs w:val="21"/>
                <w:highlight w:val="none"/>
              </w:rPr>
              <w:sym w:font="Wingdings 2" w:char="00A3"/>
            </w:r>
          </w:p>
        </w:tc>
        <w:tc>
          <w:tcPr>
            <w:tcW w:w="2094" w:type="dxa"/>
            <w:gridSpan w:val="7"/>
            <w:vAlign w:val="center"/>
          </w:tcPr>
          <w:p w14:paraId="44EE270C">
            <w:pPr>
              <w:jc w:val="center"/>
              <w:rPr>
                <w:strike w:val="0"/>
                <w:dstrike w:val="0"/>
                <w:color w:val="auto"/>
                <w:szCs w:val="21"/>
                <w:highlight w:val="none"/>
              </w:rPr>
            </w:pPr>
            <w:r>
              <w:rPr>
                <w:strike w:val="0"/>
                <w:dstrike w:val="0"/>
                <w:color w:val="auto"/>
                <w:szCs w:val="21"/>
                <w:highlight w:val="none"/>
              </w:rPr>
              <w:t>E2</w:t>
            </w:r>
            <w:r>
              <w:rPr>
                <w:strike w:val="0"/>
                <w:dstrike w:val="0"/>
                <w:color w:val="auto"/>
                <w:szCs w:val="21"/>
                <w:highlight w:val="none"/>
              </w:rPr>
              <w:sym w:font="Wingdings 2" w:char="00A3"/>
            </w:r>
          </w:p>
        </w:tc>
        <w:tc>
          <w:tcPr>
            <w:tcW w:w="2096" w:type="dxa"/>
            <w:gridSpan w:val="5"/>
            <w:vAlign w:val="center"/>
          </w:tcPr>
          <w:p w14:paraId="54A21E88">
            <w:pPr>
              <w:jc w:val="center"/>
              <w:rPr>
                <w:strike w:val="0"/>
                <w:dstrike w:val="0"/>
                <w:color w:val="auto"/>
                <w:szCs w:val="21"/>
                <w:highlight w:val="none"/>
              </w:rPr>
            </w:pPr>
            <w:r>
              <w:rPr>
                <w:strike w:val="0"/>
                <w:dstrike w:val="0"/>
                <w:color w:val="auto"/>
                <w:szCs w:val="21"/>
                <w:highlight w:val="none"/>
              </w:rPr>
              <w:t>E3</w:t>
            </w:r>
            <w:r>
              <w:rPr>
                <w:strike w:val="0"/>
                <w:dstrike w:val="0"/>
                <w:color w:val="auto"/>
                <w:szCs w:val="21"/>
                <w:highlight w:val="none"/>
              </w:rPr>
              <w:sym w:font="Wingdings 2" w:char="0052"/>
            </w:r>
          </w:p>
        </w:tc>
      </w:tr>
      <w:tr w14:paraId="2666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Merge w:val="continue"/>
            <w:vAlign w:val="center"/>
          </w:tcPr>
          <w:p w14:paraId="5F1FADB4">
            <w:pPr>
              <w:jc w:val="center"/>
              <w:rPr>
                <w:strike w:val="0"/>
                <w:dstrike w:val="0"/>
                <w:color w:val="auto"/>
                <w:szCs w:val="21"/>
                <w:highlight w:val="none"/>
              </w:rPr>
            </w:pPr>
          </w:p>
        </w:tc>
        <w:tc>
          <w:tcPr>
            <w:tcW w:w="1108" w:type="dxa"/>
            <w:vAlign w:val="center"/>
          </w:tcPr>
          <w:p w14:paraId="1DD51594">
            <w:pPr>
              <w:jc w:val="center"/>
              <w:rPr>
                <w:strike w:val="0"/>
                <w:dstrike w:val="0"/>
                <w:color w:val="auto"/>
                <w:szCs w:val="21"/>
                <w:highlight w:val="none"/>
              </w:rPr>
            </w:pPr>
            <w:r>
              <w:rPr>
                <w:strike w:val="0"/>
                <w:dstrike w:val="0"/>
                <w:color w:val="auto"/>
                <w:szCs w:val="21"/>
                <w:highlight w:val="none"/>
              </w:rPr>
              <w:t>地下水</w:t>
            </w:r>
          </w:p>
        </w:tc>
        <w:tc>
          <w:tcPr>
            <w:tcW w:w="2094" w:type="dxa"/>
            <w:gridSpan w:val="6"/>
            <w:vAlign w:val="center"/>
          </w:tcPr>
          <w:p w14:paraId="3FD85B42">
            <w:pPr>
              <w:jc w:val="center"/>
              <w:rPr>
                <w:strike w:val="0"/>
                <w:dstrike w:val="0"/>
                <w:color w:val="auto"/>
                <w:szCs w:val="21"/>
                <w:highlight w:val="none"/>
              </w:rPr>
            </w:pPr>
            <w:r>
              <w:rPr>
                <w:strike w:val="0"/>
                <w:dstrike w:val="0"/>
                <w:color w:val="auto"/>
                <w:szCs w:val="21"/>
                <w:highlight w:val="none"/>
              </w:rPr>
              <w:t>E1</w:t>
            </w:r>
            <w:r>
              <w:rPr>
                <w:strike w:val="0"/>
                <w:dstrike w:val="0"/>
                <w:color w:val="auto"/>
                <w:szCs w:val="21"/>
                <w:highlight w:val="none"/>
              </w:rPr>
              <w:sym w:font="Wingdings 2" w:char="00A3"/>
            </w:r>
          </w:p>
        </w:tc>
        <w:tc>
          <w:tcPr>
            <w:tcW w:w="2094" w:type="dxa"/>
            <w:gridSpan w:val="7"/>
            <w:vAlign w:val="center"/>
          </w:tcPr>
          <w:p w14:paraId="3B5EDA7D">
            <w:pPr>
              <w:jc w:val="center"/>
              <w:rPr>
                <w:strike w:val="0"/>
                <w:dstrike w:val="0"/>
                <w:color w:val="auto"/>
                <w:szCs w:val="21"/>
                <w:highlight w:val="none"/>
              </w:rPr>
            </w:pPr>
            <w:r>
              <w:rPr>
                <w:strike w:val="0"/>
                <w:dstrike w:val="0"/>
                <w:color w:val="auto"/>
                <w:szCs w:val="21"/>
                <w:highlight w:val="none"/>
              </w:rPr>
              <w:t>E2</w:t>
            </w:r>
            <w:r>
              <w:rPr>
                <w:strike w:val="0"/>
                <w:dstrike w:val="0"/>
                <w:color w:val="auto"/>
                <w:szCs w:val="21"/>
                <w:highlight w:val="none"/>
              </w:rPr>
              <w:sym w:font="Wingdings 2" w:char="00A3"/>
            </w:r>
          </w:p>
        </w:tc>
        <w:tc>
          <w:tcPr>
            <w:tcW w:w="2096" w:type="dxa"/>
            <w:gridSpan w:val="5"/>
            <w:vAlign w:val="center"/>
          </w:tcPr>
          <w:p w14:paraId="43AC4402">
            <w:pPr>
              <w:jc w:val="center"/>
              <w:rPr>
                <w:strike w:val="0"/>
                <w:dstrike w:val="0"/>
                <w:color w:val="auto"/>
                <w:szCs w:val="21"/>
                <w:highlight w:val="none"/>
              </w:rPr>
            </w:pPr>
            <w:r>
              <w:rPr>
                <w:strike w:val="0"/>
                <w:dstrike w:val="0"/>
                <w:color w:val="auto"/>
                <w:szCs w:val="21"/>
                <w:highlight w:val="none"/>
              </w:rPr>
              <w:t>E3</w:t>
            </w:r>
            <w:r>
              <w:rPr>
                <w:strike w:val="0"/>
                <w:dstrike w:val="0"/>
                <w:color w:val="auto"/>
                <w:szCs w:val="21"/>
                <w:highlight w:val="none"/>
              </w:rPr>
              <w:sym w:font="Wingdings 2" w:char="00A3"/>
            </w:r>
          </w:p>
        </w:tc>
      </w:tr>
      <w:tr w14:paraId="6F1B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Align w:val="center"/>
          </w:tcPr>
          <w:p w14:paraId="3DE570EA">
            <w:pPr>
              <w:jc w:val="center"/>
              <w:rPr>
                <w:strike w:val="0"/>
                <w:dstrike w:val="0"/>
                <w:color w:val="auto"/>
                <w:szCs w:val="21"/>
                <w:highlight w:val="none"/>
              </w:rPr>
            </w:pPr>
            <w:r>
              <w:rPr>
                <w:strike w:val="0"/>
                <w:dstrike w:val="0"/>
                <w:color w:val="auto"/>
                <w:szCs w:val="21"/>
                <w:highlight w:val="none"/>
              </w:rPr>
              <w:t>环境风险潜势</w:t>
            </w:r>
          </w:p>
        </w:tc>
        <w:tc>
          <w:tcPr>
            <w:tcW w:w="1478" w:type="dxa"/>
            <w:gridSpan w:val="2"/>
            <w:vAlign w:val="center"/>
          </w:tcPr>
          <w:p w14:paraId="449A4F55">
            <w:pPr>
              <w:jc w:val="center"/>
              <w:rPr>
                <w:strike w:val="0"/>
                <w:dstrike w:val="0"/>
                <w:color w:val="auto"/>
                <w:szCs w:val="21"/>
                <w:highlight w:val="none"/>
              </w:rPr>
            </w:pPr>
            <w:r>
              <w:rPr>
                <w:strike w:val="0"/>
                <w:dstrike w:val="0"/>
                <w:color w:val="auto"/>
                <w:szCs w:val="21"/>
                <w:highlight w:val="none"/>
              </w:rPr>
              <w:t>IV+</w:t>
            </w:r>
            <w:r>
              <w:rPr>
                <w:strike w:val="0"/>
                <w:dstrike w:val="0"/>
                <w:color w:val="auto"/>
                <w:szCs w:val="21"/>
                <w:highlight w:val="none"/>
              </w:rPr>
              <w:sym w:font="Wingdings 2" w:char="00A3"/>
            </w:r>
          </w:p>
        </w:tc>
        <w:tc>
          <w:tcPr>
            <w:tcW w:w="1478" w:type="dxa"/>
            <w:gridSpan w:val="4"/>
            <w:vAlign w:val="center"/>
          </w:tcPr>
          <w:p w14:paraId="2FEE3937">
            <w:pPr>
              <w:jc w:val="center"/>
              <w:rPr>
                <w:strike w:val="0"/>
                <w:dstrike w:val="0"/>
                <w:color w:val="auto"/>
                <w:szCs w:val="21"/>
                <w:highlight w:val="none"/>
              </w:rPr>
            </w:pPr>
            <w:r>
              <w:rPr>
                <w:strike w:val="0"/>
                <w:dstrike w:val="0"/>
                <w:color w:val="auto"/>
                <w:szCs w:val="21"/>
                <w:highlight w:val="none"/>
              </w:rPr>
              <w:t>Ⅳ</w:t>
            </w:r>
            <w:r>
              <w:rPr>
                <w:strike w:val="0"/>
                <w:dstrike w:val="0"/>
                <w:color w:val="auto"/>
                <w:szCs w:val="21"/>
                <w:highlight w:val="none"/>
              </w:rPr>
              <w:sym w:font="Wingdings 2" w:char="00A3"/>
            </w:r>
          </w:p>
        </w:tc>
        <w:tc>
          <w:tcPr>
            <w:tcW w:w="1478" w:type="dxa"/>
            <w:gridSpan w:val="5"/>
            <w:vAlign w:val="center"/>
          </w:tcPr>
          <w:p w14:paraId="70492D2C">
            <w:pPr>
              <w:jc w:val="center"/>
              <w:rPr>
                <w:strike w:val="0"/>
                <w:dstrike w:val="0"/>
                <w:color w:val="auto"/>
                <w:szCs w:val="21"/>
                <w:highlight w:val="none"/>
              </w:rPr>
            </w:pPr>
            <w:r>
              <w:rPr>
                <w:strike w:val="0"/>
                <w:dstrike w:val="0"/>
                <w:color w:val="auto"/>
                <w:szCs w:val="21"/>
                <w:highlight w:val="none"/>
              </w:rPr>
              <w:t>Ⅲ</w:t>
            </w:r>
            <w:r>
              <w:rPr>
                <w:strike w:val="0"/>
                <w:dstrike w:val="0"/>
                <w:color w:val="auto"/>
                <w:szCs w:val="21"/>
                <w:highlight w:val="none"/>
              </w:rPr>
              <w:sym w:font="Wingdings 2" w:char="00A3"/>
            </w:r>
          </w:p>
        </w:tc>
        <w:tc>
          <w:tcPr>
            <w:tcW w:w="1478" w:type="dxa"/>
            <w:gridSpan w:val="6"/>
            <w:vAlign w:val="center"/>
          </w:tcPr>
          <w:p w14:paraId="639357C1">
            <w:pPr>
              <w:jc w:val="center"/>
              <w:rPr>
                <w:strike w:val="0"/>
                <w:dstrike w:val="0"/>
                <w:color w:val="auto"/>
                <w:szCs w:val="21"/>
                <w:highlight w:val="none"/>
              </w:rPr>
            </w:pPr>
            <w:r>
              <w:rPr>
                <w:strike w:val="0"/>
                <w:dstrike w:val="0"/>
                <w:color w:val="auto"/>
                <w:szCs w:val="21"/>
                <w:highlight w:val="none"/>
              </w:rPr>
              <w:t>Ⅱ</w:t>
            </w:r>
            <w:r>
              <w:rPr>
                <w:strike w:val="0"/>
                <w:dstrike w:val="0"/>
                <w:color w:val="auto"/>
                <w:szCs w:val="21"/>
                <w:highlight w:val="none"/>
              </w:rPr>
              <w:sym w:font="Wingdings 2" w:char="0052"/>
            </w:r>
          </w:p>
        </w:tc>
        <w:tc>
          <w:tcPr>
            <w:tcW w:w="1480" w:type="dxa"/>
            <w:gridSpan w:val="2"/>
            <w:vAlign w:val="center"/>
          </w:tcPr>
          <w:p w14:paraId="1BE71CDF">
            <w:pPr>
              <w:jc w:val="center"/>
              <w:rPr>
                <w:strike w:val="0"/>
                <w:dstrike w:val="0"/>
                <w:color w:val="auto"/>
                <w:szCs w:val="21"/>
                <w:highlight w:val="none"/>
              </w:rPr>
            </w:pPr>
            <w:r>
              <w:rPr>
                <w:strike w:val="0"/>
                <w:dstrike w:val="0"/>
                <w:color w:val="auto"/>
                <w:szCs w:val="21"/>
                <w:highlight w:val="none"/>
              </w:rPr>
              <w:t>Ⅰ</w:t>
            </w:r>
            <w:r>
              <w:rPr>
                <w:strike w:val="0"/>
                <w:dstrike w:val="0"/>
                <w:color w:val="auto"/>
                <w:szCs w:val="21"/>
                <w:highlight w:val="none"/>
              </w:rPr>
              <w:sym w:font="Wingdings 2" w:char="00A3"/>
            </w:r>
          </w:p>
        </w:tc>
      </w:tr>
      <w:tr w14:paraId="3511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Align w:val="center"/>
          </w:tcPr>
          <w:p w14:paraId="674207A7">
            <w:pPr>
              <w:jc w:val="center"/>
              <w:rPr>
                <w:strike w:val="0"/>
                <w:dstrike w:val="0"/>
                <w:color w:val="auto"/>
                <w:szCs w:val="21"/>
                <w:highlight w:val="none"/>
              </w:rPr>
            </w:pPr>
            <w:r>
              <w:rPr>
                <w:strike w:val="0"/>
                <w:dstrike w:val="0"/>
                <w:color w:val="auto"/>
                <w:szCs w:val="21"/>
                <w:highlight w:val="none"/>
              </w:rPr>
              <w:t>评价等级</w:t>
            </w:r>
          </w:p>
        </w:tc>
        <w:tc>
          <w:tcPr>
            <w:tcW w:w="1848" w:type="dxa"/>
            <w:gridSpan w:val="4"/>
            <w:vAlign w:val="center"/>
          </w:tcPr>
          <w:p w14:paraId="1D668D44">
            <w:pPr>
              <w:jc w:val="center"/>
              <w:rPr>
                <w:strike w:val="0"/>
                <w:dstrike w:val="0"/>
                <w:color w:val="auto"/>
                <w:szCs w:val="21"/>
                <w:highlight w:val="none"/>
              </w:rPr>
            </w:pPr>
            <w:r>
              <w:rPr>
                <w:strike w:val="0"/>
                <w:dstrike w:val="0"/>
                <w:color w:val="auto"/>
                <w:szCs w:val="21"/>
                <w:highlight w:val="none"/>
              </w:rPr>
              <w:t>一级</w:t>
            </w:r>
            <w:r>
              <w:rPr>
                <w:strike w:val="0"/>
                <w:dstrike w:val="0"/>
                <w:color w:val="auto"/>
                <w:szCs w:val="21"/>
                <w:highlight w:val="none"/>
              </w:rPr>
              <w:sym w:font="Wingdings 2" w:char="00A3"/>
            </w:r>
          </w:p>
        </w:tc>
        <w:tc>
          <w:tcPr>
            <w:tcW w:w="1848" w:type="dxa"/>
            <w:gridSpan w:val="5"/>
            <w:vAlign w:val="center"/>
          </w:tcPr>
          <w:p w14:paraId="41775E36">
            <w:pPr>
              <w:jc w:val="center"/>
              <w:rPr>
                <w:strike w:val="0"/>
                <w:dstrike w:val="0"/>
                <w:color w:val="auto"/>
                <w:szCs w:val="21"/>
                <w:highlight w:val="none"/>
              </w:rPr>
            </w:pPr>
            <w:r>
              <w:rPr>
                <w:strike w:val="0"/>
                <w:dstrike w:val="0"/>
                <w:color w:val="auto"/>
                <w:szCs w:val="21"/>
                <w:highlight w:val="none"/>
              </w:rPr>
              <w:t>二级</w:t>
            </w:r>
            <w:r>
              <w:rPr>
                <w:strike w:val="0"/>
                <w:dstrike w:val="0"/>
                <w:color w:val="auto"/>
                <w:szCs w:val="21"/>
                <w:highlight w:val="none"/>
              </w:rPr>
              <w:sym w:font="Wingdings 2" w:char="00A3"/>
            </w:r>
          </w:p>
        </w:tc>
        <w:tc>
          <w:tcPr>
            <w:tcW w:w="1848" w:type="dxa"/>
            <w:gridSpan w:val="6"/>
            <w:vAlign w:val="center"/>
          </w:tcPr>
          <w:p w14:paraId="2637C588">
            <w:pPr>
              <w:jc w:val="center"/>
              <w:rPr>
                <w:strike w:val="0"/>
                <w:dstrike w:val="0"/>
                <w:color w:val="auto"/>
                <w:szCs w:val="21"/>
                <w:highlight w:val="none"/>
              </w:rPr>
            </w:pPr>
            <w:r>
              <w:rPr>
                <w:strike w:val="0"/>
                <w:dstrike w:val="0"/>
                <w:color w:val="auto"/>
                <w:szCs w:val="21"/>
                <w:highlight w:val="none"/>
              </w:rPr>
              <w:t>三级</w:t>
            </w:r>
            <w:r>
              <w:rPr>
                <w:strike w:val="0"/>
                <w:dstrike w:val="0"/>
                <w:color w:val="auto"/>
                <w:szCs w:val="21"/>
                <w:highlight w:val="none"/>
              </w:rPr>
              <w:sym w:font="Wingdings 2" w:char="0052"/>
            </w:r>
          </w:p>
        </w:tc>
        <w:tc>
          <w:tcPr>
            <w:tcW w:w="1848" w:type="dxa"/>
            <w:gridSpan w:val="4"/>
            <w:vAlign w:val="center"/>
          </w:tcPr>
          <w:p w14:paraId="5A64B819">
            <w:pPr>
              <w:jc w:val="center"/>
              <w:rPr>
                <w:strike w:val="0"/>
                <w:dstrike w:val="0"/>
                <w:color w:val="auto"/>
                <w:szCs w:val="21"/>
                <w:highlight w:val="none"/>
              </w:rPr>
            </w:pPr>
            <w:r>
              <w:rPr>
                <w:strike w:val="0"/>
                <w:dstrike w:val="0"/>
                <w:color w:val="auto"/>
                <w:szCs w:val="21"/>
                <w:highlight w:val="none"/>
              </w:rPr>
              <w:t>简单分析</w:t>
            </w:r>
            <w:r>
              <w:rPr>
                <w:strike w:val="0"/>
                <w:dstrike w:val="0"/>
                <w:color w:val="auto"/>
                <w:szCs w:val="21"/>
                <w:highlight w:val="none"/>
              </w:rPr>
              <w:sym w:font="Wingdings 2" w:char="00A3"/>
            </w:r>
          </w:p>
        </w:tc>
      </w:tr>
      <w:tr w14:paraId="330C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20" w:type="dxa"/>
            <w:vMerge w:val="restart"/>
            <w:vAlign w:val="center"/>
          </w:tcPr>
          <w:p w14:paraId="69AF2148">
            <w:pPr>
              <w:jc w:val="center"/>
              <w:rPr>
                <w:strike w:val="0"/>
                <w:dstrike w:val="0"/>
                <w:color w:val="auto"/>
                <w:szCs w:val="21"/>
                <w:highlight w:val="none"/>
              </w:rPr>
            </w:pPr>
            <w:r>
              <w:rPr>
                <w:strike w:val="0"/>
                <w:dstrike w:val="0"/>
                <w:color w:val="auto"/>
                <w:szCs w:val="21"/>
                <w:highlight w:val="none"/>
              </w:rPr>
              <w:t>风险识别</w:t>
            </w:r>
          </w:p>
        </w:tc>
        <w:tc>
          <w:tcPr>
            <w:tcW w:w="1211" w:type="dxa"/>
            <w:vAlign w:val="center"/>
          </w:tcPr>
          <w:p w14:paraId="37DF3785">
            <w:pPr>
              <w:jc w:val="center"/>
              <w:rPr>
                <w:strike w:val="0"/>
                <w:dstrike w:val="0"/>
                <w:color w:val="auto"/>
                <w:szCs w:val="21"/>
                <w:highlight w:val="none"/>
              </w:rPr>
            </w:pPr>
            <w:r>
              <w:rPr>
                <w:strike w:val="0"/>
                <w:dstrike w:val="0"/>
                <w:color w:val="auto"/>
                <w:szCs w:val="21"/>
                <w:highlight w:val="none"/>
              </w:rPr>
              <w:t>物质危险性</w:t>
            </w:r>
          </w:p>
        </w:tc>
        <w:tc>
          <w:tcPr>
            <w:tcW w:w="3231" w:type="dxa"/>
            <w:gridSpan w:val="8"/>
            <w:vAlign w:val="center"/>
          </w:tcPr>
          <w:p w14:paraId="7C944794">
            <w:pPr>
              <w:jc w:val="center"/>
              <w:rPr>
                <w:strike w:val="0"/>
                <w:dstrike w:val="0"/>
                <w:color w:val="auto"/>
                <w:szCs w:val="21"/>
                <w:highlight w:val="none"/>
              </w:rPr>
            </w:pPr>
            <w:r>
              <w:rPr>
                <w:strike w:val="0"/>
                <w:dstrike w:val="0"/>
                <w:color w:val="auto"/>
                <w:szCs w:val="21"/>
                <w:highlight w:val="none"/>
              </w:rPr>
              <w:t>有毒有害</w:t>
            </w:r>
            <w:r>
              <w:rPr>
                <w:strike w:val="0"/>
                <w:dstrike w:val="0"/>
                <w:color w:val="auto"/>
                <w:szCs w:val="21"/>
                <w:highlight w:val="none"/>
              </w:rPr>
              <w:sym w:font="Wingdings 2" w:char="00A3"/>
            </w:r>
          </w:p>
        </w:tc>
        <w:tc>
          <w:tcPr>
            <w:tcW w:w="4161" w:type="dxa"/>
            <w:gridSpan w:val="11"/>
            <w:vAlign w:val="center"/>
          </w:tcPr>
          <w:p w14:paraId="7F7E5F2D">
            <w:pPr>
              <w:jc w:val="center"/>
              <w:rPr>
                <w:strike w:val="0"/>
                <w:dstrike w:val="0"/>
                <w:color w:val="auto"/>
                <w:szCs w:val="21"/>
                <w:highlight w:val="none"/>
              </w:rPr>
            </w:pPr>
            <w:r>
              <w:rPr>
                <w:strike w:val="0"/>
                <w:dstrike w:val="0"/>
                <w:color w:val="auto"/>
                <w:szCs w:val="21"/>
                <w:highlight w:val="none"/>
              </w:rPr>
              <w:t>易燃易爆</w:t>
            </w:r>
            <w:r>
              <w:rPr>
                <w:strike w:val="0"/>
                <w:dstrike w:val="0"/>
                <w:color w:val="auto"/>
                <w:szCs w:val="21"/>
                <w:highlight w:val="none"/>
              </w:rPr>
              <w:sym w:font="Wingdings 2" w:char="0052"/>
            </w:r>
          </w:p>
        </w:tc>
      </w:tr>
      <w:tr w14:paraId="535E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20" w:type="dxa"/>
            <w:vMerge w:val="continue"/>
            <w:vAlign w:val="center"/>
          </w:tcPr>
          <w:p w14:paraId="07FF9159">
            <w:pPr>
              <w:jc w:val="center"/>
              <w:rPr>
                <w:strike w:val="0"/>
                <w:dstrike w:val="0"/>
                <w:color w:val="auto"/>
                <w:szCs w:val="21"/>
                <w:highlight w:val="none"/>
              </w:rPr>
            </w:pPr>
          </w:p>
        </w:tc>
        <w:tc>
          <w:tcPr>
            <w:tcW w:w="1211" w:type="dxa"/>
            <w:vAlign w:val="center"/>
          </w:tcPr>
          <w:p w14:paraId="26E87266">
            <w:pPr>
              <w:jc w:val="center"/>
              <w:rPr>
                <w:strike w:val="0"/>
                <w:dstrike w:val="0"/>
                <w:color w:val="auto"/>
                <w:szCs w:val="21"/>
                <w:highlight w:val="none"/>
              </w:rPr>
            </w:pPr>
            <w:r>
              <w:rPr>
                <w:strike w:val="0"/>
                <w:dstrike w:val="0"/>
                <w:color w:val="auto"/>
                <w:szCs w:val="21"/>
                <w:highlight w:val="none"/>
              </w:rPr>
              <w:t>环境风险类型</w:t>
            </w:r>
          </w:p>
        </w:tc>
        <w:tc>
          <w:tcPr>
            <w:tcW w:w="3231" w:type="dxa"/>
            <w:gridSpan w:val="8"/>
            <w:vAlign w:val="center"/>
          </w:tcPr>
          <w:p w14:paraId="3ABEB3F7">
            <w:pPr>
              <w:jc w:val="center"/>
              <w:rPr>
                <w:strike w:val="0"/>
                <w:dstrike w:val="0"/>
                <w:color w:val="auto"/>
                <w:szCs w:val="21"/>
                <w:highlight w:val="none"/>
              </w:rPr>
            </w:pPr>
            <w:r>
              <w:rPr>
                <w:strike w:val="0"/>
                <w:dstrike w:val="0"/>
                <w:color w:val="auto"/>
                <w:szCs w:val="21"/>
                <w:highlight w:val="none"/>
              </w:rPr>
              <w:t>泄漏</w:t>
            </w:r>
            <w:r>
              <w:rPr>
                <w:strike w:val="0"/>
                <w:dstrike w:val="0"/>
                <w:color w:val="auto"/>
                <w:szCs w:val="21"/>
                <w:highlight w:val="none"/>
              </w:rPr>
              <w:sym w:font="Wingdings 2" w:char="0052"/>
            </w:r>
          </w:p>
        </w:tc>
        <w:tc>
          <w:tcPr>
            <w:tcW w:w="4161" w:type="dxa"/>
            <w:gridSpan w:val="11"/>
            <w:vAlign w:val="center"/>
          </w:tcPr>
          <w:p w14:paraId="6AF6B1AF">
            <w:pPr>
              <w:jc w:val="center"/>
              <w:rPr>
                <w:strike w:val="0"/>
                <w:dstrike w:val="0"/>
                <w:color w:val="auto"/>
                <w:szCs w:val="21"/>
                <w:highlight w:val="none"/>
              </w:rPr>
            </w:pPr>
            <w:r>
              <w:rPr>
                <w:strike w:val="0"/>
                <w:dstrike w:val="0"/>
                <w:color w:val="auto"/>
                <w:szCs w:val="21"/>
                <w:highlight w:val="none"/>
              </w:rPr>
              <w:t>火灾、爆炸引发</w:t>
            </w:r>
            <w:r>
              <w:rPr>
                <w:rFonts w:hint="eastAsia"/>
                <w:strike w:val="0"/>
                <w:dstrike w:val="0"/>
                <w:color w:val="auto"/>
                <w:szCs w:val="21"/>
                <w:highlight w:val="none"/>
                <w:lang w:val="en-US" w:eastAsia="zh-CN"/>
              </w:rPr>
              <w:t>伴</w:t>
            </w:r>
            <w:r>
              <w:rPr>
                <w:strike w:val="0"/>
                <w:dstrike w:val="0"/>
                <w:color w:val="auto"/>
                <w:szCs w:val="21"/>
                <w:highlight w:val="none"/>
              </w:rPr>
              <w:t>生/次生污染物排放</w:t>
            </w:r>
            <w:r>
              <w:rPr>
                <w:strike w:val="0"/>
                <w:dstrike w:val="0"/>
                <w:color w:val="auto"/>
                <w:szCs w:val="21"/>
                <w:highlight w:val="none"/>
              </w:rPr>
              <w:sym w:font="Wingdings 2" w:char="0052"/>
            </w:r>
          </w:p>
        </w:tc>
      </w:tr>
      <w:tr w14:paraId="1606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dxa"/>
            <w:vMerge w:val="continue"/>
            <w:vAlign w:val="center"/>
          </w:tcPr>
          <w:p w14:paraId="7C3DF410">
            <w:pPr>
              <w:jc w:val="center"/>
              <w:rPr>
                <w:strike w:val="0"/>
                <w:dstrike w:val="0"/>
                <w:color w:val="auto"/>
                <w:szCs w:val="21"/>
                <w:highlight w:val="none"/>
              </w:rPr>
            </w:pPr>
          </w:p>
        </w:tc>
        <w:tc>
          <w:tcPr>
            <w:tcW w:w="1211" w:type="dxa"/>
            <w:vAlign w:val="center"/>
          </w:tcPr>
          <w:p w14:paraId="65451E03">
            <w:pPr>
              <w:jc w:val="center"/>
              <w:rPr>
                <w:strike w:val="0"/>
                <w:dstrike w:val="0"/>
                <w:color w:val="auto"/>
                <w:szCs w:val="21"/>
                <w:highlight w:val="none"/>
              </w:rPr>
            </w:pPr>
            <w:r>
              <w:rPr>
                <w:strike w:val="0"/>
                <w:dstrike w:val="0"/>
                <w:color w:val="auto"/>
                <w:szCs w:val="21"/>
                <w:highlight w:val="none"/>
              </w:rPr>
              <w:t>影响类型</w:t>
            </w:r>
          </w:p>
        </w:tc>
        <w:tc>
          <w:tcPr>
            <w:tcW w:w="3231" w:type="dxa"/>
            <w:gridSpan w:val="8"/>
            <w:vAlign w:val="center"/>
          </w:tcPr>
          <w:p w14:paraId="26D2B0E3">
            <w:pPr>
              <w:jc w:val="center"/>
              <w:rPr>
                <w:strike w:val="0"/>
                <w:dstrike w:val="0"/>
                <w:color w:val="auto"/>
                <w:szCs w:val="21"/>
                <w:highlight w:val="none"/>
              </w:rPr>
            </w:pPr>
            <w:r>
              <w:rPr>
                <w:strike w:val="0"/>
                <w:dstrike w:val="0"/>
                <w:color w:val="auto"/>
                <w:szCs w:val="21"/>
                <w:highlight w:val="none"/>
              </w:rPr>
              <w:t>大气</w:t>
            </w:r>
            <w:r>
              <w:rPr>
                <w:strike w:val="0"/>
                <w:dstrike w:val="0"/>
                <w:color w:val="auto"/>
                <w:szCs w:val="21"/>
                <w:highlight w:val="none"/>
              </w:rPr>
              <w:sym w:font="Wingdings 2" w:char="0052"/>
            </w:r>
          </w:p>
        </w:tc>
        <w:tc>
          <w:tcPr>
            <w:tcW w:w="1694" w:type="dxa"/>
            <w:gridSpan w:val="5"/>
            <w:vAlign w:val="center"/>
          </w:tcPr>
          <w:p w14:paraId="3D490D42">
            <w:pPr>
              <w:jc w:val="center"/>
              <w:rPr>
                <w:strike w:val="0"/>
                <w:dstrike w:val="0"/>
                <w:color w:val="auto"/>
                <w:szCs w:val="21"/>
                <w:highlight w:val="none"/>
              </w:rPr>
            </w:pPr>
            <w:r>
              <w:rPr>
                <w:strike w:val="0"/>
                <w:dstrike w:val="0"/>
                <w:color w:val="auto"/>
                <w:szCs w:val="21"/>
                <w:highlight w:val="none"/>
              </w:rPr>
              <w:t>地表水</w:t>
            </w:r>
            <w:r>
              <w:rPr>
                <w:strike w:val="0"/>
                <w:dstrike w:val="0"/>
                <w:color w:val="auto"/>
                <w:szCs w:val="21"/>
                <w:highlight w:val="none"/>
              </w:rPr>
              <w:sym w:font="Wingdings 2" w:char="0052"/>
            </w:r>
          </w:p>
        </w:tc>
        <w:tc>
          <w:tcPr>
            <w:tcW w:w="2467" w:type="dxa"/>
            <w:gridSpan w:val="6"/>
            <w:vAlign w:val="center"/>
          </w:tcPr>
          <w:p w14:paraId="2D367E9D">
            <w:pPr>
              <w:jc w:val="center"/>
              <w:rPr>
                <w:strike w:val="0"/>
                <w:dstrike w:val="0"/>
                <w:color w:val="auto"/>
                <w:szCs w:val="21"/>
                <w:highlight w:val="none"/>
              </w:rPr>
            </w:pPr>
            <w:r>
              <w:rPr>
                <w:strike w:val="0"/>
                <w:dstrike w:val="0"/>
                <w:color w:val="auto"/>
                <w:szCs w:val="21"/>
                <w:highlight w:val="none"/>
              </w:rPr>
              <w:t>地下水</w:t>
            </w:r>
            <w:r>
              <w:rPr>
                <w:strike w:val="0"/>
                <w:dstrike w:val="0"/>
                <w:color w:val="auto"/>
                <w:szCs w:val="21"/>
                <w:highlight w:val="none"/>
              </w:rPr>
              <w:sym w:font="Wingdings 2" w:char="0052"/>
            </w:r>
          </w:p>
        </w:tc>
      </w:tr>
      <w:tr w14:paraId="2E4A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31" w:type="dxa"/>
            <w:gridSpan w:val="2"/>
            <w:vAlign w:val="center"/>
          </w:tcPr>
          <w:p w14:paraId="71F300D5">
            <w:pPr>
              <w:jc w:val="center"/>
              <w:rPr>
                <w:strike w:val="0"/>
                <w:dstrike w:val="0"/>
                <w:color w:val="auto"/>
                <w:szCs w:val="21"/>
                <w:highlight w:val="none"/>
              </w:rPr>
            </w:pPr>
            <w:r>
              <w:rPr>
                <w:strike w:val="0"/>
                <w:dstrike w:val="0"/>
                <w:color w:val="auto"/>
                <w:szCs w:val="21"/>
                <w:highlight w:val="none"/>
              </w:rPr>
              <w:t>事故情形分析</w:t>
            </w:r>
          </w:p>
        </w:tc>
        <w:tc>
          <w:tcPr>
            <w:tcW w:w="1673" w:type="dxa"/>
            <w:gridSpan w:val="3"/>
            <w:vAlign w:val="center"/>
          </w:tcPr>
          <w:p w14:paraId="4BFE4A73">
            <w:pPr>
              <w:jc w:val="center"/>
              <w:rPr>
                <w:strike w:val="0"/>
                <w:dstrike w:val="0"/>
                <w:color w:val="auto"/>
                <w:szCs w:val="21"/>
                <w:highlight w:val="none"/>
              </w:rPr>
            </w:pPr>
            <w:r>
              <w:rPr>
                <w:strike w:val="0"/>
                <w:dstrike w:val="0"/>
                <w:color w:val="auto"/>
                <w:szCs w:val="21"/>
                <w:highlight w:val="none"/>
              </w:rPr>
              <w:t>源强设定方法</w:t>
            </w:r>
          </w:p>
        </w:tc>
        <w:tc>
          <w:tcPr>
            <w:tcW w:w="1558" w:type="dxa"/>
            <w:gridSpan w:val="5"/>
            <w:vAlign w:val="center"/>
          </w:tcPr>
          <w:p w14:paraId="11ED8235">
            <w:pPr>
              <w:jc w:val="center"/>
              <w:rPr>
                <w:strike w:val="0"/>
                <w:dstrike w:val="0"/>
                <w:color w:val="auto"/>
                <w:szCs w:val="21"/>
                <w:highlight w:val="none"/>
              </w:rPr>
            </w:pPr>
            <w:r>
              <w:rPr>
                <w:strike w:val="0"/>
                <w:dstrike w:val="0"/>
                <w:color w:val="auto"/>
                <w:szCs w:val="21"/>
                <w:highlight w:val="none"/>
              </w:rPr>
              <w:t>计算法</w:t>
            </w:r>
            <w:r>
              <w:rPr>
                <w:strike w:val="0"/>
                <w:dstrike w:val="0"/>
                <w:color w:val="auto"/>
                <w:szCs w:val="21"/>
                <w:highlight w:val="none"/>
              </w:rPr>
              <w:sym w:font="Wingdings 2" w:char="00A3"/>
            </w:r>
          </w:p>
        </w:tc>
        <w:tc>
          <w:tcPr>
            <w:tcW w:w="1694" w:type="dxa"/>
            <w:gridSpan w:val="5"/>
            <w:vAlign w:val="center"/>
          </w:tcPr>
          <w:p w14:paraId="7F6E312F">
            <w:pPr>
              <w:jc w:val="center"/>
              <w:rPr>
                <w:strike w:val="0"/>
                <w:dstrike w:val="0"/>
                <w:color w:val="auto"/>
                <w:szCs w:val="21"/>
                <w:highlight w:val="none"/>
              </w:rPr>
            </w:pPr>
            <w:r>
              <w:rPr>
                <w:strike w:val="0"/>
                <w:dstrike w:val="0"/>
                <w:color w:val="auto"/>
                <w:szCs w:val="21"/>
                <w:highlight w:val="none"/>
              </w:rPr>
              <w:t>禁言估算法</w:t>
            </w:r>
            <w:r>
              <w:rPr>
                <w:strike w:val="0"/>
                <w:dstrike w:val="0"/>
                <w:color w:val="auto"/>
                <w:szCs w:val="21"/>
                <w:highlight w:val="none"/>
              </w:rPr>
              <w:sym w:font="Wingdings 2" w:char="00A3"/>
            </w:r>
          </w:p>
        </w:tc>
        <w:tc>
          <w:tcPr>
            <w:tcW w:w="2467" w:type="dxa"/>
            <w:gridSpan w:val="6"/>
            <w:vAlign w:val="center"/>
          </w:tcPr>
          <w:p w14:paraId="3CF728C8">
            <w:pPr>
              <w:jc w:val="center"/>
              <w:rPr>
                <w:strike w:val="0"/>
                <w:dstrike w:val="0"/>
                <w:color w:val="auto"/>
                <w:szCs w:val="21"/>
                <w:highlight w:val="none"/>
              </w:rPr>
            </w:pPr>
            <w:r>
              <w:rPr>
                <w:strike w:val="0"/>
                <w:dstrike w:val="0"/>
                <w:color w:val="auto"/>
                <w:szCs w:val="21"/>
                <w:highlight w:val="none"/>
              </w:rPr>
              <w:t>其他计算法</w:t>
            </w:r>
            <w:r>
              <w:rPr>
                <w:strike w:val="0"/>
                <w:dstrike w:val="0"/>
                <w:color w:val="auto"/>
                <w:szCs w:val="21"/>
                <w:highlight w:val="none"/>
              </w:rPr>
              <w:sym w:font="Wingdings 2" w:char="00A3"/>
            </w:r>
          </w:p>
        </w:tc>
      </w:tr>
      <w:tr w14:paraId="2D94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restart"/>
            <w:vAlign w:val="center"/>
          </w:tcPr>
          <w:p w14:paraId="0C4F6F71">
            <w:pPr>
              <w:jc w:val="center"/>
              <w:rPr>
                <w:strike w:val="0"/>
                <w:dstrike w:val="0"/>
                <w:color w:val="auto"/>
                <w:szCs w:val="21"/>
                <w:highlight w:val="none"/>
              </w:rPr>
            </w:pPr>
            <w:r>
              <w:rPr>
                <w:strike w:val="0"/>
                <w:dstrike w:val="0"/>
                <w:color w:val="auto"/>
                <w:szCs w:val="21"/>
                <w:highlight w:val="none"/>
              </w:rPr>
              <w:t>分线预测与评价</w:t>
            </w:r>
          </w:p>
        </w:tc>
        <w:tc>
          <w:tcPr>
            <w:tcW w:w="1211" w:type="dxa"/>
            <w:vMerge w:val="restart"/>
            <w:vAlign w:val="center"/>
          </w:tcPr>
          <w:p w14:paraId="15D6DB95">
            <w:pPr>
              <w:jc w:val="center"/>
              <w:rPr>
                <w:strike w:val="0"/>
                <w:dstrike w:val="0"/>
                <w:color w:val="auto"/>
                <w:szCs w:val="21"/>
                <w:highlight w:val="none"/>
              </w:rPr>
            </w:pPr>
            <w:r>
              <w:rPr>
                <w:strike w:val="0"/>
                <w:dstrike w:val="0"/>
                <w:color w:val="auto"/>
                <w:szCs w:val="21"/>
                <w:highlight w:val="none"/>
              </w:rPr>
              <w:t>大气</w:t>
            </w:r>
          </w:p>
        </w:tc>
        <w:tc>
          <w:tcPr>
            <w:tcW w:w="1673" w:type="dxa"/>
            <w:gridSpan w:val="3"/>
            <w:vAlign w:val="center"/>
          </w:tcPr>
          <w:p w14:paraId="2A9B15BD">
            <w:pPr>
              <w:jc w:val="center"/>
              <w:rPr>
                <w:strike w:val="0"/>
                <w:dstrike w:val="0"/>
                <w:color w:val="auto"/>
                <w:szCs w:val="21"/>
                <w:highlight w:val="none"/>
              </w:rPr>
            </w:pPr>
            <w:r>
              <w:rPr>
                <w:strike w:val="0"/>
                <w:dstrike w:val="0"/>
                <w:color w:val="auto"/>
                <w:szCs w:val="21"/>
                <w:highlight w:val="none"/>
              </w:rPr>
              <w:t>预测模型</w:t>
            </w:r>
          </w:p>
        </w:tc>
        <w:tc>
          <w:tcPr>
            <w:tcW w:w="1558" w:type="dxa"/>
            <w:gridSpan w:val="5"/>
            <w:vAlign w:val="center"/>
          </w:tcPr>
          <w:p w14:paraId="262DDB33">
            <w:pPr>
              <w:jc w:val="center"/>
              <w:rPr>
                <w:strike w:val="0"/>
                <w:dstrike w:val="0"/>
                <w:color w:val="auto"/>
                <w:szCs w:val="21"/>
                <w:highlight w:val="none"/>
              </w:rPr>
            </w:pPr>
            <w:r>
              <w:rPr>
                <w:strike w:val="0"/>
                <w:dstrike w:val="0"/>
                <w:color w:val="auto"/>
                <w:szCs w:val="21"/>
                <w:highlight w:val="none"/>
              </w:rPr>
              <w:t>SLAB</w:t>
            </w:r>
            <w:r>
              <w:rPr>
                <w:strike w:val="0"/>
                <w:dstrike w:val="0"/>
                <w:color w:val="auto"/>
                <w:szCs w:val="21"/>
                <w:highlight w:val="none"/>
              </w:rPr>
              <w:sym w:font="Wingdings 2" w:char="00A3"/>
            </w:r>
          </w:p>
        </w:tc>
        <w:tc>
          <w:tcPr>
            <w:tcW w:w="1694" w:type="dxa"/>
            <w:gridSpan w:val="5"/>
            <w:vAlign w:val="center"/>
          </w:tcPr>
          <w:p w14:paraId="0721FB8A">
            <w:pPr>
              <w:jc w:val="center"/>
              <w:rPr>
                <w:strike w:val="0"/>
                <w:dstrike w:val="0"/>
                <w:color w:val="auto"/>
                <w:szCs w:val="21"/>
                <w:highlight w:val="none"/>
              </w:rPr>
            </w:pPr>
            <w:r>
              <w:rPr>
                <w:strike w:val="0"/>
                <w:dstrike w:val="0"/>
                <w:color w:val="auto"/>
                <w:szCs w:val="21"/>
                <w:highlight w:val="none"/>
              </w:rPr>
              <w:t>AFTOX</w:t>
            </w:r>
            <w:r>
              <w:rPr>
                <w:strike w:val="0"/>
                <w:dstrike w:val="0"/>
                <w:color w:val="auto"/>
                <w:szCs w:val="21"/>
                <w:highlight w:val="none"/>
              </w:rPr>
              <w:sym w:font="Wingdings 2" w:char="00A3"/>
            </w:r>
          </w:p>
        </w:tc>
        <w:tc>
          <w:tcPr>
            <w:tcW w:w="2467" w:type="dxa"/>
            <w:gridSpan w:val="6"/>
            <w:vAlign w:val="center"/>
          </w:tcPr>
          <w:p w14:paraId="408CD13F">
            <w:pPr>
              <w:jc w:val="center"/>
              <w:rPr>
                <w:strike w:val="0"/>
                <w:dstrike w:val="0"/>
                <w:color w:val="auto"/>
                <w:szCs w:val="21"/>
                <w:highlight w:val="none"/>
              </w:rPr>
            </w:pPr>
            <w:r>
              <w:rPr>
                <w:strike w:val="0"/>
                <w:dstrike w:val="0"/>
                <w:color w:val="auto"/>
                <w:szCs w:val="21"/>
                <w:highlight w:val="none"/>
              </w:rPr>
              <w:t>其他</w:t>
            </w:r>
            <w:r>
              <w:rPr>
                <w:strike w:val="0"/>
                <w:dstrike w:val="0"/>
                <w:color w:val="auto"/>
                <w:szCs w:val="21"/>
                <w:highlight w:val="none"/>
              </w:rPr>
              <w:sym w:font="Wingdings 2" w:char="00A3"/>
            </w:r>
          </w:p>
        </w:tc>
      </w:tr>
      <w:tr w14:paraId="5CCF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752488F3">
            <w:pPr>
              <w:jc w:val="center"/>
              <w:rPr>
                <w:strike w:val="0"/>
                <w:dstrike w:val="0"/>
                <w:color w:val="auto"/>
                <w:szCs w:val="21"/>
                <w:highlight w:val="none"/>
              </w:rPr>
            </w:pPr>
          </w:p>
        </w:tc>
        <w:tc>
          <w:tcPr>
            <w:tcW w:w="1211" w:type="dxa"/>
            <w:vMerge w:val="continue"/>
            <w:vAlign w:val="center"/>
          </w:tcPr>
          <w:p w14:paraId="1CB7905B">
            <w:pPr>
              <w:jc w:val="center"/>
              <w:rPr>
                <w:strike w:val="0"/>
                <w:dstrike w:val="0"/>
                <w:color w:val="auto"/>
                <w:szCs w:val="21"/>
                <w:highlight w:val="none"/>
              </w:rPr>
            </w:pPr>
          </w:p>
        </w:tc>
        <w:tc>
          <w:tcPr>
            <w:tcW w:w="1673" w:type="dxa"/>
            <w:gridSpan w:val="3"/>
            <w:vMerge w:val="restart"/>
            <w:vAlign w:val="center"/>
          </w:tcPr>
          <w:p w14:paraId="1A9EB89B">
            <w:pPr>
              <w:jc w:val="center"/>
              <w:rPr>
                <w:strike w:val="0"/>
                <w:dstrike w:val="0"/>
                <w:color w:val="auto"/>
                <w:szCs w:val="21"/>
                <w:highlight w:val="none"/>
              </w:rPr>
            </w:pPr>
            <w:r>
              <w:rPr>
                <w:strike w:val="0"/>
                <w:dstrike w:val="0"/>
                <w:color w:val="auto"/>
                <w:szCs w:val="21"/>
                <w:highlight w:val="none"/>
              </w:rPr>
              <w:t>预测结果</w:t>
            </w:r>
          </w:p>
        </w:tc>
        <w:tc>
          <w:tcPr>
            <w:tcW w:w="5719" w:type="dxa"/>
            <w:gridSpan w:val="16"/>
            <w:vAlign w:val="center"/>
          </w:tcPr>
          <w:p w14:paraId="28C2CED4">
            <w:pPr>
              <w:jc w:val="center"/>
              <w:rPr>
                <w:strike w:val="0"/>
                <w:dstrike w:val="0"/>
                <w:color w:val="auto"/>
                <w:szCs w:val="21"/>
                <w:highlight w:val="none"/>
              </w:rPr>
            </w:pPr>
            <w:r>
              <w:rPr>
                <w:strike w:val="0"/>
                <w:dstrike w:val="0"/>
                <w:color w:val="auto"/>
                <w:szCs w:val="21"/>
                <w:highlight w:val="none"/>
              </w:rPr>
              <w:t xml:space="preserve">大气毒性终点浓度-1 最大影响范围 m </w:t>
            </w:r>
          </w:p>
        </w:tc>
      </w:tr>
      <w:tr w14:paraId="7C45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748BBE2B">
            <w:pPr>
              <w:jc w:val="center"/>
              <w:rPr>
                <w:strike w:val="0"/>
                <w:dstrike w:val="0"/>
                <w:color w:val="auto"/>
                <w:szCs w:val="21"/>
                <w:highlight w:val="none"/>
              </w:rPr>
            </w:pPr>
          </w:p>
        </w:tc>
        <w:tc>
          <w:tcPr>
            <w:tcW w:w="1211" w:type="dxa"/>
            <w:vMerge w:val="continue"/>
            <w:vAlign w:val="center"/>
          </w:tcPr>
          <w:p w14:paraId="7CD481B7">
            <w:pPr>
              <w:jc w:val="center"/>
              <w:rPr>
                <w:strike w:val="0"/>
                <w:dstrike w:val="0"/>
                <w:color w:val="auto"/>
                <w:szCs w:val="21"/>
                <w:highlight w:val="none"/>
              </w:rPr>
            </w:pPr>
          </w:p>
        </w:tc>
        <w:tc>
          <w:tcPr>
            <w:tcW w:w="1673" w:type="dxa"/>
            <w:gridSpan w:val="3"/>
            <w:vMerge w:val="continue"/>
            <w:vAlign w:val="center"/>
          </w:tcPr>
          <w:p w14:paraId="1BDBE3DD">
            <w:pPr>
              <w:jc w:val="center"/>
              <w:rPr>
                <w:strike w:val="0"/>
                <w:dstrike w:val="0"/>
                <w:color w:val="auto"/>
                <w:szCs w:val="21"/>
                <w:highlight w:val="none"/>
              </w:rPr>
            </w:pPr>
          </w:p>
        </w:tc>
        <w:tc>
          <w:tcPr>
            <w:tcW w:w="5719" w:type="dxa"/>
            <w:gridSpan w:val="16"/>
            <w:vAlign w:val="center"/>
          </w:tcPr>
          <w:p w14:paraId="2BEE0F8F">
            <w:pPr>
              <w:jc w:val="center"/>
              <w:rPr>
                <w:strike w:val="0"/>
                <w:dstrike w:val="0"/>
                <w:color w:val="auto"/>
                <w:szCs w:val="21"/>
                <w:highlight w:val="none"/>
              </w:rPr>
            </w:pPr>
            <w:r>
              <w:rPr>
                <w:strike w:val="0"/>
                <w:dstrike w:val="0"/>
                <w:color w:val="auto"/>
                <w:szCs w:val="21"/>
                <w:highlight w:val="none"/>
              </w:rPr>
              <w:t>大气毒性终点浓度-2 最大影响范围 m</w:t>
            </w:r>
          </w:p>
        </w:tc>
      </w:tr>
      <w:tr w14:paraId="5615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3A2EC3F2">
            <w:pPr>
              <w:jc w:val="center"/>
              <w:rPr>
                <w:strike w:val="0"/>
                <w:dstrike w:val="0"/>
                <w:color w:val="auto"/>
                <w:szCs w:val="21"/>
                <w:highlight w:val="none"/>
              </w:rPr>
            </w:pPr>
          </w:p>
        </w:tc>
        <w:tc>
          <w:tcPr>
            <w:tcW w:w="1211" w:type="dxa"/>
            <w:vAlign w:val="center"/>
          </w:tcPr>
          <w:p w14:paraId="30FD4CA1">
            <w:pPr>
              <w:jc w:val="center"/>
              <w:rPr>
                <w:strike w:val="0"/>
                <w:dstrike w:val="0"/>
                <w:color w:val="auto"/>
                <w:szCs w:val="21"/>
                <w:highlight w:val="none"/>
              </w:rPr>
            </w:pPr>
            <w:r>
              <w:rPr>
                <w:strike w:val="0"/>
                <w:dstrike w:val="0"/>
                <w:color w:val="auto"/>
                <w:szCs w:val="21"/>
                <w:highlight w:val="none"/>
              </w:rPr>
              <w:t>地表水</w:t>
            </w:r>
          </w:p>
        </w:tc>
        <w:tc>
          <w:tcPr>
            <w:tcW w:w="7392" w:type="dxa"/>
            <w:gridSpan w:val="19"/>
            <w:vAlign w:val="center"/>
          </w:tcPr>
          <w:p w14:paraId="5B3B8EB4">
            <w:pPr>
              <w:jc w:val="center"/>
              <w:rPr>
                <w:strike w:val="0"/>
                <w:dstrike w:val="0"/>
                <w:color w:val="auto"/>
                <w:szCs w:val="21"/>
                <w:highlight w:val="none"/>
              </w:rPr>
            </w:pPr>
            <w:r>
              <w:rPr>
                <w:strike w:val="0"/>
                <w:dstrike w:val="0"/>
                <w:color w:val="auto"/>
                <w:szCs w:val="21"/>
                <w:highlight w:val="none"/>
              </w:rPr>
              <w:t>最近环境敏感目标 ，到达时间 h</w:t>
            </w:r>
          </w:p>
        </w:tc>
      </w:tr>
      <w:tr w14:paraId="111C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20" w:type="dxa"/>
            <w:vMerge w:val="continue"/>
            <w:vAlign w:val="center"/>
          </w:tcPr>
          <w:p w14:paraId="1122655C">
            <w:pPr>
              <w:jc w:val="center"/>
              <w:rPr>
                <w:strike w:val="0"/>
                <w:dstrike w:val="0"/>
                <w:color w:val="auto"/>
                <w:szCs w:val="21"/>
                <w:highlight w:val="none"/>
              </w:rPr>
            </w:pPr>
          </w:p>
        </w:tc>
        <w:tc>
          <w:tcPr>
            <w:tcW w:w="1211" w:type="dxa"/>
            <w:vMerge w:val="restart"/>
            <w:vAlign w:val="center"/>
          </w:tcPr>
          <w:p w14:paraId="560E4D2E">
            <w:pPr>
              <w:jc w:val="center"/>
              <w:rPr>
                <w:strike w:val="0"/>
                <w:dstrike w:val="0"/>
                <w:color w:val="auto"/>
                <w:szCs w:val="21"/>
                <w:highlight w:val="none"/>
              </w:rPr>
            </w:pPr>
            <w:r>
              <w:rPr>
                <w:strike w:val="0"/>
                <w:dstrike w:val="0"/>
                <w:color w:val="auto"/>
                <w:szCs w:val="21"/>
                <w:highlight w:val="none"/>
              </w:rPr>
              <w:t>地下水</w:t>
            </w:r>
          </w:p>
        </w:tc>
        <w:tc>
          <w:tcPr>
            <w:tcW w:w="7392" w:type="dxa"/>
            <w:gridSpan w:val="19"/>
            <w:vAlign w:val="center"/>
          </w:tcPr>
          <w:p w14:paraId="24018CFF">
            <w:pPr>
              <w:jc w:val="center"/>
              <w:rPr>
                <w:strike w:val="0"/>
                <w:dstrike w:val="0"/>
                <w:color w:val="auto"/>
                <w:szCs w:val="21"/>
                <w:highlight w:val="none"/>
              </w:rPr>
            </w:pPr>
            <w:r>
              <w:rPr>
                <w:strike w:val="0"/>
                <w:dstrike w:val="0"/>
                <w:color w:val="auto"/>
                <w:szCs w:val="21"/>
                <w:highlight w:val="none"/>
              </w:rPr>
              <w:t>下游厂区边界到达时间 d</w:t>
            </w:r>
          </w:p>
        </w:tc>
      </w:tr>
      <w:tr w14:paraId="7955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20" w:type="dxa"/>
            <w:vMerge w:val="continue"/>
            <w:vAlign w:val="center"/>
          </w:tcPr>
          <w:p w14:paraId="15C3E142">
            <w:pPr>
              <w:jc w:val="center"/>
              <w:rPr>
                <w:strike w:val="0"/>
                <w:dstrike w:val="0"/>
                <w:color w:val="auto"/>
                <w:szCs w:val="21"/>
                <w:highlight w:val="none"/>
              </w:rPr>
            </w:pPr>
          </w:p>
        </w:tc>
        <w:tc>
          <w:tcPr>
            <w:tcW w:w="1211" w:type="dxa"/>
            <w:vMerge w:val="continue"/>
            <w:vAlign w:val="center"/>
          </w:tcPr>
          <w:p w14:paraId="4ED45B6B">
            <w:pPr>
              <w:jc w:val="center"/>
              <w:rPr>
                <w:strike w:val="0"/>
                <w:dstrike w:val="0"/>
                <w:color w:val="auto"/>
                <w:szCs w:val="21"/>
                <w:highlight w:val="none"/>
              </w:rPr>
            </w:pPr>
          </w:p>
        </w:tc>
        <w:tc>
          <w:tcPr>
            <w:tcW w:w="7392" w:type="dxa"/>
            <w:gridSpan w:val="19"/>
            <w:vAlign w:val="center"/>
          </w:tcPr>
          <w:p w14:paraId="45714BF0">
            <w:pPr>
              <w:jc w:val="center"/>
              <w:rPr>
                <w:strike w:val="0"/>
                <w:dstrike w:val="0"/>
                <w:color w:val="auto"/>
                <w:szCs w:val="21"/>
                <w:highlight w:val="none"/>
              </w:rPr>
            </w:pPr>
            <w:r>
              <w:rPr>
                <w:strike w:val="0"/>
                <w:dstrike w:val="0"/>
                <w:color w:val="auto"/>
                <w:szCs w:val="21"/>
                <w:highlight w:val="none"/>
              </w:rPr>
              <w:t>最近环境敏感目标 ，到达时间 d</w:t>
            </w:r>
          </w:p>
        </w:tc>
      </w:tr>
      <w:tr w14:paraId="0993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1731" w:type="dxa"/>
            <w:gridSpan w:val="2"/>
            <w:vAlign w:val="center"/>
          </w:tcPr>
          <w:p w14:paraId="6C2BF95C">
            <w:pPr>
              <w:jc w:val="center"/>
              <w:rPr>
                <w:strike w:val="0"/>
                <w:dstrike w:val="0"/>
                <w:color w:val="auto"/>
                <w:szCs w:val="21"/>
                <w:highlight w:val="none"/>
              </w:rPr>
            </w:pPr>
            <w:r>
              <w:rPr>
                <w:strike w:val="0"/>
                <w:dstrike w:val="0"/>
                <w:color w:val="auto"/>
                <w:szCs w:val="21"/>
                <w:highlight w:val="none"/>
              </w:rPr>
              <w:t>重点风险防范措施</w:t>
            </w:r>
          </w:p>
        </w:tc>
        <w:tc>
          <w:tcPr>
            <w:tcW w:w="7392" w:type="dxa"/>
            <w:gridSpan w:val="19"/>
            <w:shd w:val="clear" w:color="auto" w:fill="auto"/>
            <w:vAlign w:val="center"/>
          </w:tcPr>
          <w:p w14:paraId="71990FB1">
            <w:pPr>
              <w:jc w:val="left"/>
              <w:rPr>
                <w:strike w:val="0"/>
                <w:dstrike w:val="0"/>
                <w:color w:val="auto"/>
                <w:szCs w:val="21"/>
                <w:highlight w:val="none"/>
              </w:rPr>
            </w:pPr>
            <w:r>
              <w:rPr>
                <w:strike w:val="0"/>
                <w:dstrike w:val="0"/>
                <w:color w:val="auto"/>
                <w:szCs w:val="21"/>
                <w:highlight w:val="none"/>
              </w:rPr>
              <w:t>①站内配备有灭火毯、灭火沙子、手提式干粉灭火器、消防砂池和移动式水泵等，卸油区、加油区地面设置截流沟导流至隔油池。</w:t>
            </w:r>
          </w:p>
          <w:p w14:paraId="5A0C823E">
            <w:pPr>
              <w:jc w:val="left"/>
              <w:rPr>
                <w:strike w:val="0"/>
                <w:dstrike w:val="0"/>
                <w:color w:val="auto"/>
                <w:szCs w:val="21"/>
                <w:highlight w:val="none"/>
              </w:rPr>
            </w:pPr>
            <w:r>
              <w:rPr>
                <w:strike w:val="0"/>
                <w:dstrike w:val="0"/>
                <w:color w:val="auto"/>
                <w:szCs w:val="21"/>
                <w:highlight w:val="none"/>
              </w:rPr>
              <w:t>②油罐采用双层油罐，埋地设置，并设置防渗罐池，其机构设计应符合《汽车加油加气加氢站技术标准》（</w:t>
            </w:r>
            <w:r>
              <w:rPr>
                <w:rFonts w:eastAsia="TimesNewRomanPSMT"/>
                <w:strike w:val="0"/>
                <w:dstrike w:val="0"/>
                <w:color w:val="auto"/>
                <w:szCs w:val="21"/>
                <w:highlight w:val="none"/>
              </w:rPr>
              <w:t>GB50156-2021</w:t>
            </w:r>
            <w:r>
              <w:rPr>
                <w:strike w:val="0"/>
                <w:dstrike w:val="0"/>
                <w:color w:val="auto"/>
                <w:szCs w:val="21"/>
                <w:highlight w:val="none"/>
              </w:rPr>
              <w:t>）中相关规定。油罐的液位自动监测系统，应具有油罐渗漏的监测功能和高液位报警功能。油罐底部设置漏油监测装置。储罐下方的地面做防渗处理。加油机底部设接油盘。</w:t>
            </w:r>
          </w:p>
          <w:p w14:paraId="089F7E91">
            <w:pPr>
              <w:jc w:val="left"/>
              <w:rPr>
                <w:strike w:val="0"/>
                <w:dstrike w:val="0"/>
                <w:color w:val="auto"/>
                <w:szCs w:val="21"/>
                <w:highlight w:val="none"/>
              </w:rPr>
            </w:pPr>
            <w:r>
              <w:rPr>
                <w:bCs/>
                <w:strike w:val="0"/>
                <w:dstrike w:val="0"/>
                <w:color w:val="auto"/>
                <w:szCs w:val="21"/>
                <w:highlight w:val="none"/>
              </w:rPr>
              <w:fldChar w:fldCharType="begin"/>
            </w:r>
            <w:r>
              <w:rPr>
                <w:bCs/>
                <w:strike w:val="0"/>
                <w:dstrike w:val="0"/>
                <w:color w:val="auto"/>
                <w:szCs w:val="21"/>
                <w:highlight w:val="none"/>
              </w:rPr>
              <w:instrText xml:space="preserve"> = 3 \* GB3 \* MERGEFORMAT </w:instrText>
            </w:r>
            <w:r>
              <w:rPr>
                <w:bCs/>
                <w:strike w:val="0"/>
                <w:dstrike w:val="0"/>
                <w:color w:val="auto"/>
                <w:szCs w:val="21"/>
                <w:highlight w:val="none"/>
              </w:rPr>
              <w:fldChar w:fldCharType="separate"/>
            </w:r>
            <w:r>
              <w:rPr>
                <w:strike w:val="0"/>
                <w:dstrike w:val="0"/>
                <w:color w:val="auto"/>
                <w:szCs w:val="21"/>
                <w:highlight w:val="none"/>
              </w:rPr>
              <w:t>③</w:t>
            </w:r>
            <w:r>
              <w:rPr>
                <w:bCs/>
                <w:strike w:val="0"/>
                <w:dstrike w:val="0"/>
                <w:color w:val="auto"/>
                <w:szCs w:val="21"/>
                <w:highlight w:val="none"/>
              </w:rPr>
              <w:fldChar w:fldCharType="end"/>
            </w:r>
            <w:r>
              <w:rPr>
                <w:strike w:val="0"/>
                <w:dstrike w:val="0"/>
                <w:color w:val="auto"/>
                <w:szCs w:val="21"/>
                <w:highlight w:val="none"/>
              </w:rPr>
              <w:t>储气罐采用LNG卧式撬装储罐，内罐与外罐之间应设绝热层，绝热层应与LNG和天然气相适应，并应为不燃材料。外罐外部着火时，绝热层的绝热性能不应明显降低。LNG橇装设备的主箱体内侧应设拦蓄池，拦蓄池内的有效容量不应小于LNG储罐的容量。其机构设计应符合《汽车加油加气加氢站技术标准》（</w:t>
            </w:r>
            <w:r>
              <w:rPr>
                <w:rFonts w:eastAsia="TimesNewRomanPSMT"/>
                <w:strike w:val="0"/>
                <w:dstrike w:val="0"/>
                <w:color w:val="auto"/>
                <w:szCs w:val="21"/>
                <w:highlight w:val="none"/>
              </w:rPr>
              <w:t>GB50156-2021</w:t>
            </w:r>
            <w:r>
              <w:rPr>
                <w:strike w:val="0"/>
                <w:dstrike w:val="0"/>
                <w:color w:val="auto"/>
                <w:szCs w:val="21"/>
                <w:highlight w:val="none"/>
              </w:rPr>
              <w:t>）中相关规定。LNG储罐应设置液位计和高液位报警器，高液位报警器应与进液管道紧急切断阀联锁；LNG储罐最高液位以上部位应设置压力表；在内罐与外罐之间应设置检测环形空间绝对压力的仪器或检测接口；液位计、压力表应能就地指示，并应将检测信号传送至控制室集中显示。</w:t>
            </w:r>
          </w:p>
          <w:p w14:paraId="0FEA674C">
            <w:pPr>
              <w:jc w:val="left"/>
              <w:rPr>
                <w:bCs/>
                <w:strike w:val="0"/>
                <w:dstrike w:val="0"/>
                <w:color w:val="auto"/>
                <w:szCs w:val="21"/>
                <w:highlight w:val="none"/>
              </w:rPr>
            </w:pPr>
            <w:r>
              <w:rPr>
                <w:bCs/>
                <w:strike w:val="0"/>
                <w:dstrike w:val="0"/>
                <w:color w:val="auto"/>
                <w:szCs w:val="21"/>
                <w:highlight w:val="none"/>
              </w:rPr>
              <w:fldChar w:fldCharType="begin"/>
            </w:r>
            <w:r>
              <w:rPr>
                <w:bCs/>
                <w:strike w:val="0"/>
                <w:dstrike w:val="0"/>
                <w:color w:val="auto"/>
                <w:szCs w:val="21"/>
                <w:highlight w:val="none"/>
              </w:rPr>
              <w:instrText xml:space="preserve"> = 4 \* GB3 \* MERGEFORMAT </w:instrText>
            </w:r>
            <w:r>
              <w:rPr>
                <w:bCs/>
                <w:strike w:val="0"/>
                <w:dstrike w:val="0"/>
                <w:color w:val="auto"/>
                <w:szCs w:val="21"/>
                <w:highlight w:val="none"/>
              </w:rPr>
              <w:fldChar w:fldCharType="separate"/>
            </w:r>
            <w:r>
              <w:rPr>
                <w:strike w:val="0"/>
                <w:dstrike w:val="0"/>
                <w:color w:val="auto"/>
                <w:szCs w:val="21"/>
                <w:highlight w:val="none"/>
              </w:rPr>
              <w:t>④</w:t>
            </w:r>
            <w:r>
              <w:rPr>
                <w:bCs/>
                <w:strike w:val="0"/>
                <w:dstrike w:val="0"/>
                <w:color w:val="auto"/>
                <w:szCs w:val="21"/>
                <w:highlight w:val="none"/>
              </w:rPr>
              <w:fldChar w:fldCharType="end"/>
            </w:r>
            <w:r>
              <w:rPr>
                <w:strike w:val="0"/>
                <w:dstrike w:val="0"/>
                <w:color w:val="auto"/>
                <w:szCs w:val="21"/>
                <w:highlight w:val="none"/>
              </w:rPr>
              <w:t>卸油区、加油区周围设置截流沟，站区储备大量防水沙袋，当发生事故时，能有效拦截事故废水进入雨水管网，同时为防止未拦截到的事故废水进入雨水管网后直接排入市政雨水管网，项目在雨水井</w:t>
            </w:r>
            <w:r>
              <w:rPr>
                <w:rFonts w:hint="eastAsia"/>
                <w:strike w:val="0"/>
                <w:dstrike w:val="0"/>
                <w:color w:val="auto"/>
                <w:szCs w:val="21"/>
                <w:highlight w:val="none"/>
              </w:rPr>
              <w:t>（</w:t>
            </w:r>
            <w:r>
              <w:rPr>
                <w:rFonts w:hint="eastAsia"/>
                <w:strike w:val="0"/>
                <w:dstrike w:val="0"/>
                <w:color w:val="auto"/>
                <w:szCs w:val="21"/>
                <w:highlight w:val="none"/>
                <w:lang w:eastAsia="zh-CN"/>
              </w:rPr>
              <w:t>Y1、Y2</w:t>
            </w:r>
            <w:r>
              <w:rPr>
                <w:rFonts w:hint="eastAsia"/>
                <w:strike w:val="0"/>
                <w:dstrike w:val="0"/>
                <w:color w:val="auto"/>
                <w:szCs w:val="21"/>
                <w:highlight w:val="none"/>
              </w:rPr>
              <w:t>）</w:t>
            </w:r>
            <w:r>
              <w:rPr>
                <w:strike w:val="0"/>
                <w:dstrike w:val="0"/>
                <w:color w:val="auto"/>
                <w:szCs w:val="21"/>
                <w:highlight w:val="none"/>
              </w:rPr>
              <w:t>设置切换阀，</w:t>
            </w:r>
            <w:r>
              <w:rPr>
                <w:rFonts w:hint="eastAsia"/>
                <w:strike w:val="0"/>
                <w:dstrike w:val="0"/>
                <w:color w:val="auto"/>
                <w:szCs w:val="21"/>
                <w:highlight w:val="none"/>
              </w:rPr>
              <w:t>雨水井（Y1）一端</w:t>
            </w:r>
            <w:r>
              <w:rPr>
                <w:strike w:val="0"/>
                <w:dstrike w:val="0"/>
                <w:color w:val="auto"/>
                <w:szCs w:val="21"/>
                <w:highlight w:val="none"/>
              </w:rPr>
              <w:t>连接至隔油池，正常情况下关闭，</w:t>
            </w:r>
            <w:r>
              <w:rPr>
                <w:rFonts w:hint="eastAsia"/>
                <w:strike w:val="0"/>
                <w:dstrike w:val="0"/>
                <w:color w:val="auto"/>
                <w:szCs w:val="21"/>
                <w:highlight w:val="none"/>
                <w:lang w:eastAsia="zh-CN"/>
              </w:rPr>
              <w:t>遇事故状态时</w:t>
            </w:r>
            <w:r>
              <w:rPr>
                <w:strike w:val="0"/>
                <w:dstrike w:val="0"/>
                <w:color w:val="auto"/>
                <w:szCs w:val="21"/>
                <w:highlight w:val="none"/>
              </w:rPr>
              <w:t>将切换阀转换至隔油池，事故废水经隔油池预处理后排入市政污水管网。</w:t>
            </w:r>
          </w:p>
          <w:p w14:paraId="6E054ACC">
            <w:pPr>
              <w:jc w:val="left"/>
              <w:rPr>
                <w:strike w:val="0"/>
                <w:dstrike w:val="0"/>
                <w:color w:val="auto"/>
                <w:kern w:val="0"/>
                <w:szCs w:val="21"/>
                <w:highlight w:val="none"/>
              </w:rPr>
            </w:pPr>
            <w:r>
              <w:rPr>
                <w:strike w:val="0"/>
                <w:dstrike w:val="0"/>
                <w:color w:val="auto"/>
                <w:szCs w:val="21"/>
                <w:highlight w:val="none"/>
              </w:rPr>
              <w:t>⑤本项目的燃气中压管道为埋地铺设，且在燃气中压管道内设置阀门井、警示牌、标志桩、示踪线等。</w:t>
            </w:r>
          </w:p>
          <w:p w14:paraId="17240F28">
            <w:pPr>
              <w:jc w:val="left"/>
              <w:rPr>
                <w:strike w:val="0"/>
                <w:dstrike w:val="0"/>
                <w:color w:val="auto"/>
                <w:szCs w:val="21"/>
                <w:highlight w:val="none"/>
              </w:rPr>
            </w:pPr>
            <w:r>
              <w:rPr>
                <w:strike w:val="0"/>
                <w:dstrike w:val="0"/>
                <w:color w:val="auto"/>
                <w:szCs w:val="21"/>
                <w:highlight w:val="none"/>
              </w:rPr>
              <w:t>⑥加油站内设立禁止吸烟、禁止接打手机的警示牌，严格禁止站内明火、电焊、电割，加油软管设拉断截止阀；对每个工作人员进行消防培训，加强员工的安全技术培训，提高安全防范意识。</w:t>
            </w:r>
          </w:p>
          <w:p w14:paraId="4DA8155C">
            <w:pPr>
              <w:pStyle w:val="38"/>
              <w:spacing w:line="240" w:lineRule="auto"/>
              <w:ind w:firstLine="0"/>
              <w:rPr>
                <w:rFonts w:ascii="Times New Roman" w:hAnsi="Times New Roman" w:cs="Times New Roman"/>
                <w:strike w:val="0"/>
                <w:dstrike w:val="0"/>
                <w:color w:val="auto"/>
                <w:sz w:val="21"/>
                <w:highlight w:val="none"/>
              </w:rPr>
            </w:pPr>
            <w:r>
              <w:rPr>
                <w:rFonts w:ascii="Times New Roman" w:hAnsi="Times New Roman" w:cs="Times New Roman"/>
                <w:strike w:val="0"/>
                <w:dstrike w:val="0"/>
                <w:color w:val="auto"/>
                <w:sz w:val="21"/>
                <w:highlight w:val="none"/>
              </w:rPr>
              <w:fldChar w:fldCharType="begin"/>
            </w:r>
            <w:r>
              <w:rPr>
                <w:rFonts w:ascii="Times New Roman" w:hAnsi="Times New Roman" w:cs="Times New Roman"/>
                <w:strike w:val="0"/>
                <w:dstrike w:val="0"/>
                <w:color w:val="auto"/>
                <w:sz w:val="21"/>
                <w:highlight w:val="none"/>
              </w:rPr>
              <w:instrText xml:space="preserve"> = 7 \* GB3 \* MERGEFORMAT </w:instrText>
            </w:r>
            <w:r>
              <w:rPr>
                <w:rFonts w:ascii="Times New Roman" w:hAnsi="Times New Roman" w:cs="Times New Roman"/>
                <w:strike w:val="0"/>
                <w:dstrike w:val="0"/>
                <w:color w:val="auto"/>
                <w:sz w:val="21"/>
                <w:highlight w:val="none"/>
              </w:rPr>
              <w:fldChar w:fldCharType="separate"/>
            </w:r>
            <w:r>
              <w:rPr>
                <w:rFonts w:ascii="Times New Roman" w:hAnsi="Times New Roman" w:cs="Times New Roman"/>
                <w:strike w:val="0"/>
                <w:dstrike w:val="0"/>
                <w:color w:val="auto"/>
                <w:sz w:val="21"/>
                <w:highlight w:val="none"/>
              </w:rPr>
              <w:t>⑦</w:t>
            </w:r>
            <w:r>
              <w:rPr>
                <w:rFonts w:ascii="Times New Roman" w:hAnsi="Times New Roman" w:cs="Times New Roman"/>
                <w:strike w:val="0"/>
                <w:dstrike w:val="0"/>
                <w:color w:val="auto"/>
                <w:sz w:val="21"/>
                <w:highlight w:val="none"/>
              </w:rPr>
              <w:fldChar w:fldCharType="end"/>
            </w:r>
            <w:r>
              <w:rPr>
                <w:rFonts w:ascii="Times New Roman" w:hAnsi="Times New Roman" w:cs="Times New Roman"/>
                <w:bCs/>
                <w:strike w:val="0"/>
                <w:dstrike w:val="0"/>
                <w:color w:val="auto"/>
                <w:sz w:val="21"/>
                <w:highlight w:val="none"/>
              </w:rPr>
              <w:t>结合企业环境风险，编制环境风险应急预案，并进行评审、备案。每年进行一次综合演练和相应的单项应急演练，安排专门的部门负责编制演练计划。</w:t>
            </w:r>
          </w:p>
        </w:tc>
      </w:tr>
      <w:tr w14:paraId="234D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731" w:type="dxa"/>
            <w:gridSpan w:val="2"/>
            <w:vAlign w:val="center"/>
          </w:tcPr>
          <w:p w14:paraId="2D8CE36D">
            <w:pPr>
              <w:jc w:val="center"/>
              <w:rPr>
                <w:strike w:val="0"/>
                <w:dstrike w:val="0"/>
                <w:color w:val="auto"/>
                <w:szCs w:val="21"/>
                <w:highlight w:val="none"/>
              </w:rPr>
            </w:pPr>
            <w:r>
              <w:rPr>
                <w:strike w:val="0"/>
                <w:dstrike w:val="0"/>
                <w:color w:val="auto"/>
                <w:szCs w:val="21"/>
                <w:highlight w:val="none"/>
              </w:rPr>
              <w:t>评价结论与建议</w:t>
            </w:r>
          </w:p>
        </w:tc>
        <w:tc>
          <w:tcPr>
            <w:tcW w:w="7392" w:type="dxa"/>
            <w:gridSpan w:val="19"/>
            <w:vAlign w:val="center"/>
          </w:tcPr>
          <w:p w14:paraId="61FD15C8">
            <w:pPr>
              <w:rPr>
                <w:strike w:val="0"/>
                <w:dstrike w:val="0"/>
                <w:color w:val="auto"/>
                <w:szCs w:val="21"/>
                <w:highlight w:val="none"/>
              </w:rPr>
            </w:pPr>
            <w:r>
              <w:rPr>
                <w:strike w:val="0"/>
                <w:dstrike w:val="0"/>
                <w:color w:val="auto"/>
                <w:szCs w:val="21"/>
                <w:highlight w:val="none"/>
              </w:rPr>
              <w:t>本项目位于</w:t>
            </w:r>
            <w:r>
              <w:rPr>
                <w:rFonts w:hint="eastAsia"/>
                <w:strike w:val="0"/>
                <w:dstrike w:val="0"/>
                <w:color w:val="auto"/>
                <w:szCs w:val="21"/>
                <w:highlight w:val="none"/>
              </w:rPr>
              <w:t>重庆市合川区土场镇杨柳村三社</w:t>
            </w:r>
            <w:r>
              <w:rPr>
                <w:strike w:val="0"/>
                <w:dstrike w:val="0"/>
                <w:color w:val="auto"/>
                <w:szCs w:val="21"/>
                <w:highlight w:val="none"/>
              </w:rPr>
              <w:t>，本项目环境风险可接受，环境风险影响较小。</w:t>
            </w:r>
          </w:p>
        </w:tc>
      </w:tr>
      <w:tr w14:paraId="01B9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9123" w:type="dxa"/>
            <w:gridSpan w:val="21"/>
            <w:vAlign w:val="center"/>
          </w:tcPr>
          <w:p w14:paraId="03622850">
            <w:pPr>
              <w:jc w:val="center"/>
              <w:rPr>
                <w:strike w:val="0"/>
                <w:dstrike w:val="0"/>
                <w:color w:val="auto"/>
                <w:szCs w:val="21"/>
                <w:highlight w:val="none"/>
              </w:rPr>
            </w:pPr>
            <w:r>
              <w:rPr>
                <w:strike w:val="0"/>
                <w:dstrike w:val="0"/>
                <w:color w:val="auto"/>
                <w:szCs w:val="21"/>
                <w:highlight w:val="none"/>
              </w:rPr>
              <w:t xml:space="preserve">注：“ </w:t>
            </w:r>
            <w:r>
              <w:rPr>
                <w:strike w:val="0"/>
                <w:dstrike w:val="0"/>
                <w:color w:val="auto"/>
                <w:szCs w:val="21"/>
                <w:highlight w:val="none"/>
              </w:rPr>
              <w:sym w:font="Wingdings 2" w:char="00A3"/>
            </w:r>
            <w:r>
              <w:rPr>
                <w:rFonts w:hint="eastAsia"/>
                <w:strike w:val="0"/>
                <w:dstrike w:val="0"/>
                <w:color w:val="auto"/>
                <w:szCs w:val="21"/>
                <w:highlight w:val="none"/>
              </w:rPr>
              <w:t>”</w:t>
            </w:r>
            <w:r>
              <w:rPr>
                <w:strike w:val="0"/>
                <w:dstrike w:val="0"/>
                <w:color w:val="auto"/>
                <w:szCs w:val="21"/>
                <w:highlight w:val="none"/>
              </w:rPr>
              <w:t xml:space="preserve">为勾选项，“ </w:t>
            </w:r>
            <w:r>
              <w:rPr>
                <w:rFonts w:hint="eastAsia"/>
                <w:strike w:val="0"/>
                <w:dstrike w:val="0"/>
                <w:color w:val="auto"/>
                <w:szCs w:val="21"/>
                <w:highlight w:val="none"/>
              </w:rPr>
              <w:t>”</w:t>
            </w:r>
            <w:r>
              <w:rPr>
                <w:strike w:val="0"/>
                <w:dstrike w:val="0"/>
                <w:color w:val="auto"/>
                <w:szCs w:val="21"/>
                <w:highlight w:val="none"/>
              </w:rPr>
              <w:t>为填写项</w:t>
            </w:r>
          </w:p>
        </w:tc>
      </w:tr>
    </w:tbl>
    <w:p w14:paraId="75BD6340">
      <w:pPr>
        <w:rPr>
          <w:strike w:val="0"/>
          <w:dstrike w:val="0"/>
          <w:color w:val="auto"/>
          <w:highlight w:val="none"/>
        </w:rPr>
      </w:pPr>
    </w:p>
    <w:p w14:paraId="096EA96C">
      <w:pPr>
        <w:rPr>
          <w:strike w:val="0"/>
          <w:dstrike w:val="0"/>
          <w:color w:val="auto"/>
          <w:highlight w:val="none"/>
        </w:rPr>
      </w:pPr>
    </w:p>
    <w:sectPr>
      <w:footerReference r:id="rId8" w:type="default"/>
      <w:pgSz w:w="11906" w:h="16838"/>
      <w:pgMar w:top="1440" w:right="1803" w:bottom="1440" w:left="1803" w:header="851" w:footer="992" w:gutter="0"/>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Regular">
    <w:altName w:val="黑体"/>
    <w:panose1 w:val="00000000000000000000"/>
    <w:charset w:val="00"/>
    <w:family w:val="auto"/>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monospace">
    <w:altName w:val="Malgun Gothic Semilight"/>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TimesNewRomanPSMT">
    <w:altName w:val="Malgun Gothic Semilight"/>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TimesNewRomanPS-BoldMT">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0C9AA">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138DF">
    <w:pPr>
      <w:pStyle w:val="14"/>
      <w:framePr w:wrap="around" w:vAnchor="text" w:hAnchor="margin" w:xAlign="center" w:y="1"/>
      <w:rPr>
        <w:rStyle w:val="26"/>
      </w:rPr>
    </w:pPr>
    <w:r>
      <w:fldChar w:fldCharType="begin"/>
    </w:r>
    <w:r>
      <w:rPr>
        <w:rStyle w:val="26"/>
      </w:rPr>
      <w:instrText xml:space="preserve">PAGE  </w:instrText>
    </w:r>
    <w:r>
      <w:fldChar w:fldCharType="end"/>
    </w:r>
  </w:p>
  <w:p w14:paraId="0E4DC5B5">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06A82">
    <w:pPr>
      <w:pStyle w:val="14"/>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E90DF">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022E90DF">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7A660">
    <w:pPr>
      <w:pStyle w:val="14"/>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611F55">
                          <w:pPr>
                            <w:pStyle w:val="14"/>
                          </w:pPr>
                          <w:r>
                            <w:fldChar w:fldCharType="begin"/>
                          </w:r>
                          <w:r>
                            <w:instrText xml:space="preserve"> PAGE  \* MERGEFORMAT </w:instrText>
                          </w:r>
                          <w:r>
                            <w:fldChar w:fldCharType="separate"/>
                          </w:r>
                          <w:r>
                            <w:t>88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DiZxUdIBAACkAwAADgAAAAAAAAABACAAAAAfAQAA&#10;ZHJzL2Uyb0RvYy54bWxQSwUGAAAAAAYABgBZAQAAYwUAAAAA&#10;">
              <v:fill on="f" focussize="0,0"/>
              <v:stroke on="f" weight="0.5pt"/>
              <v:imagedata o:title=""/>
              <o:lock v:ext="edit" aspectratio="f"/>
              <v:textbox inset="0mm,0mm,0mm,0mm" style="mso-fit-shape-to-text:t;">
                <w:txbxContent>
                  <w:p w14:paraId="32611F55">
                    <w:pPr>
                      <w:pStyle w:val="1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9A21B">
    <w:pPr>
      <w:pStyle w:val="14"/>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FD74F4">
                          <w:pPr>
                            <w:pStyle w:val="14"/>
                            <w:rPr>
                              <w:rStyle w:val="26"/>
                              <w:rFonts w:hint="eastAsia" w:hAnsi="宋体"/>
                              <w:szCs w:val="18"/>
                            </w:rPr>
                          </w:pPr>
                          <w:r>
                            <w:rPr>
                              <w:rStyle w:val="26"/>
                              <w:rFonts w:hAnsi="宋体"/>
                              <w:szCs w:val="18"/>
                            </w:rPr>
                            <w:fldChar w:fldCharType="begin"/>
                          </w:r>
                          <w:r>
                            <w:rPr>
                              <w:rStyle w:val="26"/>
                              <w:rFonts w:hAnsi="宋体"/>
                              <w:szCs w:val="18"/>
                            </w:rPr>
                            <w:instrText xml:space="preserve"> PAGE  \* MERGEFORMAT </w:instrText>
                          </w:r>
                          <w:r>
                            <w:rPr>
                              <w:rStyle w:val="26"/>
                              <w:rFonts w:hAnsi="宋体"/>
                              <w:szCs w:val="18"/>
                            </w:rPr>
                            <w:fldChar w:fldCharType="separate"/>
                          </w:r>
                          <w:r>
                            <w:rPr>
                              <w:rStyle w:val="26"/>
                              <w:rFonts w:hAnsi="宋体"/>
                              <w:szCs w:val="18"/>
                            </w:rPr>
                            <w:t>94</w:t>
                          </w:r>
                          <w:r>
                            <w:rPr>
                              <w:rStyle w:val="26"/>
                              <w:rFonts w:hAnsi="宋体"/>
                              <w:szCs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5M2qMMBAACP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pORa0B4d0hYuPSTUUeoqRjOqTCadiovwp/3kvX0H2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bkzaowwEAAI8DAAAOAAAAAAAAAAEAIAAAAB4BAABkcnMvZTJvRG9jLnhtbFBL&#10;BQYAAAAABgAGAFkBAABTBQAAAAA=&#10;">
              <v:fill on="f" focussize="0,0"/>
              <v:stroke on="f"/>
              <v:imagedata o:title=""/>
              <o:lock v:ext="edit" aspectratio="f"/>
              <v:textbox inset="0mm,0mm,0mm,0mm" style="mso-fit-shape-to-text:t;">
                <w:txbxContent>
                  <w:p w14:paraId="25FD74F4">
                    <w:pPr>
                      <w:pStyle w:val="14"/>
                      <w:rPr>
                        <w:rStyle w:val="26"/>
                        <w:rFonts w:hint="eastAsia" w:hAnsi="宋体"/>
                        <w:szCs w:val="18"/>
                      </w:rPr>
                    </w:pPr>
                    <w:r>
                      <w:rPr>
                        <w:rStyle w:val="26"/>
                        <w:rFonts w:hAnsi="宋体"/>
                        <w:szCs w:val="18"/>
                      </w:rPr>
                      <w:fldChar w:fldCharType="begin"/>
                    </w:r>
                    <w:r>
                      <w:rPr>
                        <w:rStyle w:val="26"/>
                        <w:rFonts w:hAnsi="宋体"/>
                        <w:szCs w:val="18"/>
                      </w:rPr>
                      <w:instrText xml:space="preserve"> PAGE  \* MERGEFORMAT </w:instrText>
                    </w:r>
                    <w:r>
                      <w:rPr>
                        <w:rStyle w:val="26"/>
                        <w:rFonts w:hAnsi="宋体"/>
                        <w:szCs w:val="18"/>
                      </w:rPr>
                      <w:fldChar w:fldCharType="separate"/>
                    </w:r>
                    <w:r>
                      <w:rPr>
                        <w:rStyle w:val="26"/>
                        <w:rFonts w:hAnsi="宋体"/>
                        <w:szCs w:val="18"/>
                      </w:rPr>
                      <w:t>94</w:t>
                    </w:r>
                    <w:r>
                      <w:rPr>
                        <w:rStyle w:val="26"/>
                        <w:rFonts w:hAnsi="宋体"/>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12559">
    <w:pPr>
      <w:pStyle w:val="14"/>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256EDB">
                          <w:pPr>
                            <w:pStyle w:val="14"/>
                            <w:rPr>
                              <w:rStyle w:val="26"/>
                              <w:rFonts w:hint="eastAsia" w:hAnsi="宋体"/>
                              <w:szCs w:val="18"/>
                            </w:rPr>
                          </w:pPr>
                          <w:r>
                            <w:rPr>
                              <w:rStyle w:val="26"/>
                              <w:rFonts w:hAnsi="宋体"/>
                              <w:szCs w:val="18"/>
                            </w:rPr>
                            <w:fldChar w:fldCharType="begin"/>
                          </w:r>
                          <w:r>
                            <w:rPr>
                              <w:rStyle w:val="26"/>
                              <w:rFonts w:hAnsi="宋体"/>
                              <w:szCs w:val="18"/>
                            </w:rPr>
                            <w:instrText xml:space="preserve"> PAGE  \* MERGEFORMAT </w:instrText>
                          </w:r>
                          <w:r>
                            <w:rPr>
                              <w:rStyle w:val="26"/>
                              <w:rFonts w:hAnsi="宋体"/>
                              <w:szCs w:val="18"/>
                            </w:rPr>
                            <w:fldChar w:fldCharType="separate"/>
                          </w:r>
                          <w:r>
                            <w:rPr>
                              <w:rStyle w:val="26"/>
                              <w:rFonts w:hAnsi="宋体"/>
                              <w:szCs w:val="18"/>
                            </w:rPr>
                            <w:t>110</w:t>
                          </w:r>
                          <w:r>
                            <w:rPr>
                              <w:rStyle w:val="26"/>
                              <w:rFonts w:hAnsi="宋体"/>
                              <w:szCs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dqOXMMBAACP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6/fUuK4xYmff/44//pz/v2d&#10;oA8F6gPUmHcfMDMN7/yAazP7AZ2Z96CizV9kRDCO8p4u8sohEZEfrZarVYUhgbH5gvjs4XmIkN5L&#10;b0k2GhpxfkVWfvwIaUydU3I15++0MWWGxv3jQMzsYbn3scdspWE3TIR2vj0hnx5H31CHm06J+eBQ&#10;2bwlsxFnYzcZuQaE20PCwqWfjDpCTcVwToXRtFN5ER7fS9bDf7T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h2o5cwwEAAI8DAAAOAAAAAAAAAAEAIAAAAB4BAABkcnMvZTJvRG9jLnhtbFBL&#10;BQYAAAAABgAGAFkBAABTBQAAAAA=&#10;">
              <v:fill on="f" focussize="0,0"/>
              <v:stroke on="f"/>
              <v:imagedata o:title=""/>
              <o:lock v:ext="edit" aspectratio="f"/>
              <v:textbox inset="0mm,0mm,0mm,0mm" style="mso-fit-shape-to-text:t;">
                <w:txbxContent>
                  <w:p w14:paraId="14256EDB">
                    <w:pPr>
                      <w:pStyle w:val="14"/>
                      <w:rPr>
                        <w:rStyle w:val="26"/>
                        <w:rFonts w:hint="eastAsia" w:hAnsi="宋体"/>
                        <w:szCs w:val="18"/>
                      </w:rPr>
                    </w:pPr>
                    <w:r>
                      <w:rPr>
                        <w:rStyle w:val="26"/>
                        <w:rFonts w:hAnsi="宋体"/>
                        <w:szCs w:val="18"/>
                      </w:rPr>
                      <w:fldChar w:fldCharType="begin"/>
                    </w:r>
                    <w:r>
                      <w:rPr>
                        <w:rStyle w:val="26"/>
                        <w:rFonts w:hAnsi="宋体"/>
                        <w:szCs w:val="18"/>
                      </w:rPr>
                      <w:instrText xml:space="preserve"> PAGE  \* MERGEFORMAT </w:instrText>
                    </w:r>
                    <w:r>
                      <w:rPr>
                        <w:rStyle w:val="26"/>
                        <w:rFonts w:hAnsi="宋体"/>
                        <w:szCs w:val="18"/>
                      </w:rPr>
                      <w:fldChar w:fldCharType="separate"/>
                    </w:r>
                    <w:r>
                      <w:rPr>
                        <w:rStyle w:val="26"/>
                        <w:rFonts w:hAnsi="宋体"/>
                        <w:szCs w:val="18"/>
                      </w:rPr>
                      <w:t>110</w:t>
                    </w:r>
                    <w:r>
                      <w:rPr>
                        <w:rStyle w:val="26"/>
                        <w:rFonts w:hAnsi="宋体"/>
                        <w:szCs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248F6"/>
    <w:multiLevelType w:val="singleLevel"/>
    <w:tmpl w:val="AAF248F6"/>
    <w:lvl w:ilvl="0" w:tentative="0">
      <w:start w:val="1"/>
      <w:numFmt w:val="decimal"/>
      <w:suff w:val="nothing"/>
      <w:lvlText w:val="%1、"/>
      <w:lvlJc w:val="left"/>
      <w:pPr>
        <w:ind w:left="-60"/>
      </w:pPr>
    </w:lvl>
  </w:abstractNum>
  <w:abstractNum w:abstractNumId="1">
    <w:nsid w:val="AC60D830"/>
    <w:multiLevelType w:val="singleLevel"/>
    <w:tmpl w:val="AC60D830"/>
    <w:lvl w:ilvl="0" w:tentative="0">
      <w:start w:val="1"/>
      <w:numFmt w:val="decimal"/>
      <w:suff w:val="nothing"/>
      <w:lvlText w:val="%1）"/>
      <w:lvlJc w:val="left"/>
    </w:lvl>
  </w:abstractNum>
  <w:abstractNum w:abstractNumId="2">
    <w:nsid w:val="B08900DC"/>
    <w:multiLevelType w:val="singleLevel"/>
    <w:tmpl w:val="B08900DC"/>
    <w:lvl w:ilvl="0" w:tentative="0">
      <w:start w:val="2"/>
      <w:numFmt w:val="decimal"/>
      <w:suff w:val="nothing"/>
      <w:lvlText w:val="（%1）"/>
      <w:lvlJc w:val="left"/>
    </w:lvl>
  </w:abstractNum>
  <w:abstractNum w:abstractNumId="3">
    <w:nsid w:val="BCABDDA4"/>
    <w:multiLevelType w:val="singleLevel"/>
    <w:tmpl w:val="BCABDDA4"/>
    <w:lvl w:ilvl="0" w:tentative="0">
      <w:start w:val="1"/>
      <w:numFmt w:val="decimal"/>
      <w:suff w:val="nothing"/>
      <w:lvlText w:val="（%1）"/>
      <w:lvlJc w:val="left"/>
    </w:lvl>
  </w:abstractNum>
  <w:abstractNum w:abstractNumId="4">
    <w:nsid w:val="CAD070A0"/>
    <w:multiLevelType w:val="singleLevel"/>
    <w:tmpl w:val="CAD070A0"/>
    <w:lvl w:ilvl="0" w:tentative="0">
      <w:start w:val="1"/>
      <w:numFmt w:val="decimal"/>
      <w:suff w:val="nothing"/>
      <w:lvlText w:val="（%1）"/>
      <w:lvlJc w:val="left"/>
      <w:rPr>
        <w:rFonts w:hint="default" w:ascii="Times New Roman" w:hAnsi="Times New Roman" w:cs="Times New Roman"/>
        <w:b/>
        <w:bCs/>
        <w:sz w:val="24"/>
        <w:szCs w:val="24"/>
      </w:rPr>
    </w:lvl>
  </w:abstractNum>
  <w:abstractNum w:abstractNumId="5">
    <w:nsid w:val="E7E0CD69"/>
    <w:multiLevelType w:val="singleLevel"/>
    <w:tmpl w:val="E7E0CD69"/>
    <w:lvl w:ilvl="0" w:tentative="0">
      <w:start w:val="2"/>
      <w:numFmt w:val="decimal"/>
      <w:suff w:val="nothing"/>
      <w:lvlText w:val="%1、"/>
      <w:lvlJc w:val="left"/>
    </w:lvl>
  </w:abstractNum>
  <w:abstractNum w:abstractNumId="6">
    <w:nsid w:val="05263C25"/>
    <w:multiLevelType w:val="multilevel"/>
    <w:tmpl w:val="05263C25"/>
    <w:lvl w:ilvl="0" w:tentative="0">
      <w:start w:val="1"/>
      <w:numFmt w:val="decimal"/>
      <w:suff w:val="nothing"/>
      <w:lvlText w:val="%1"/>
      <w:lvlJc w:val="left"/>
      <w:pPr>
        <w:ind w:left="0" w:firstLine="0"/>
      </w:pPr>
      <w:rPr>
        <w:rFonts w:hint="default" w:ascii="Times New Roman" w:hAnsi="Times New Roman"/>
        <w:color w:val="FFFFFF"/>
      </w:rPr>
    </w:lvl>
    <w:lvl w:ilvl="1" w:tentative="0">
      <w:start w:val="1"/>
      <w:numFmt w:val="decimal"/>
      <w:suff w:val="nothing"/>
      <w:lvlText w:val="%1.%2"/>
      <w:lvlJc w:val="left"/>
      <w:pPr>
        <w:ind w:left="0" w:firstLine="0"/>
      </w:pPr>
      <w:rPr>
        <w:rFonts w:hint="eastAsia"/>
      </w:rPr>
    </w:lvl>
    <w:lvl w:ilvl="2" w:tentative="0">
      <w:start w:val="1"/>
      <w:numFmt w:val="decimal"/>
      <w:suff w:val="space"/>
      <w:lvlText w:val="%1.%2.%3"/>
      <w:lvlJc w:val="left"/>
      <w:pPr>
        <w:ind w:left="-5" w:firstLine="5"/>
      </w:pPr>
      <w:rPr>
        <w:rFonts w:hint="default"/>
      </w:rPr>
    </w:lvl>
    <w:lvl w:ilvl="3" w:tentative="0">
      <w:start w:val="1"/>
      <w:numFmt w:val="decimal"/>
      <w:lvlRestart w:val="2"/>
      <w:pStyle w:val="64"/>
      <w:suff w:val="space"/>
      <w:lvlText w:val="表%1.%2-%4"/>
      <w:lvlJc w:val="center"/>
      <w:pPr>
        <w:ind w:left="0" w:firstLine="0"/>
      </w:pPr>
      <w:rPr>
        <w:rFonts w:hint="default"/>
        <w:vertAlign w:val="baseline"/>
        <w:lang w:val="en-US"/>
      </w:rPr>
    </w:lvl>
    <w:lvl w:ilvl="4" w:tentative="0">
      <w:start w:val="1"/>
      <w:numFmt w:val="decimal"/>
      <w:lvlRestart w:val="2"/>
      <w:suff w:val="nothing"/>
      <w:lvlText w:val="图%1.%2-%5"/>
      <w:lvlJc w:val="center"/>
      <w:pPr>
        <w:ind w:left="0" w:firstLine="0"/>
      </w:pPr>
      <w:rPr>
        <w:rFonts w:hint="eastAsia"/>
        <w:color w:val="auto"/>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0A775103"/>
    <w:multiLevelType w:val="singleLevel"/>
    <w:tmpl w:val="0A775103"/>
    <w:lvl w:ilvl="0" w:tentative="0">
      <w:start w:val="1"/>
      <w:numFmt w:val="decimal"/>
      <w:suff w:val="nothing"/>
      <w:lvlText w:val="（%1）"/>
      <w:lvlJc w:val="left"/>
    </w:lvl>
  </w:abstractNum>
  <w:abstractNum w:abstractNumId="8">
    <w:nsid w:val="47655AE8"/>
    <w:multiLevelType w:val="singleLevel"/>
    <w:tmpl w:val="47655AE8"/>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9">
    <w:nsid w:val="4EC41191"/>
    <w:multiLevelType w:val="singleLevel"/>
    <w:tmpl w:val="4EC41191"/>
    <w:lvl w:ilvl="0" w:tentative="0">
      <w:start w:val="1"/>
      <w:numFmt w:val="decimal"/>
      <w:suff w:val="nothing"/>
      <w:lvlText w:val="%1）"/>
      <w:lvlJc w:val="left"/>
    </w:lvl>
  </w:abstractNum>
  <w:abstractNum w:abstractNumId="10">
    <w:nsid w:val="5AB9E3E5"/>
    <w:multiLevelType w:val="singleLevel"/>
    <w:tmpl w:val="5AB9E3E5"/>
    <w:lvl w:ilvl="0" w:tentative="0">
      <w:start w:val="1"/>
      <w:numFmt w:val="decimal"/>
      <w:suff w:val="nothing"/>
      <w:lvlText w:val="（%1）"/>
      <w:lvlJc w:val="left"/>
    </w:lvl>
  </w:abstractNum>
  <w:abstractNum w:abstractNumId="11">
    <w:nsid w:val="5CDE2ADB"/>
    <w:multiLevelType w:val="singleLevel"/>
    <w:tmpl w:val="5CDE2ADB"/>
    <w:lvl w:ilvl="0" w:tentative="0">
      <w:start w:val="1"/>
      <w:numFmt w:val="decimal"/>
      <w:suff w:val="nothing"/>
      <w:lvlText w:val="%1、"/>
      <w:lvlJc w:val="left"/>
    </w:lvl>
  </w:abstractNum>
  <w:abstractNum w:abstractNumId="12">
    <w:nsid w:val="64A3D895"/>
    <w:multiLevelType w:val="singleLevel"/>
    <w:tmpl w:val="64A3D895"/>
    <w:lvl w:ilvl="0" w:tentative="0">
      <w:start w:val="1"/>
      <w:numFmt w:val="decimal"/>
      <w:suff w:val="nothing"/>
      <w:lvlText w:val="（%1）"/>
      <w:lvlJc w:val="left"/>
    </w:lvl>
  </w:abstractNum>
  <w:abstractNum w:abstractNumId="13">
    <w:nsid w:val="7356D813"/>
    <w:multiLevelType w:val="singleLevel"/>
    <w:tmpl w:val="7356D813"/>
    <w:lvl w:ilvl="0" w:tentative="0">
      <w:start w:val="1"/>
      <w:numFmt w:val="decimal"/>
      <w:lvlText w:val="%1."/>
      <w:lvlJc w:val="left"/>
      <w:pPr>
        <w:tabs>
          <w:tab w:val="left" w:pos="312"/>
        </w:tabs>
      </w:pPr>
    </w:lvl>
  </w:abstractNum>
  <w:abstractNum w:abstractNumId="14">
    <w:nsid w:val="7833DA52"/>
    <w:multiLevelType w:val="singleLevel"/>
    <w:tmpl w:val="7833DA52"/>
    <w:lvl w:ilvl="0" w:tentative="0">
      <w:start w:val="2"/>
      <w:numFmt w:val="decimal"/>
      <w:suff w:val="nothing"/>
      <w:lvlText w:val="（%1）"/>
      <w:lvlJc w:val="left"/>
    </w:lvl>
  </w:abstractNum>
  <w:abstractNum w:abstractNumId="15">
    <w:nsid w:val="79349B58"/>
    <w:multiLevelType w:val="singleLevel"/>
    <w:tmpl w:val="79349B58"/>
    <w:lvl w:ilvl="0" w:tentative="0">
      <w:start w:val="1"/>
      <w:numFmt w:val="decimal"/>
      <w:suff w:val="nothing"/>
      <w:lvlText w:val="（%1）"/>
      <w:lvlJc w:val="left"/>
    </w:lvl>
  </w:abstractNum>
  <w:num w:numId="1">
    <w:abstractNumId w:val="8"/>
  </w:num>
  <w:num w:numId="2">
    <w:abstractNumId w:val="6"/>
  </w:num>
  <w:num w:numId="3">
    <w:abstractNumId w:val="14"/>
  </w:num>
  <w:num w:numId="4">
    <w:abstractNumId w:val="13"/>
  </w:num>
  <w:num w:numId="5">
    <w:abstractNumId w:val="1"/>
  </w:num>
  <w:num w:numId="6">
    <w:abstractNumId w:val="5"/>
  </w:num>
  <w:num w:numId="7">
    <w:abstractNumId w:val="0"/>
  </w:num>
  <w:num w:numId="8">
    <w:abstractNumId w:val="4"/>
  </w:num>
  <w:num w:numId="9">
    <w:abstractNumId w:val="3"/>
  </w:num>
  <w:num w:numId="10">
    <w:abstractNumId w:val="7"/>
  </w:num>
  <w:num w:numId="11">
    <w:abstractNumId w:val="15"/>
  </w:num>
  <w:num w:numId="12">
    <w:abstractNumId w:val="12"/>
  </w:num>
  <w:num w:numId="13">
    <w:abstractNumId w:val="10"/>
  </w:num>
  <w:num w:numId="14">
    <w:abstractNumId w:val="2"/>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hMjRhZjBjNDk3MzM1ZTMyNjA5Zjk4ZjNmOTZhOGQifQ=="/>
  </w:docVars>
  <w:rsids>
    <w:rsidRoot w:val="00172A27"/>
    <w:rsid w:val="00053B06"/>
    <w:rsid w:val="0010385F"/>
    <w:rsid w:val="00134008"/>
    <w:rsid w:val="00160886"/>
    <w:rsid w:val="00172A27"/>
    <w:rsid w:val="00235142"/>
    <w:rsid w:val="00263DBC"/>
    <w:rsid w:val="002A1795"/>
    <w:rsid w:val="002A4038"/>
    <w:rsid w:val="002E1044"/>
    <w:rsid w:val="0035177B"/>
    <w:rsid w:val="003C1F0D"/>
    <w:rsid w:val="004A4862"/>
    <w:rsid w:val="005574FC"/>
    <w:rsid w:val="005A64A2"/>
    <w:rsid w:val="005F3C63"/>
    <w:rsid w:val="00682567"/>
    <w:rsid w:val="006A7813"/>
    <w:rsid w:val="006D6B8D"/>
    <w:rsid w:val="00707F53"/>
    <w:rsid w:val="007B7AB4"/>
    <w:rsid w:val="007C7102"/>
    <w:rsid w:val="007C744C"/>
    <w:rsid w:val="00864B3D"/>
    <w:rsid w:val="00882FC0"/>
    <w:rsid w:val="008A4F34"/>
    <w:rsid w:val="00997E23"/>
    <w:rsid w:val="009F7FDA"/>
    <w:rsid w:val="00A016B3"/>
    <w:rsid w:val="00A3723C"/>
    <w:rsid w:val="00A57127"/>
    <w:rsid w:val="00A95861"/>
    <w:rsid w:val="00AE2C3D"/>
    <w:rsid w:val="00B11D11"/>
    <w:rsid w:val="00B309E5"/>
    <w:rsid w:val="00B546B6"/>
    <w:rsid w:val="00C809D0"/>
    <w:rsid w:val="00CF29F3"/>
    <w:rsid w:val="00F57A07"/>
    <w:rsid w:val="00F866A4"/>
    <w:rsid w:val="00FA3593"/>
    <w:rsid w:val="0125519A"/>
    <w:rsid w:val="01585168"/>
    <w:rsid w:val="01955D51"/>
    <w:rsid w:val="01A07F09"/>
    <w:rsid w:val="01C56903"/>
    <w:rsid w:val="01DF12FD"/>
    <w:rsid w:val="020F7B7E"/>
    <w:rsid w:val="021131AB"/>
    <w:rsid w:val="02240524"/>
    <w:rsid w:val="023C1260"/>
    <w:rsid w:val="02532161"/>
    <w:rsid w:val="025D690F"/>
    <w:rsid w:val="027125E7"/>
    <w:rsid w:val="02785724"/>
    <w:rsid w:val="02AD40CA"/>
    <w:rsid w:val="02D86325"/>
    <w:rsid w:val="02DF57A3"/>
    <w:rsid w:val="02E84657"/>
    <w:rsid w:val="02F456F2"/>
    <w:rsid w:val="030A298D"/>
    <w:rsid w:val="03497C46"/>
    <w:rsid w:val="036A05D8"/>
    <w:rsid w:val="043164D2"/>
    <w:rsid w:val="04462F1E"/>
    <w:rsid w:val="04792618"/>
    <w:rsid w:val="04E01E4C"/>
    <w:rsid w:val="052B32AC"/>
    <w:rsid w:val="0566711C"/>
    <w:rsid w:val="057B5C57"/>
    <w:rsid w:val="05850883"/>
    <w:rsid w:val="05A30D0A"/>
    <w:rsid w:val="05BC4C52"/>
    <w:rsid w:val="05C0379B"/>
    <w:rsid w:val="05C82C9B"/>
    <w:rsid w:val="05DE7F94"/>
    <w:rsid w:val="05E509F9"/>
    <w:rsid w:val="05FF4691"/>
    <w:rsid w:val="061816F7"/>
    <w:rsid w:val="06322F3A"/>
    <w:rsid w:val="06452248"/>
    <w:rsid w:val="0671748B"/>
    <w:rsid w:val="068A7653"/>
    <w:rsid w:val="06952D48"/>
    <w:rsid w:val="069E21A9"/>
    <w:rsid w:val="06BB191D"/>
    <w:rsid w:val="06CA2838"/>
    <w:rsid w:val="06D32584"/>
    <w:rsid w:val="06D80E87"/>
    <w:rsid w:val="06E65352"/>
    <w:rsid w:val="06F06E05"/>
    <w:rsid w:val="074B78AB"/>
    <w:rsid w:val="07723089"/>
    <w:rsid w:val="0777244E"/>
    <w:rsid w:val="07AA1705"/>
    <w:rsid w:val="07E32B27"/>
    <w:rsid w:val="080F6B2A"/>
    <w:rsid w:val="08113D6B"/>
    <w:rsid w:val="082962EA"/>
    <w:rsid w:val="083D5445"/>
    <w:rsid w:val="085B3B1D"/>
    <w:rsid w:val="08601134"/>
    <w:rsid w:val="08AA7D8F"/>
    <w:rsid w:val="08AB0897"/>
    <w:rsid w:val="08B576D2"/>
    <w:rsid w:val="08CF1E16"/>
    <w:rsid w:val="08D55A15"/>
    <w:rsid w:val="09102B5A"/>
    <w:rsid w:val="09333179"/>
    <w:rsid w:val="093B4BC3"/>
    <w:rsid w:val="0963712E"/>
    <w:rsid w:val="09886B94"/>
    <w:rsid w:val="09A339CE"/>
    <w:rsid w:val="09A92667"/>
    <w:rsid w:val="09C474A0"/>
    <w:rsid w:val="09E813E1"/>
    <w:rsid w:val="0A000971"/>
    <w:rsid w:val="0A060D07"/>
    <w:rsid w:val="0A545DD2"/>
    <w:rsid w:val="0A5E4BA3"/>
    <w:rsid w:val="0A7D4664"/>
    <w:rsid w:val="0A9817DB"/>
    <w:rsid w:val="0AE14150"/>
    <w:rsid w:val="0AE61DC4"/>
    <w:rsid w:val="0AE93662"/>
    <w:rsid w:val="0B100BEF"/>
    <w:rsid w:val="0B372620"/>
    <w:rsid w:val="0B5605CC"/>
    <w:rsid w:val="0B880C6E"/>
    <w:rsid w:val="0BF6185F"/>
    <w:rsid w:val="0BFC73C5"/>
    <w:rsid w:val="0BFE313E"/>
    <w:rsid w:val="0BFF061B"/>
    <w:rsid w:val="0C085D6A"/>
    <w:rsid w:val="0C2B3ED1"/>
    <w:rsid w:val="0C407C18"/>
    <w:rsid w:val="0C9336AD"/>
    <w:rsid w:val="0CD74977"/>
    <w:rsid w:val="0D026C5D"/>
    <w:rsid w:val="0D58062B"/>
    <w:rsid w:val="0DAD028C"/>
    <w:rsid w:val="0DBF68FD"/>
    <w:rsid w:val="0DC11544"/>
    <w:rsid w:val="0DC451BB"/>
    <w:rsid w:val="0DC476AD"/>
    <w:rsid w:val="0DFA7935"/>
    <w:rsid w:val="0E6B3CDE"/>
    <w:rsid w:val="0EB61AAE"/>
    <w:rsid w:val="0EC90DAC"/>
    <w:rsid w:val="0ED65CAC"/>
    <w:rsid w:val="0EE62C1A"/>
    <w:rsid w:val="0EF34AB0"/>
    <w:rsid w:val="0F046CBD"/>
    <w:rsid w:val="0F31382A"/>
    <w:rsid w:val="0F5D63CD"/>
    <w:rsid w:val="0FD0254A"/>
    <w:rsid w:val="10197D2A"/>
    <w:rsid w:val="10451916"/>
    <w:rsid w:val="10503E19"/>
    <w:rsid w:val="10607CBB"/>
    <w:rsid w:val="10AD6EE0"/>
    <w:rsid w:val="10AF0EAA"/>
    <w:rsid w:val="10BA7410"/>
    <w:rsid w:val="10C0614C"/>
    <w:rsid w:val="10EF574B"/>
    <w:rsid w:val="10F468BD"/>
    <w:rsid w:val="11625F1D"/>
    <w:rsid w:val="118E6D12"/>
    <w:rsid w:val="11991921"/>
    <w:rsid w:val="11C20769"/>
    <w:rsid w:val="11C24DB9"/>
    <w:rsid w:val="11D52407"/>
    <w:rsid w:val="11F05C39"/>
    <w:rsid w:val="11F33019"/>
    <w:rsid w:val="120945EA"/>
    <w:rsid w:val="12543AB7"/>
    <w:rsid w:val="125D5C8F"/>
    <w:rsid w:val="128A0A07"/>
    <w:rsid w:val="12A54313"/>
    <w:rsid w:val="12A8795F"/>
    <w:rsid w:val="12B91B6C"/>
    <w:rsid w:val="12C308D1"/>
    <w:rsid w:val="12DC585B"/>
    <w:rsid w:val="13547AE7"/>
    <w:rsid w:val="13744639"/>
    <w:rsid w:val="13964589"/>
    <w:rsid w:val="13E64BE3"/>
    <w:rsid w:val="13F310AE"/>
    <w:rsid w:val="142257E9"/>
    <w:rsid w:val="1444190A"/>
    <w:rsid w:val="144E2788"/>
    <w:rsid w:val="14691370"/>
    <w:rsid w:val="14C2372B"/>
    <w:rsid w:val="153D72A5"/>
    <w:rsid w:val="156B3533"/>
    <w:rsid w:val="157F2C49"/>
    <w:rsid w:val="15916DD0"/>
    <w:rsid w:val="15F13A6E"/>
    <w:rsid w:val="16092E0B"/>
    <w:rsid w:val="163D4862"/>
    <w:rsid w:val="16774701"/>
    <w:rsid w:val="167C35DD"/>
    <w:rsid w:val="16BF796D"/>
    <w:rsid w:val="16D90CD9"/>
    <w:rsid w:val="16E236D1"/>
    <w:rsid w:val="179B2A65"/>
    <w:rsid w:val="17A032FB"/>
    <w:rsid w:val="17A10E21"/>
    <w:rsid w:val="17AD63F9"/>
    <w:rsid w:val="17CF67D2"/>
    <w:rsid w:val="17D932AC"/>
    <w:rsid w:val="181A12FF"/>
    <w:rsid w:val="18356139"/>
    <w:rsid w:val="184541DC"/>
    <w:rsid w:val="188E5C84"/>
    <w:rsid w:val="18956BD8"/>
    <w:rsid w:val="18A71BB9"/>
    <w:rsid w:val="190869DD"/>
    <w:rsid w:val="19157D18"/>
    <w:rsid w:val="193C34F7"/>
    <w:rsid w:val="1954439D"/>
    <w:rsid w:val="19597C05"/>
    <w:rsid w:val="19650358"/>
    <w:rsid w:val="19704F4F"/>
    <w:rsid w:val="198C7FDB"/>
    <w:rsid w:val="19F811CC"/>
    <w:rsid w:val="1A120A26"/>
    <w:rsid w:val="1A2358C6"/>
    <w:rsid w:val="1A2E6E81"/>
    <w:rsid w:val="1A35028C"/>
    <w:rsid w:val="1A3F1CBB"/>
    <w:rsid w:val="1A55661F"/>
    <w:rsid w:val="1A8B18A5"/>
    <w:rsid w:val="1AD57680"/>
    <w:rsid w:val="1ADB1780"/>
    <w:rsid w:val="1AE030DB"/>
    <w:rsid w:val="1AE25E40"/>
    <w:rsid w:val="1AF26BB7"/>
    <w:rsid w:val="1B202616"/>
    <w:rsid w:val="1B2B156D"/>
    <w:rsid w:val="1B487F31"/>
    <w:rsid w:val="1BD257C7"/>
    <w:rsid w:val="1BE35EAC"/>
    <w:rsid w:val="1BEC30FA"/>
    <w:rsid w:val="1C173CD0"/>
    <w:rsid w:val="1C6E39C8"/>
    <w:rsid w:val="1C830E7B"/>
    <w:rsid w:val="1CB56F1B"/>
    <w:rsid w:val="1CBF76DB"/>
    <w:rsid w:val="1CC318B8"/>
    <w:rsid w:val="1CD37A8D"/>
    <w:rsid w:val="1CDE0180"/>
    <w:rsid w:val="1D205C13"/>
    <w:rsid w:val="1D5759F2"/>
    <w:rsid w:val="1D663B60"/>
    <w:rsid w:val="1DA52277"/>
    <w:rsid w:val="1DD97567"/>
    <w:rsid w:val="1DF919B7"/>
    <w:rsid w:val="1E251ABD"/>
    <w:rsid w:val="1E2E14E1"/>
    <w:rsid w:val="1E403142"/>
    <w:rsid w:val="1E636E30"/>
    <w:rsid w:val="1E6A6411"/>
    <w:rsid w:val="1E7B6870"/>
    <w:rsid w:val="1E847F11"/>
    <w:rsid w:val="1E851A71"/>
    <w:rsid w:val="1EAD3678"/>
    <w:rsid w:val="1EBC2FC3"/>
    <w:rsid w:val="1ED24AC3"/>
    <w:rsid w:val="1ED81E3F"/>
    <w:rsid w:val="1EEE0DF0"/>
    <w:rsid w:val="1F2667DB"/>
    <w:rsid w:val="1F422EEA"/>
    <w:rsid w:val="1F497BB6"/>
    <w:rsid w:val="1F9279CD"/>
    <w:rsid w:val="1FA84BF4"/>
    <w:rsid w:val="1FDE70B6"/>
    <w:rsid w:val="200C59D1"/>
    <w:rsid w:val="20120B0E"/>
    <w:rsid w:val="20251DD7"/>
    <w:rsid w:val="20427645"/>
    <w:rsid w:val="20790B8D"/>
    <w:rsid w:val="20A26336"/>
    <w:rsid w:val="20AD231B"/>
    <w:rsid w:val="210B1646"/>
    <w:rsid w:val="21273A1B"/>
    <w:rsid w:val="213C64BD"/>
    <w:rsid w:val="213D24B6"/>
    <w:rsid w:val="215F4227"/>
    <w:rsid w:val="216607B4"/>
    <w:rsid w:val="216F58DF"/>
    <w:rsid w:val="21A543B3"/>
    <w:rsid w:val="21BC6F83"/>
    <w:rsid w:val="222E588D"/>
    <w:rsid w:val="223F6B3C"/>
    <w:rsid w:val="225450B1"/>
    <w:rsid w:val="22AC18CE"/>
    <w:rsid w:val="23104D3E"/>
    <w:rsid w:val="23383F4A"/>
    <w:rsid w:val="236B47E0"/>
    <w:rsid w:val="23DA0E6B"/>
    <w:rsid w:val="23DC1B5F"/>
    <w:rsid w:val="23E14310"/>
    <w:rsid w:val="23EA2731"/>
    <w:rsid w:val="240A4B15"/>
    <w:rsid w:val="24126A21"/>
    <w:rsid w:val="243A0633"/>
    <w:rsid w:val="244119C2"/>
    <w:rsid w:val="24BE6D68"/>
    <w:rsid w:val="24C3687B"/>
    <w:rsid w:val="24D406FD"/>
    <w:rsid w:val="24E37B74"/>
    <w:rsid w:val="25013DD6"/>
    <w:rsid w:val="25487B56"/>
    <w:rsid w:val="25943CEA"/>
    <w:rsid w:val="25A55F80"/>
    <w:rsid w:val="25B21938"/>
    <w:rsid w:val="25EF341A"/>
    <w:rsid w:val="2604714B"/>
    <w:rsid w:val="260A2F54"/>
    <w:rsid w:val="26183390"/>
    <w:rsid w:val="262103D6"/>
    <w:rsid w:val="264D6D44"/>
    <w:rsid w:val="267A740D"/>
    <w:rsid w:val="268B492D"/>
    <w:rsid w:val="26955FF5"/>
    <w:rsid w:val="26A566E1"/>
    <w:rsid w:val="26B53D99"/>
    <w:rsid w:val="26EA27E4"/>
    <w:rsid w:val="2705740C"/>
    <w:rsid w:val="27233601"/>
    <w:rsid w:val="27435A51"/>
    <w:rsid w:val="27DA63B5"/>
    <w:rsid w:val="27FB38B9"/>
    <w:rsid w:val="281573ED"/>
    <w:rsid w:val="281A2C55"/>
    <w:rsid w:val="283830DC"/>
    <w:rsid w:val="28870F4E"/>
    <w:rsid w:val="28A637B4"/>
    <w:rsid w:val="28C037FD"/>
    <w:rsid w:val="28D56083"/>
    <w:rsid w:val="28DB45B2"/>
    <w:rsid w:val="28E76FDC"/>
    <w:rsid w:val="29804D3A"/>
    <w:rsid w:val="299B1B74"/>
    <w:rsid w:val="299B7DC6"/>
    <w:rsid w:val="29A2742D"/>
    <w:rsid w:val="29B6075C"/>
    <w:rsid w:val="29BA46F0"/>
    <w:rsid w:val="29D26602"/>
    <w:rsid w:val="29E654E5"/>
    <w:rsid w:val="2A2C3B68"/>
    <w:rsid w:val="2A337FFE"/>
    <w:rsid w:val="2A8D3BB3"/>
    <w:rsid w:val="2AEB08D9"/>
    <w:rsid w:val="2AEE00AE"/>
    <w:rsid w:val="2B146082"/>
    <w:rsid w:val="2B1C4F36"/>
    <w:rsid w:val="2B2D4A4E"/>
    <w:rsid w:val="2B357277"/>
    <w:rsid w:val="2B700348"/>
    <w:rsid w:val="2B7B1C5D"/>
    <w:rsid w:val="2B8E1D3B"/>
    <w:rsid w:val="2BE55328"/>
    <w:rsid w:val="2C5C1A8E"/>
    <w:rsid w:val="2C624BCB"/>
    <w:rsid w:val="2C673F8F"/>
    <w:rsid w:val="2C6E5E3A"/>
    <w:rsid w:val="2C847AAF"/>
    <w:rsid w:val="2CB42E27"/>
    <w:rsid w:val="2CD81465"/>
    <w:rsid w:val="2CF73565"/>
    <w:rsid w:val="2D2C50FB"/>
    <w:rsid w:val="2D7124F1"/>
    <w:rsid w:val="2D775878"/>
    <w:rsid w:val="2D862D19"/>
    <w:rsid w:val="2D896832"/>
    <w:rsid w:val="2D92328E"/>
    <w:rsid w:val="2D990AC0"/>
    <w:rsid w:val="2DC0604D"/>
    <w:rsid w:val="2DCA0C7A"/>
    <w:rsid w:val="2DD35D80"/>
    <w:rsid w:val="2DED6716"/>
    <w:rsid w:val="2DFF4C08"/>
    <w:rsid w:val="2E0E473D"/>
    <w:rsid w:val="2E395838"/>
    <w:rsid w:val="2E471DB9"/>
    <w:rsid w:val="2E4E753A"/>
    <w:rsid w:val="2E5161D8"/>
    <w:rsid w:val="2E693658"/>
    <w:rsid w:val="2EB07E70"/>
    <w:rsid w:val="2ED52D07"/>
    <w:rsid w:val="2EFE18F6"/>
    <w:rsid w:val="2F0D0797"/>
    <w:rsid w:val="2F1C2E97"/>
    <w:rsid w:val="2F3F11F4"/>
    <w:rsid w:val="2F4607D4"/>
    <w:rsid w:val="2F650C5A"/>
    <w:rsid w:val="2F866987"/>
    <w:rsid w:val="2F973FE0"/>
    <w:rsid w:val="2F9E23BE"/>
    <w:rsid w:val="2FB040D9"/>
    <w:rsid w:val="2FB27C17"/>
    <w:rsid w:val="2FEA4612"/>
    <w:rsid w:val="30384ACA"/>
    <w:rsid w:val="305B02AF"/>
    <w:rsid w:val="308A649E"/>
    <w:rsid w:val="308C0468"/>
    <w:rsid w:val="30C56173"/>
    <w:rsid w:val="30D836AE"/>
    <w:rsid w:val="30EF60FB"/>
    <w:rsid w:val="30F229C1"/>
    <w:rsid w:val="31097D0B"/>
    <w:rsid w:val="312406A1"/>
    <w:rsid w:val="313703D4"/>
    <w:rsid w:val="31376626"/>
    <w:rsid w:val="317059AA"/>
    <w:rsid w:val="3176139D"/>
    <w:rsid w:val="31785F12"/>
    <w:rsid w:val="31927D00"/>
    <w:rsid w:val="3216623C"/>
    <w:rsid w:val="321B5F48"/>
    <w:rsid w:val="322E0CBD"/>
    <w:rsid w:val="324E2FCC"/>
    <w:rsid w:val="324E7264"/>
    <w:rsid w:val="325356E2"/>
    <w:rsid w:val="32630B31"/>
    <w:rsid w:val="327E5781"/>
    <w:rsid w:val="32B71DFC"/>
    <w:rsid w:val="32F07E31"/>
    <w:rsid w:val="339C09C3"/>
    <w:rsid w:val="33BD7939"/>
    <w:rsid w:val="33C17F75"/>
    <w:rsid w:val="33D53B72"/>
    <w:rsid w:val="33D740F0"/>
    <w:rsid w:val="33E85D21"/>
    <w:rsid w:val="34332B30"/>
    <w:rsid w:val="345D2265"/>
    <w:rsid w:val="346C4839"/>
    <w:rsid w:val="34885914"/>
    <w:rsid w:val="34971076"/>
    <w:rsid w:val="34B8511F"/>
    <w:rsid w:val="352B0501"/>
    <w:rsid w:val="35A41DB0"/>
    <w:rsid w:val="35DD1533"/>
    <w:rsid w:val="360447A6"/>
    <w:rsid w:val="360B0081"/>
    <w:rsid w:val="361A491D"/>
    <w:rsid w:val="362A0D47"/>
    <w:rsid w:val="36794B8A"/>
    <w:rsid w:val="367E157E"/>
    <w:rsid w:val="36950051"/>
    <w:rsid w:val="369B7A60"/>
    <w:rsid w:val="36F6488E"/>
    <w:rsid w:val="36F7752A"/>
    <w:rsid w:val="370E10CA"/>
    <w:rsid w:val="3715740A"/>
    <w:rsid w:val="372414DE"/>
    <w:rsid w:val="37254E1E"/>
    <w:rsid w:val="373169C3"/>
    <w:rsid w:val="376D4B68"/>
    <w:rsid w:val="37B11FA4"/>
    <w:rsid w:val="37D20E57"/>
    <w:rsid w:val="37E94413"/>
    <w:rsid w:val="38456332"/>
    <w:rsid w:val="38657F1D"/>
    <w:rsid w:val="38804D57"/>
    <w:rsid w:val="3922196A"/>
    <w:rsid w:val="39313159"/>
    <w:rsid w:val="39371A45"/>
    <w:rsid w:val="396E1053"/>
    <w:rsid w:val="397D3044"/>
    <w:rsid w:val="39904C4E"/>
    <w:rsid w:val="39A04098"/>
    <w:rsid w:val="39AC5F09"/>
    <w:rsid w:val="39C25784"/>
    <w:rsid w:val="3A4142DA"/>
    <w:rsid w:val="3A4F489B"/>
    <w:rsid w:val="3A502F3D"/>
    <w:rsid w:val="3A650CD4"/>
    <w:rsid w:val="3A86417A"/>
    <w:rsid w:val="3AEE244B"/>
    <w:rsid w:val="3AFC283E"/>
    <w:rsid w:val="3B0F23C2"/>
    <w:rsid w:val="3B117EE8"/>
    <w:rsid w:val="3B1B0D67"/>
    <w:rsid w:val="3B35720A"/>
    <w:rsid w:val="3B4E6A46"/>
    <w:rsid w:val="3B6B5393"/>
    <w:rsid w:val="3B7F24D9"/>
    <w:rsid w:val="3BE70C49"/>
    <w:rsid w:val="3C362D74"/>
    <w:rsid w:val="3C4B742A"/>
    <w:rsid w:val="3CCD7E3F"/>
    <w:rsid w:val="3CE05DC4"/>
    <w:rsid w:val="3D0D46DF"/>
    <w:rsid w:val="3D2363DE"/>
    <w:rsid w:val="3D2E73D9"/>
    <w:rsid w:val="3D4A2BD7"/>
    <w:rsid w:val="3D4E2BF8"/>
    <w:rsid w:val="3D670293"/>
    <w:rsid w:val="3DC70D32"/>
    <w:rsid w:val="3E0E5E5A"/>
    <w:rsid w:val="3E194BC1"/>
    <w:rsid w:val="3E261EFC"/>
    <w:rsid w:val="3E2C203A"/>
    <w:rsid w:val="3E6B3DB3"/>
    <w:rsid w:val="3E9D4E7A"/>
    <w:rsid w:val="3EAE33FB"/>
    <w:rsid w:val="3ED100BA"/>
    <w:rsid w:val="3F4410C7"/>
    <w:rsid w:val="3F493A88"/>
    <w:rsid w:val="3F67457A"/>
    <w:rsid w:val="3F7D5B4C"/>
    <w:rsid w:val="3FB13A48"/>
    <w:rsid w:val="3FD9785C"/>
    <w:rsid w:val="402011DC"/>
    <w:rsid w:val="402715B4"/>
    <w:rsid w:val="404822D9"/>
    <w:rsid w:val="407639CF"/>
    <w:rsid w:val="407E12ED"/>
    <w:rsid w:val="407F3B46"/>
    <w:rsid w:val="40920B61"/>
    <w:rsid w:val="40B35417"/>
    <w:rsid w:val="40BC4452"/>
    <w:rsid w:val="40C41559"/>
    <w:rsid w:val="40DE0554"/>
    <w:rsid w:val="40FD011C"/>
    <w:rsid w:val="41140732"/>
    <w:rsid w:val="411B386E"/>
    <w:rsid w:val="41870F04"/>
    <w:rsid w:val="41C67F1A"/>
    <w:rsid w:val="41DD0B24"/>
    <w:rsid w:val="41DE69ED"/>
    <w:rsid w:val="41E51C11"/>
    <w:rsid w:val="41EB3E8F"/>
    <w:rsid w:val="42154762"/>
    <w:rsid w:val="4233496A"/>
    <w:rsid w:val="4253528A"/>
    <w:rsid w:val="429D6505"/>
    <w:rsid w:val="42AE45D5"/>
    <w:rsid w:val="42BF193F"/>
    <w:rsid w:val="42D31499"/>
    <w:rsid w:val="42DE43C7"/>
    <w:rsid w:val="43285FDD"/>
    <w:rsid w:val="43762FDE"/>
    <w:rsid w:val="437C1C2F"/>
    <w:rsid w:val="438B465E"/>
    <w:rsid w:val="439A5774"/>
    <w:rsid w:val="43BC6550"/>
    <w:rsid w:val="43C51DF7"/>
    <w:rsid w:val="43C53F65"/>
    <w:rsid w:val="43CA7AEB"/>
    <w:rsid w:val="43E67164"/>
    <w:rsid w:val="44176E2E"/>
    <w:rsid w:val="442073EE"/>
    <w:rsid w:val="4458710A"/>
    <w:rsid w:val="446077EA"/>
    <w:rsid w:val="4469040B"/>
    <w:rsid w:val="447F5EC2"/>
    <w:rsid w:val="44AE4D9C"/>
    <w:rsid w:val="44C86EBD"/>
    <w:rsid w:val="45024E74"/>
    <w:rsid w:val="451A3706"/>
    <w:rsid w:val="453C3DB3"/>
    <w:rsid w:val="455E183D"/>
    <w:rsid w:val="45765583"/>
    <w:rsid w:val="45FB3C6E"/>
    <w:rsid w:val="46004DE1"/>
    <w:rsid w:val="46164604"/>
    <w:rsid w:val="466B3AEF"/>
    <w:rsid w:val="467A1037"/>
    <w:rsid w:val="46AC6D17"/>
    <w:rsid w:val="46D36999"/>
    <w:rsid w:val="46EB3CE3"/>
    <w:rsid w:val="47040901"/>
    <w:rsid w:val="474349B2"/>
    <w:rsid w:val="47484C91"/>
    <w:rsid w:val="474D1BD9"/>
    <w:rsid w:val="47753D34"/>
    <w:rsid w:val="47BE4AF8"/>
    <w:rsid w:val="485F5EDD"/>
    <w:rsid w:val="488F069E"/>
    <w:rsid w:val="48A650E5"/>
    <w:rsid w:val="48BF0F83"/>
    <w:rsid w:val="48E93727"/>
    <w:rsid w:val="49105B36"/>
    <w:rsid w:val="49341F33"/>
    <w:rsid w:val="49BC1967"/>
    <w:rsid w:val="49CA2A0E"/>
    <w:rsid w:val="49D822B4"/>
    <w:rsid w:val="49F92273"/>
    <w:rsid w:val="4A9106FD"/>
    <w:rsid w:val="4A9B5A20"/>
    <w:rsid w:val="4ADC14A8"/>
    <w:rsid w:val="4AEC6F06"/>
    <w:rsid w:val="4AED7B70"/>
    <w:rsid w:val="4B0335BC"/>
    <w:rsid w:val="4B5F403D"/>
    <w:rsid w:val="4B810772"/>
    <w:rsid w:val="4B95246F"/>
    <w:rsid w:val="4BAD77B9"/>
    <w:rsid w:val="4BBE19C6"/>
    <w:rsid w:val="4BE17BBF"/>
    <w:rsid w:val="4C04492D"/>
    <w:rsid w:val="4C416156"/>
    <w:rsid w:val="4CB6167B"/>
    <w:rsid w:val="4CD11285"/>
    <w:rsid w:val="4CD62D3F"/>
    <w:rsid w:val="4CE03BBE"/>
    <w:rsid w:val="4CF66F3E"/>
    <w:rsid w:val="4D245859"/>
    <w:rsid w:val="4DBA7F6B"/>
    <w:rsid w:val="4E0A0163"/>
    <w:rsid w:val="4E1861BB"/>
    <w:rsid w:val="4E1C4782"/>
    <w:rsid w:val="4E567972"/>
    <w:rsid w:val="4E9B5FEF"/>
    <w:rsid w:val="4EBB0FAF"/>
    <w:rsid w:val="4EEE25C2"/>
    <w:rsid w:val="4EFA0F67"/>
    <w:rsid w:val="4F0911AA"/>
    <w:rsid w:val="4F0C0C9A"/>
    <w:rsid w:val="4F2127C3"/>
    <w:rsid w:val="4F2C4E99"/>
    <w:rsid w:val="4F2E6E63"/>
    <w:rsid w:val="4F604B42"/>
    <w:rsid w:val="4F6B59C1"/>
    <w:rsid w:val="4F8C5937"/>
    <w:rsid w:val="4FE31E02"/>
    <w:rsid w:val="4FE614EB"/>
    <w:rsid w:val="5019541D"/>
    <w:rsid w:val="50212524"/>
    <w:rsid w:val="50394750"/>
    <w:rsid w:val="50473843"/>
    <w:rsid w:val="504B57F2"/>
    <w:rsid w:val="506606F3"/>
    <w:rsid w:val="50CA6474"/>
    <w:rsid w:val="510654A1"/>
    <w:rsid w:val="512765D7"/>
    <w:rsid w:val="516A3A56"/>
    <w:rsid w:val="518C7E71"/>
    <w:rsid w:val="51CA17D7"/>
    <w:rsid w:val="51E7154B"/>
    <w:rsid w:val="51E97071"/>
    <w:rsid w:val="51F1661C"/>
    <w:rsid w:val="5201234F"/>
    <w:rsid w:val="5209326F"/>
    <w:rsid w:val="526112FD"/>
    <w:rsid w:val="52B94C95"/>
    <w:rsid w:val="52D040F1"/>
    <w:rsid w:val="536200A8"/>
    <w:rsid w:val="53760DD8"/>
    <w:rsid w:val="538B36A8"/>
    <w:rsid w:val="53C6520D"/>
    <w:rsid w:val="53ED64DC"/>
    <w:rsid w:val="54176927"/>
    <w:rsid w:val="54745F6D"/>
    <w:rsid w:val="54B716A8"/>
    <w:rsid w:val="55043CFA"/>
    <w:rsid w:val="55306D65"/>
    <w:rsid w:val="554A6079"/>
    <w:rsid w:val="556A4509"/>
    <w:rsid w:val="55BD4A9D"/>
    <w:rsid w:val="55C20305"/>
    <w:rsid w:val="55F54236"/>
    <w:rsid w:val="564D4072"/>
    <w:rsid w:val="56646BDD"/>
    <w:rsid w:val="56B440F1"/>
    <w:rsid w:val="56D06A51"/>
    <w:rsid w:val="56FC33A3"/>
    <w:rsid w:val="56FE4C5C"/>
    <w:rsid w:val="57087F99"/>
    <w:rsid w:val="572752A3"/>
    <w:rsid w:val="573214BA"/>
    <w:rsid w:val="573E7E5F"/>
    <w:rsid w:val="57730ABB"/>
    <w:rsid w:val="579F6BBB"/>
    <w:rsid w:val="57A51C8C"/>
    <w:rsid w:val="57D2297B"/>
    <w:rsid w:val="587D6765"/>
    <w:rsid w:val="58A376F8"/>
    <w:rsid w:val="58D75E75"/>
    <w:rsid w:val="58D95D50"/>
    <w:rsid w:val="58DB5992"/>
    <w:rsid w:val="58DC16DE"/>
    <w:rsid w:val="59362507"/>
    <w:rsid w:val="59550F46"/>
    <w:rsid w:val="595B6AA6"/>
    <w:rsid w:val="595D0AD1"/>
    <w:rsid w:val="597C0D6F"/>
    <w:rsid w:val="59943361"/>
    <w:rsid w:val="59EC0167"/>
    <w:rsid w:val="59EC5950"/>
    <w:rsid w:val="5A1B7FE4"/>
    <w:rsid w:val="5A355549"/>
    <w:rsid w:val="5A3E4763"/>
    <w:rsid w:val="5A3F1F24"/>
    <w:rsid w:val="5A6C637A"/>
    <w:rsid w:val="5A7F3CF8"/>
    <w:rsid w:val="5AAE0E58"/>
    <w:rsid w:val="5ABC3575"/>
    <w:rsid w:val="5B4D432B"/>
    <w:rsid w:val="5B500161"/>
    <w:rsid w:val="5B7B3430"/>
    <w:rsid w:val="5BC36B85"/>
    <w:rsid w:val="5C59123F"/>
    <w:rsid w:val="5C814A76"/>
    <w:rsid w:val="5CA50038"/>
    <w:rsid w:val="5CAA110F"/>
    <w:rsid w:val="5CCC5C0E"/>
    <w:rsid w:val="5CFC234E"/>
    <w:rsid w:val="5D121B72"/>
    <w:rsid w:val="5DA54794"/>
    <w:rsid w:val="5DC3599E"/>
    <w:rsid w:val="5DD0445A"/>
    <w:rsid w:val="5DD21301"/>
    <w:rsid w:val="5DDC7A8A"/>
    <w:rsid w:val="5E196F30"/>
    <w:rsid w:val="5E1C432A"/>
    <w:rsid w:val="5E2262DA"/>
    <w:rsid w:val="5E830FE3"/>
    <w:rsid w:val="5E93283E"/>
    <w:rsid w:val="5EA22A81"/>
    <w:rsid w:val="5ECB541F"/>
    <w:rsid w:val="5EDB4154"/>
    <w:rsid w:val="5EEE3F19"/>
    <w:rsid w:val="5EEF0283"/>
    <w:rsid w:val="5F8A79DC"/>
    <w:rsid w:val="5F9C5723"/>
    <w:rsid w:val="5F9E3FE4"/>
    <w:rsid w:val="5FBA587D"/>
    <w:rsid w:val="5FD2383A"/>
    <w:rsid w:val="5FE5328C"/>
    <w:rsid w:val="5FE9338C"/>
    <w:rsid w:val="6017073D"/>
    <w:rsid w:val="601C6864"/>
    <w:rsid w:val="60233110"/>
    <w:rsid w:val="60233A43"/>
    <w:rsid w:val="608741CE"/>
    <w:rsid w:val="60914FC3"/>
    <w:rsid w:val="60D333C6"/>
    <w:rsid w:val="60F65306"/>
    <w:rsid w:val="60FD6695"/>
    <w:rsid w:val="613E0E81"/>
    <w:rsid w:val="614852C6"/>
    <w:rsid w:val="61B50D1E"/>
    <w:rsid w:val="61C3343B"/>
    <w:rsid w:val="61F56813"/>
    <w:rsid w:val="61FC4B9F"/>
    <w:rsid w:val="61FF01EB"/>
    <w:rsid w:val="620E723F"/>
    <w:rsid w:val="62172ADC"/>
    <w:rsid w:val="623A4DCF"/>
    <w:rsid w:val="626741D3"/>
    <w:rsid w:val="628C0C5B"/>
    <w:rsid w:val="628F035B"/>
    <w:rsid w:val="63113C32"/>
    <w:rsid w:val="63685516"/>
    <w:rsid w:val="63915C3A"/>
    <w:rsid w:val="63BF5E84"/>
    <w:rsid w:val="64124205"/>
    <w:rsid w:val="642A6E19"/>
    <w:rsid w:val="643524E3"/>
    <w:rsid w:val="643E00BF"/>
    <w:rsid w:val="644E7621"/>
    <w:rsid w:val="647B7FFD"/>
    <w:rsid w:val="6490473E"/>
    <w:rsid w:val="64B1327F"/>
    <w:rsid w:val="64C33752"/>
    <w:rsid w:val="64CF0348"/>
    <w:rsid w:val="64DF6129"/>
    <w:rsid w:val="64E30A47"/>
    <w:rsid w:val="656960A7"/>
    <w:rsid w:val="6589499B"/>
    <w:rsid w:val="659550EE"/>
    <w:rsid w:val="65A44BF5"/>
    <w:rsid w:val="65B12E03"/>
    <w:rsid w:val="65F8742B"/>
    <w:rsid w:val="660202AA"/>
    <w:rsid w:val="661D4A73"/>
    <w:rsid w:val="667271DD"/>
    <w:rsid w:val="667444A2"/>
    <w:rsid w:val="668F4233"/>
    <w:rsid w:val="66C527FB"/>
    <w:rsid w:val="66C97BF9"/>
    <w:rsid w:val="66CD266D"/>
    <w:rsid w:val="66EA263A"/>
    <w:rsid w:val="67544B35"/>
    <w:rsid w:val="6762055F"/>
    <w:rsid w:val="6764120B"/>
    <w:rsid w:val="67713019"/>
    <w:rsid w:val="679077B8"/>
    <w:rsid w:val="67C82D2D"/>
    <w:rsid w:val="67CA42A6"/>
    <w:rsid w:val="67ED169D"/>
    <w:rsid w:val="67ED6375"/>
    <w:rsid w:val="67F01C8B"/>
    <w:rsid w:val="680E1188"/>
    <w:rsid w:val="681A18DB"/>
    <w:rsid w:val="682867E9"/>
    <w:rsid w:val="682D5AB2"/>
    <w:rsid w:val="68991A76"/>
    <w:rsid w:val="689E6035"/>
    <w:rsid w:val="69015DDF"/>
    <w:rsid w:val="69374E2F"/>
    <w:rsid w:val="696C085C"/>
    <w:rsid w:val="696F3A23"/>
    <w:rsid w:val="697B2421"/>
    <w:rsid w:val="698F7DFD"/>
    <w:rsid w:val="69CC4E56"/>
    <w:rsid w:val="6A6432E1"/>
    <w:rsid w:val="6A776FFE"/>
    <w:rsid w:val="6A7F011B"/>
    <w:rsid w:val="6A941E18"/>
    <w:rsid w:val="6AD675F1"/>
    <w:rsid w:val="6ADC008B"/>
    <w:rsid w:val="6AE1235B"/>
    <w:rsid w:val="6B4F5D3F"/>
    <w:rsid w:val="6B60619E"/>
    <w:rsid w:val="6B790EAD"/>
    <w:rsid w:val="6BD25B69"/>
    <w:rsid w:val="6BD76475"/>
    <w:rsid w:val="6BF32B6E"/>
    <w:rsid w:val="6BF663C6"/>
    <w:rsid w:val="6C160104"/>
    <w:rsid w:val="6C3D3BAD"/>
    <w:rsid w:val="6C762ED5"/>
    <w:rsid w:val="6C866040"/>
    <w:rsid w:val="6CB22A29"/>
    <w:rsid w:val="6CE452D6"/>
    <w:rsid w:val="6D406B7E"/>
    <w:rsid w:val="6D5F0CFC"/>
    <w:rsid w:val="6D6E7C26"/>
    <w:rsid w:val="6DA545A9"/>
    <w:rsid w:val="6DEE183F"/>
    <w:rsid w:val="6E0A23F1"/>
    <w:rsid w:val="6E0F6CB3"/>
    <w:rsid w:val="6E470FE4"/>
    <w:rsid w:val="6E821E5D"/>
    <w:rsid w:val="6E835D40"/>
    <w:rsid w:val="6EAB7730"/>
    <w:rsid w:val="6ECE341F"/>
    <w:rsid w:val="6ED22F0F"/>
    <w:rsid w:val="6EED1AF7"/>
    <w:rsid w:val="6F35349E"/>
    <w:rsid w:val="6F491637"/>
    <w:rsid w:val="6F7044D6"/>
    <w:rsid w:val="6F9A108B"/>
    <w:rsid w:val="6FC22F83"/>
    <w:rsid w:val="6FC73896"/>
    <w:rsid w:val="6FF2313D"/>
    <w:rsid w:val="701C1712"/>
    <w:rsid w:val="701D1E21"/>
    <w:rsid w:val="7081639B"/>
    <w:rsid w:val="70C268AA"/>
    <w:rsid w:val="70CB40BA"/>
    <w:rsid w:val="70F21646"/>
    <w:rsid w:val="71C3653F"/>
    <w:rsid w:val="71D06676"/>
    <w:rsid w:val="71D71745"/>
    <w:rsid w:val="71DC2FB0"/>
    <w:rsid w:val="723143F0"/>
    <w:rsid w:val="725E2D0C"/>
    <w:rsid w:val="72760055"/>
    <w:rsid w:val="729E51BE"/>
    <w:rsid w:val="72A9042B"/>
    <w:rsid w:val="72E476B5"/>
    <w:rsid w:val="72EC2C70"/>
    <w:rsid w:val="733221CE"/>
    <w:rsid w:val="737310E6"/>
    <w:rsid w:val="738A2975"/>
    <w:rsid w:val="73903399"/>
    <w:rsid w:val="739369E5"/>
    <w:rsid w:val="739F3D64"/>
    <w:rsid w:val="73A62BBC"/>
    <w:rsid w:val="73E07E7C"/>
    <w:rsid w:val="73E321BC"/>
    <w:rsid w:val="74980BA6"/>
    <w:rsid w:val="74CB28DA"/>
    <w:rsid w:val="755D72AA"/>
    <w:rsid w:val="758F4FAA"/>
    <w:rsid w:val="759E0D5A"/>
    <w:rsid w:val="75A35605"/>
    <w:rsid w:val="75B76C8E"/>
    <w:rsid w:val="75BD7AE6"/>
    <w:rsid w:val="76306C40"/>
    <w:rsid w:val="76A41B15"/>
    <w:rsid w:val="76FF5720"/>
    <w:rsid w:val="774A5DE2"/>
    <w:rsid w:val="77997ED6"/>
    <w:rsid w:val="77C448E3"/>
    <w:rsid w:val="780802FA"/>
    <w:rsid w:val="780D4FB8"/>
    <w:rsid w:val="78746DE5"/>
    <w:rsid w:val="78D41F79"/>
    <w:rsid w:val="78FC4F0A"/>
    <w:rsid w:val="790E2D96"/>
    <w:rsid w:val="79164340"/>
    <w:rsid w:val="7942327A"/>
    <w:rsid w:val="797F1EE5"/>
    <w:rsid w:val="798E6F68"/>
    <w:rsid w:val="79B449DA"/>
    <w:rsid w:val="79EC510A"/>
    <w:rsid w:val="7A037F70"/>
    <w:rsid w:val="7A2C2ECD"/>
    <w:rsid w:val="7A37631C"/>
    <w:rsid w:val="7A6537B6"/>
    <w:rsid w:val="7A9B2D4F"/>
    <w:rsid w:val="7AF214BD"/>
    <w:rsid w:val="7AFB37ED"/>
    <w:rsid w:val="7B16579F"/>
    <w:rsid w:val="7B166879"/>
    <w:rsid w:val="7B1D3764"/>
    <w:rsid w:val="7B4C229B"/>
    <w:rsid w:val="7B7315D6"/>
    <w:rsid w:val="7BD06A28"/>
    <w:rsid w:val="7BDE7397"/>
    <w:rsid w:val="7C5721E8"/>
    <w:rsid w:val="7C8522AD"/>
    <w:rsid w:val="7CAF4890"/>
    <w:rsid w:val="7CF8146F"/>
    <w:rsid w:val="7D755AD9"/>
    <w:rsid w:val="7D80622C"/>
    <w:rsid w:val="7DA63EE4"/>
    <w:rsid w:val="7DAE44BA"/>
    <w:rsid w:val="7DC43272"/>
    <w:rsid w:val="7DC66F35"/>
    <w:rsid w:val="7DFA5FDE"/>
    <w:rsid w:val="7E33504C"/>
    <w:rsid w:val="7E43127C"/>
    <w:rsid w:val="7E494870"/>
    <w:rsid w:val="7E6C17AC"/>
    <w:rsid w:val="7E773953"/>
    <w:rsid w:val="7E834226"/>
    <w:rsid w:val="7E9B1E35"/>
    <w:rsid w:val="7EB66C4D"/>
    <w:rsid w:val="7F0D1D41"/>
    <w:rsid w:val="7F631A9D"/>
    <w:rsid w:val="7F69330B"/>
    <w:rsid w:val="7F7D34E6"/>
    <w:rsid w:val="7FE62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7"/>
    <w:qFormat/>
    <w:uiPriority w:val="9"/>
    <w:pPr>
      <w:keepNext/>
      <w:overflowPunct w:val="0"/>
      <w:snapToGrid w:val="0"/>
      <w:spacing w:before="120" w:after="160" w:line="259" w:lineRule="auto"/>
      <w:ind w:left="432" w:hanging="432"/>
      <w:outlineLvl w:val="0"/>
    </w:pPr>
    <w:rPr>
      <w:rFonts w:eastAsia="微软雅黑 Regular"/>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Microsoft YaHei UI" w:hAnsi="Microsoft YaHei UI" w:eastAsia="微软雅黑 Regular"/>
      <w:b/>
      <w:bCs/>
      <w:sz w:val="32"/>
      <w:szCs w:val="32"/>
    </w:rPr>
  </w:style>
  <w:style w:type="paragraph" w:styleId="5">
    <w:name w:val="heading 3"/>
    <w:basedOn w:val="1"/>
    <w:next w:val="1"/>
    <w:unhideWhenUsed/>
    <w:qFormat/>
    <w:uiPriority w:val="0"/>
    <w:pPr>
      <w:keepNext/>
      <w:keepLines/>
      <w:spacing w:line="460" w:lineRule="exact"/>
      <w:outlineLvl w:val="2"/>
    </w:pPr>
    <w:rPr>
      <w:b/>
      <w:bCs/>
    </w:rPr>
  </w:style>
  <w:style w:type="paragraph" w:styleId="2">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qFormat/>
    <w:uiPriority w:val="0"/>
    <w:pPr>
      <w:tabs>
        <w:tab w:val="left" w:pos="540"/>
        <w:tab w:val="left" w:pos="1080"/>
        <w:tab w:val="left" w:pos="1800"/>
      </w:tabs>
      <w:adjustRightInd w:val="0"/>
      <w:snapToGrid w:val="0"/>
      <w:spacing w:line="360" w:lineRule="auto"/>
      <w:ind w:firstLine="480"/>
    </w:pPr>
    <w:rPr>
      <w:rFonts w:ascii="楷体_GB2312" w:hAnsi="monospace"/>
      <w:sz w:val="24"/>
      <w:szCs w:val="21"/>
    </w:rPr>
  </w:style>
  <w:style w:type="paragraph" w:styleId="8">
    <w:name w:val="caption"/>
    <w:basedOn w:val="1"/>
    <w:next w:val="1"/>
    <w:qFormat/>
    <w:uiPriority w:val="99"/>
    <w:pPr>
      <w:spacing w:beforeLines="50"/>
      <w:ind w:firstLine="0" w:firstLineChars="0"/>
      <w:jc w:val="center"/>
    </w:pPr>
    <w:rPr>
      <w:rFonts w:eastAsia="宋体"/>
      <w:b/>
      <w:szCs w:val="20"/>
    </w:rPr>
  </w:style>
  <w:style w:type="paragraph" w:styleId="9">
    <w:name w:val="annotation text"/>
    <w:basedOn w:val="1"/>
    <w:link w:val="79"/>
    <w:qFormat/>
    <w:uiPriority w:val="0"/>
    <w:pPr>
      <w:jc w:val="left"/>
    </w:pPr>
    <w:rPr>
      <w:kern w:val="0"/>
      <w:sz w:val="24"/>
      <w:szCs w:val="20"/>
    </w:rPr>
  </w:style>
  <w:style w:type="paragraph" w:styleId="10">
    <w:name w:val="Body Text"/>
    <w:basedOn w:val="1"/>
    <w:qFormat/>
    <w:uiPriority w:val="99"/>
    <w:pPr>
      <w:widowControl/>
      <w:snapToGrid w:val="0"/>
      <w:spacing w:before="60" w:after="160" w:line="259" w:lineRule="auto"/>
      <w:ind w:right="113"/>
    </w:pPr>
    <w:rPr>
      <w:kern w:val="0"/>
      <w:sz w:val="18"/>
      <w:szCs w:val="20"/>
    </w:rPr>
  </w:style>
  <w:style w:type="paragraph" w:styleId="11">
    <w:name w:val="Plain Text"/>
    <w:basedOn w:val="1"/>
    <w:next w:val="1"/>
    <w:qFormat/>
    <w:uiPriority w:val="0"/>
    <w:rPr>
      <w:rFonts w:ascii="宋体" w:hAnsi="Courier New"/>
      <w:kern w:val="0"/>
      <w:sz w:val="20"/>
      <w:szCs w:val="20"/>
    </w:rPr>
  </w:style>
  <w:style w:type="paragraph" w:styleId="12">
    <w:name w:val="List Bullet 5"/>
    <w:basedOn w:val="1"/>
    <w:qFormat/>
    <w:uiPriority w:val="0"/>
    <w:pPr>
      <w:numPr>
        <w:ilvl w:val="0"/>
        <w:numId w:val="1"/>
      </w:numPr>
    </w:pPr>
  </w:style>
  <w:style w:type="paragraph" w:styleId="13">
    <w:name w:val="Body Text Indent 2"/>
    <w:basedOn w:val="1"/>
    <w:next w:val="1"/>
    <w:unhideWhenUsed/>
    <w:qFormat/>
    <w:uiPriority w:val="99"/>
    <w:pPr>
      <w:spacing w:after="120" w:line="480" w:lineRule="auto"/>
      <w:ind w:left="420" w:leftChars="200"/>
    </w:p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List"/>
    <w:basedOn w:val="1"/>
    <w:qFormat/>
    <w:uiPriority w:val="0"/>
    <w:pPr>
      <w:ind w:left="200" w:hanging="200" w:hangingChars="200"/>
    </w:pPr>
  </w:style>
  <w:style w:type="paragraph" w:styleId="17">
    <w:name w:val="Body Text 2"/>
    <w:basedOn w:val="1"/>
    <w:qFormat/>
    <w:uiPriority w:val="0"/>
    <w:pPr>
      <w:spacing w:after="120" w:line="480" w:lineRule="auto"/>
    </w:pPr>
  </w:style>
  <w:style w:type="paragraph" w:styleId="18">
    <w:name w:val="Normal (Web)"/>
    <w:basedOn w:val="1"/>
    <w:qFormat/>
    <w:uiPriority w:val="0"/>
    <w:pPr>
      <w:widowControl/>
      <w:spacing w:before="100" w:beforeAutospacing="1" w:after="100" w:afterAutospacing="1"/>
      <w:jc w:val="left"/>
    </w:pPr>
    <w:rPr>
      <w:rFonts w:ascii="monospace" w:hAnsi="monospace"/>
      <w:kern w:val="0"/>
      <w:sz w:val="24"/>
      <w:szCs w:val="20"/>
    </w:rPr>
  </w:style>
  <w:style w:type="paragraph" w:styleId="19">
    <w:name w:val="Title"/>
    <w:basedOn w:val="1"/>
    <w:next w:val="1"/>
    <w:qFormat/>
    <w:uiPriority w:val="0"/>
    <w:pPr>
      <w:spacing w:before="60" w:line="460" w:lineRule="exact"/>
      <w:outlineLvl w:val="1"/>
    </w:pPr>
    <w:rPr>
      <w:rFonts w:eastAsia="仿宋"/>
      <w:b/>
      <w:bCs/>
      <w:sz w:val="28"/>
      <w:szCs w:val="32"/>
    </w:rPr>
  </w:style>
  <w:style w:type="paragraph" w:styleId="20">
    <w:name w:val="annotation subject"/>
    <w:basedOn w:val="9"/>
    <w:next w:val="9"/>
    <w:link w:val="80"/>
    <w:qFormat/>
    <w:uiPriority w:val="0"/>
    <w:rPr>
      <w:b/>
      <w:bCs/>
      <w:kern w:val="2"/>
      <w:sz w:val="21"/>
      <w:szCs w:val="24"/>
    </w:rPr>
  </w:style>
  <w:style w:type="paragraph" w:styleId="21">
    <w:name w:val="Body Text First Indent 2"/>
    <w:basedOn w:val="1"/>
    <w:next w:val="1"/>
    <w:unhideWhenUsed/>
    <w:qFormat/>
    <w:uiPriority w:val="99"/>
    <w:pPr>
      <w:spacing w:after="120"/>
      <w:ind w:left="420" w:leftChars="200" w:firstLine="420" w:firstLineChars="200"/>
    </w:p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Emphasis"/>
    <w:basedOn w:val="24"/>
    <w:qFormat/>
    <w:uiPriority w:val="0"/>
    <w:rPr>
      <w:i/>
    </w:rPr>
  </w:style>
  <w:style w:type="character" w:styleId="28">
    <w:name w:val="Hyperlink"/>
    <w:basedOn w:val="24"/>
    <w:qFormat/>
    <w:uiPriority w:val="0"/>
    <w:rPr>
      <w:color w:val="0000FF"/>
      <w:u w:val="single"/>
    </w:rPr>
  </w:style>
  <w:style w:type="character" w:styleId="29">
    <w:name w:val="annotation reference"/>
    <w:semiHidden/>
    <w:qFormat/>
    <w:uiPriority w:val="0"/>
    <w:rPr>
      <w:sz w:val="21"/>
    </w:rPr>
  </w:style>
  <w:style w:type="paragraph" w:customStyle="1" w:styleId="30">
    <w:name w:val="Default"/>
    <w:basedOn w:val="31"/>
    <w:qFormat/>
    <w:uiPriority w:val="99"/>
    <w:pPr>
      <w:widowControl w:val="0"/>
      <w:autoSpaceDE w:val="0"/>
      <w:autoSpaceDN w:val="0"/>
      <w:adjustRightInd w:val="0"/>
    </w:pPr>
    <w:rPr>
      <w:rFonts w:ascii="宋体" w:eastAsia="宋体" w:cs="Times New Roman"/>
      <w:color w:val="000000"/>
      <w:sz w:val="24"/>
    </w:rPr>
  </w:style>
  <w:style w:type="paragraph" w:customStyle="1" w:styleId="31">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character" w:customStyle="1" w:styleId="32">
    <w:name w:val="fontstyle01"/>
    <w:qFormat/>
    <w:uiPriority w:val="0"/>
    <w:rPr>
      <w:rFonts w:hint="eastAsia" w:ascii="monospace" w:hAnsi="monospace" w:eastAsia="monospace"/>
      <w:color w:val="000000"/>
      <w:sz w:val="24"/>
      <w:szCs w:val="24"/>
    </w:rPr>
  </w:style>
  <w:style w:type="paragraph" w:customStyle="1" w:styleId="33">
    <w:name w:val="正文文本 (4)"/>
    <w:basedOn w:val="1"/>
    <w:qFormat/>
    <w:uiPriority w:val="0"/>
    <w:pPr>
      <w:widowControl/>
      <w:shd w:val="clear" w:color="auto" w:fill="FFFFFF"/>
      <w:spacing w:line="590" w:lineRule="exact"/>
      <w:ind w:firstLine="680"/>
      <w:jc w:val="left"/>
    </w:pPr>
    <w:rPr>
      <w:rFonts w:ascii="MingLiU" w:hAnsi="MingLiU" w:eastAsia="MingLiU"/>
      <w:b/>
      <w:bCs/>
      <w:kern w:val="0"/>
      <w:sz w:val="31"/>
      <w:szCs w:val="31"/>
    </w:rPr>
  </w:style>
  <w:style w:type="character" w:customStyle="1" w:styleId="34">
    <w:name w:val="正文文本 (4) + 17 pt"/>
    <w:qFormat/>
    <w:uiPriority w:val="0"/>
    <w:rPr>
      <w:rFonts w:ascii="MingLiU" w:hAnsi="MingLiU" w:eastAsia="MingLiU" w:cs="MingLiU"/>
      <w:b/>
      <w:bCs/>
      <w:color w:val="000000"/>
      <w:spacing w:val="0"/>
      <w:w w:val="100"/>
      <w:position w:val="0"/>
      <w:sz w:val="34"/>
      <w:szCs w:val="34"/>
      <w:u w:val="none"/>
    </w:rPr>
  </w:style>
  <w:style w:type="paragraph" w:customStyle="1" w:styleId="35">
    <w:name w:val="0表格标题"/>
    <w:basedOn w:val="1"/>
    <w:qFormat/>
    <w:uiPriority w:val="0"/>
    <w:pPr>
      <w:contextualSpacing/>
      <w:jc w:val="center"/>
    </w:pPr>
    <w:rPr>
      <w:rFonts w:ascii="Calibri" w:hAnsi="Calibri" w:eastAsia="黑体"/>
      <w:szCs w:val="21"/>
    </w:rPr>
  </w:style>
  <w:style w:type="paragraph" w:customStyle="1" w:styleId="36">
    <w:name w:val="表格"/>
    <w:basedOn w:val="1"/>
    <w:next w:val="1"/>
    <w:qFormat/>
    <w:uiPriority w:val="0"/>
    <w:pPr>
      <w:adjustRightInd w:val="0"/>
      <w:snapToGrid w:val="0"/>
      <w:spacing w:beforeLines="10" w:afterLines="10" w:line="259" w:lineRule="auto"/>
      <w:jc w:val="center"/>
    </w:pPr>
    <w:rPr>
      <w:rFonts w:ascii="monospace"/>
      <w:kern w:val="0"/>
      <w:szCs w:val="20"/>
    </w:rPr>
  </w:style>
  <w:style w:type="paragraph" w:customStyle="1" w:styleId="37">
    <w:name w:val="表中文字"/>
    <w:basedOn w:val="1"/>
    <w:qFormat/>
    <w:uiPriority w:val="0"/>
    <w:pPr>
      <w:adjustRightInd w:val="0"/>
      <w:snapToGrid w:val="0"/>
      <w:spacing w:line="400" w:lineRule="exact"/>
      <w:jc w:val="center"/>
    </w:pPr>
    <w:rPr>
      <w:rFonts w:ascii="楷体_GB2312" w:hAnsi="TimesNewRomanPSMT"/>
    </w:rPr>
  </w:style>
  <w:style w:type="paragraph" w:customStyle="1" w:styleId="38">
    <w:name w:val="样式 正文缩进正文缩进2正文缩进 Char Char正文缩进 Char Char Char Char正文缩进 Char ..."/>
    <w:basedOn w:val="7"/>
    <w:qFormat/>
    <w:uiPriority w:val="0"/>
    <w:pPr>
      <w:tabs>
        <w:tab w:val="left" w:pos="105"/>
      </w:tabs>
      <w:ind w:firstLine="200"/>
    </w:pPr>
    <w:rPr>
      <w:rFonts w:ascii="仿宋_GB2312" w:hAnsi="仿宋_GB2312" w:cs="宋体"/>
    </w:rPr>
  </w:style>
  <w:style w:type="paragraph" w:customStyle="1" w:styleId="39">
    <w:name w:val="L正文"/>
    <w:basedOn w:val="1"/>
    <w:qFormat/>
    <w:uiPriority w:val="0"/>
    <w:pPr>
      <w:adjustRightInd w:val="0"/>
      <w:snapToGrid w:val="0"/>
      <w:spacing w:line="360" w:lineRule="auto"/>
      <w:ind w:firstLine="200" w:firstLineChars="200"/>
      <w:jc w:val="left"/>
    </w:pPr>
    <w:rPr>
      <w:sz w:val="24"/>
    </w:rPr>
  </w:style>
  <w:style w:type="paragraph" w:customStyle="1" w:styleId="40">
    <w:name w:val="L表格"/>
    <w:basedOn w:val="39"/>
    <w:qFormat/>
    <w:uiPriority w:val="0"/>
    <w:pPr>
      <w:spacing w:line="320" w:lineRule="exact"/>
      <w:ind w:firstLine="0" w:firstLineChars="0"/>
      <w:jc w:val="center"/>
    </w:pPr>
    <w:rPr>
      <w:rFonts w:eastAsia="Times New Roman"/>
      <w:sz w:val="21"/>
    </w:rPr>
  </w:style>
  <w:style w:type="paragraph" w:customStyle="1" w:styleId="41">
    <w:name w:val="表头格式"/>
    <w:basedOn w:val="1"/>
    <w:qFormat/>
    <w:uiPriority w:val="0"/>
    <w:pPr>
      <w:snapToGrid w:val="0"/>
      <w:spacing w:before="50" w:beforeLines="50" w:line="400" w:lineRule="exact"/>
      <w:jc w:val="center"/>
      <w:outlineLvl w:val="4"/>
    </w:pPr>
    <w:rPr>
      <w:b/>
      <w:color w:val="000000"/>
      <w:sz w:val="24"/>
    </w:rPr>
  </w:style>
  <w:style w:type="paragraph" w:customStyle="1" w:styleId="42">
    <w:name w:val="表内文字"/>
    <w:basedOn w:val="1"/>
    <w:qFormat/>
    <w:uiPriority w:val="0"/>
    <w:pPr>
      <w:overflowPunct w:val="0"/>
      <w:autoSpaceDE w:val="0"/>
      <w:autoSpaceDN w:val="0"/>
      <w:adjustRightInd w:val="0"/>
      <w:snapToGrid w:val="0"/>
      <w:spacing w:line="320" w:lineRule="atLeast"/>
      <w:jc w:val="center"/>
      <w:textAlignment w:val="baseline"/>
    </w:pPr>
    <w:rPr>
      <w:kern w:val="0"/>
    </w:rPr>
  </w:style>
  <w:style w:type="paragraph" w:customStyle="1" w:styleId="43">
    <w:name w:val="Table Paragraph"/>
    <w:basedOn w:val="1"/>
    <w:qFormat/>
    <w:uiPriority w:val="0"/>
    <w:pPr>
      <w:autoSpaceDE w:val="0"/>
      <w:autoSpaceDN w:val="0"/>
      <w:adjustRightInd w:val="0"/>
      <w:jc w:val="left"/>
    </w:pPr>
    <w:rPr>
      <w:kern w:val="0"/>
      <w:sz w:val="24"/>
    </w:rPr>
  </w:style>
  <w:style w:type="paragraph" w:customStyle="1" w:styleId="44">
    <w:name w:val="表格1"/>
    <w:basedOn w:val="1"/>
    <w:qFormat/>
    <w:uiPriority w:val="0"/>
    <w:pPr>
      <w:jc w:val="center"/>
    </w:pPr>
    <w:rPr>
      <w:sz w:val="22"/>
      <w:szCs w:val="22"/>
    </w:rPr>
  </w:style>
  <w:style w:type="paragraph" w:customStyle="1" w:styleId="45">
    <w:name w:val="环评正文"/>
    <w:qFormat/>
    <w:uiPriority w:val="0"/>
    <w:pPr>
      <w:spacing w:line="400" w:lineRule="exact"/>
      <w:ind w:firstLine="200" w:firstLineChars="200"/>
    </w:pPr>
    <w:rPr>
      <w:rFonts w:ascii="Times New Roman" w:hAnsi="Times New Roman" w:eastAsia="宋体" w:cs="Times New Roman"/>
      <w:bCs/>
      <w:kern w:val="2"/>
      <w:sz w:val="24"/>
      <w:szCs w:val="24"/>
      <w:lang w:val="en-US" w:eastAsia="zh-CN" w:bidi="ar-SA"/>
    </w:rPr>
  </w:style>
  <w:style w:type="paragraph" w:styleId="46">
    <w:name w:val="List Paragraph"/>
    <w:basedOn w:val="1"/>
    <w:unhideWhenUsed/>
    <w:qFormat/>
    <w:uiPriority w:val="1"/>
    <w:rPr>
      <w:sz w:val="24"/>
    </w:rPr>
  </w:style>
  <w:style w:type="paragraph" w:customStyle="1" w:styleId="47">
    <w:name w:val="正文01"/>
    <w:basedOn w:val="1"/>
    <w:qFormat/>
    <w:uiPriority w:val="0"/>
    <w:pPr>
      <w:spacing w:before="60" w:line="460" w:lineRule="exact"/>
      <w:ind w:firstLine="200" w:firstLineChars="200"/>
    </w:pPr>
    <w:rPr>
      <w:bCs/>
      <w:sz w:val="24"/>
      <w:szCs w:val="20"/>
    </w:rPr>
  </w:style>
  <w:style w:type="paragraph" w:customStyle="1" w:styleId="48">
    <w:name w:val="表格文字"/>
    <w:basedOn w:val="11"/>
    <w:next w:val="1"/>
    <w:qFormat/>
    <w:uiPriority w:val="0"/>
    <w:pPr>
      <w:tabs>
        <w:tab w:val="left" w:pos="540"/>
        <w:tab w:val="left" w:pos="1080"/>
        <w:tab w:val="left" w:pos="1800"/>
      </w:tabs>
      <w:adjustRightInd w:val="0"/>
      <w:spacing w:line="360" w:lineRule="atLeast"/>
      <w:jc w:val="center"/>
      <w:textAlignment w:val="baseline"/>
    </w:pPr>
  </w:style>
  <w:style w:type="paragraph" w:customStyle="1" w:styleId="49">
    <w:name w:val="表格内容格式"/>
    <w:basedOn w:val="1"/>
    <w:next w:val="1"/>
    <w:qFormat/>
    <w:uiPriority w:val="1"/>
    <w:pPr>
      <w:jc w:val="center"/>
    </w:pPr>
    <w:rPr>
      <w:kern w:val="0"/>
      <w:sz w:val="22"/>
      <w:szCs w:val="22"/>
      <w:lang w:eastAsia="en-US"/>
    </w:rPr>
  </w:style>
  <w:style w:type="paragraph" w:customStyle="1" w:styleId="50">
    <w:name w:val="图标"/>
    <w:basedOn w:val="1"/>
    <w:next w:val="1"/>
    <w:qFormat/>
    <w:uiPriority w:val="0"/>
    <w:pPr>
      <w:jc w:val="center"/>
    </w:pPr>
    <w:rPr>
      <w:b/>
      <w:sz w:val="24"/>
      <w:szCs w:val="20"/>
    </w:rPr>
  </w:style>
  <w:style w:type="paragraph" w:customStyle="1" w:styleId="51">
    <w:name w:val="1文章"/>
    <w:basedOn w:val="1"/>
    <w:qFormat/>
    <w:uiPriority w:val="0"/>
    <w:pPr>
      <w:snapToGrid w:val="0"/>
      <w:spacing w:line="420" w:lineRule="auto"/>
      <w:ind w:firstLine="454"/>
      <w:outlineLvl w:val="4"/>
    </w:pPr>
    <w:rPr>
      <w:spacing w:val="4"/>
    </w:rPr>
  </w:style>
  <w:style w:type="paragraph" w:customStyle="1" w:styleId="52">
    <w:name w:val="纯文本1"/>
    <w:basedOn w:val="1"/>
    <w:qFormat/>
    <w:uiPriority w:val="0"/>
    <w:pPr>
      <w:adjustRightInd w:val="0"/>
    </w:pPr>
    <w:rPr>
      <w:rFonts w:hAnsi="Courier New"/>
      <w:szCs w:val="20"/>
    </w:rPr>
  </w:style>
  <w:style w:type="paragraph" w:customStyle="1" w:styleId="53">
    <w:name w:val="CCGL正文"/>
    <w:basedOn w:val="1"/>
    <w:qFormat/>
    <w:uiPriority w:val="0"/>
    <w:pPr>
      <w:autoSpaceDE w:val="0"/>
      <w:autoSpaceDN w:val="0"/>
      <w:adjustRightInd w:val="0"/>
      <w:spacing w:line="460" w:lineRule="exact"/>
      <w:ind w:firstLine="420" w:firstLineChars="200"/>
      <w:textAlignment w:val="baseline"/>
    </w:pPr>
    <w:rPr>
      <w:kern w:val="0"/>
      <w:sz w:val="26"/>
      <w:szCs w:val="22"/>
    </w:rPr>
  </w:style>
  <w:style w:type="paragraph" w:customStyle="1" w:styleId="54">
    <w:name w:val="表格内居中文字"/>
    <w:basedOn w:val="1"/>
    <w:qFormat/>
    <w:uiPriority w:val="0"/>
    <w:pPr>
      <w:jc w:val="center"/>
    </w:pPr>
    <w:rPr>
      <w:sz w:val="22"/>
    </w:rPr>
  </w:style>
  <w:style w:type="paragraph" w:customStyle="1" w:styleId="55">
    <w:name w:val="排版正文"/>
    <w:basedOn w:val="1"/>
    <w:qFormat/>
    <w:uiPriority w:val="0"/>
    <w:pPr>
      <w:adjustRightInd w:val="0"/>
      <w:snapToGrid w:val="0"/>
      <w:spacing w:line="460" w:lineRule="exact"/>
      <w:ind w:firstLine="520" w:firstLineChars="200"/>
    </w:pPr>
    <w:rPr>
      <w:color w:val="000000"/>
      <w:sz w:val="26"/>
    </w:rPr>
  </w:style>
  <w:style w:type="paragraph" w:customStyle="1" w:styleId="56">
    <w:name w:val="表内字1"/>
    <w:basedOn w:val="1"/>
    <w:qFormat/>
    <w:uiPriority w:val="0"/>
    <w:pPr>
      <w:adjustRightInd w:val="0"/>
      <w:snapToGrid w:val="0"/>
      <w:spacing w:line="300" w:lineRule="exact"/>
      <w:jc w:val="center"/>
    </w:pPr>
    <w:rPr>
      <w:color w:val="000000"/>
      <w:sz w:val="22"/>
      <w:szCs w:val="21"/>
    </w:rPr>
  </w:style>
  <w:style w:type="paragraph" w:customStyle="1" w:styleId="57">
    <w:name w:val="表内字"/>
    <w:qFormat/>
    <w:uiPriority w:val="0"/>
    <w:pPr>
      <w:widowControl w:val="0"/>
      <w:autoSpaceDE w:val="0"/>
      <w:autoSpaceDN w:val="0"/>
      <w:adjustRightInd w:val="0"/>
      <w:snapToGrid w:val="0"/>
      <w:jc w:val="center"/>
    </w:pPr>
    <w:rPr>
      <w:rFonts w:ascii="Tahoma" w:hAnsi="Tahoma" w:eastAsia="宋体" w:cs="Times New Roman"/>
      <w:kern w:val="2"/>
      <w:sz w:val="21"/>
      <w:szCs w:val="21"/>
      <w:lang w:val="en-US" w:eastAsia="zh-CN" w:bidi="ar-SA"/>
    </w:rPr>
  </w:style>
  <w:style w:type="paragraph" w:customStyle="1" w:styleId="58">
    <w:name w:val="我的正文格式"/>
    <w:basedOn w:val="1"/>
    <w:qFormat/>
    <w:uiPriority w:val="0"/>
    <w:pPr>
      <w:spacing w:line="440" w:lineRule="exact"/>
      <w:ind w:firstLine="480" w:firstLineChars="200"/>
    </w:pPr>
    <w:rPr>
      <w:rFonts w:ascii="Calibri" w:hAnsi="Calibri"/>
      <w:sz w:val="24"/>
    </w:rPr>
  </w:style>
  <w:style w:type="paragraph" w:customStyle="1" w:styleId="59">
    <w:name w:val="表格名称"/>
    <w:basedOn w:val="1"/>
    <w:qFormat/>
    <w:uiPriority w:val="0"/>
    <w:pPr>
      <w:spacing w:line="360" w:lineRule="auto"/>
      <w:ind w:firstLine="200" w:firstLineChars="200"/>
      <w:jc w:val="center"/>
    </w:pPr>
    <w:rPr>
      <w:rFonts w:eastAsia="等线"/>
      <w:b/>
      <w:sz w:val="24"/>
      <w:szCs w:val="22"/>
    </w:rPr>
  </w:style>
  <w:style w:type="paragraph" w:customStyle="1" w:styleId="60">
    <w:name w:val="样式3"/>
    <w:basedOn w:val="48"/>
    <w:qFormat/>
    <w:uiPriority w:val="0"/>
    <w:pPr>
      <w:spacing w:line="240" w:lineRule="auto"/>
      <w:jc w:val="both"/>
    </w:pPr>
  </w:style>
  <w:style w:type="paragraph" w:customStyle="1" w:styleId="61">
    <w:name w:val="正文111111111"/>
    <w:basedOn w:val="1"/>
    <w:qFormat/>
    <w:uiPriority w:val="0"/>
    <w:pPr>
      <w:spacing w:line="360" w:lineRule="auto"/>
      <w:ind w:firstLine="480" w:firstLineChars="200"/>
    </w:pPr>
    <w:rPr>
      <w:sz w:val="24"/>
      <w:szCs w:val="20"/>
    </w:rPr>
  </w:style>
  <w:style w:type="paragraph" w:customStyle="1" w:styleId="62">
    <w:name w:val="表文排版"/>
    <w:basedOn w:val="10"/>
    <w:next w:val="1"/>
    <w:qFormat/>
    <w:uiPriority w:val="0"/>
    <w:pPr>
      <w:autoSpaceDE w:val="0"/>
      <w:autoSpaceDN w:val="0"/>
      <w:adjustRightInd w:val="0"/>
      <w:spacing w:after="0" w:line="360" w:lineRule="auto"/>
      <w:ind w:firstLine="482"/>
      <w:jc w:val="center"/>
      <w:textAlignment w:val="baseline"/>
    </w:pPr>
    <w:rPr>
      <w:sz w:val="22"/>
      <w:szCs w:val="24"/>
    </w:rPr>
  </w:style>
  <w:style w:type="paragraph" w:customStyle="1" w:styleId="63">
    <w:name w:val="正文(首行缩进)"/>
    <w:basedOn w:val="1"/>
    <w:qFormat/>
    <w:uiPriority w:val="0"/>
    <w:pPr>
      <w:snapToGrid w:val="0"/>
      <w:spacing w:line="360" w:lineRule="auto"/>
      <w:ind w:firstLine="510"/>
    </w:pPr>
    <w:rPr>
      <w:rFonts w:ascii="宋体" w:hAnsi="宋体" w:cs="serif"/>
      <w:kern w:val="0"/>
      <w:sz w:val="24"/>
      <w:szCs w:val="20"/>
    </w:rPr>
  </w:style>
  <w:style w:type="paragraph" w:customStyle="1" w:styleId="64">
    <w:name w:val="表格标题"/>
    <w:basedOn w:val="65"/>
    <w:qFormat/>
    <w:uiPriority w:val="0"/>
    <w:pPr>
      <w:numPr>
        <w:ilvl w:val="3"/>
        <w:numId w:val="2"/>
      </w:numPr>
      <w:ind w:right="100" w:rightChars="100"/>
    </w:pPr>
    <w:rPr>
      <w:b/>
    </w:rPr>
  </w:style>
  <w:style w:type="paragraph" w:customStyle="1" w:styleId="65">
    <w:name w:val="1  表头"/>
    <w:basedOn w:val="1"/>
    <w:qFormat/>
    <w:uiPriority w:val="0"/>
    <w:pPr>
      <w:adjustRightInd w:val="0"/>
      <w:snapToGrid w:val="0"/>
      <w:spacing w:line="240" w:lineRule="atLeast"/>
      <w:jc w:val="center"/>
    </w:pPr>
    <w:rPr>
      <w:color w:val="000000"/>
      <w:sz w:val="24"/>
      <w:szCs w:val="20"/>
    </w:rPr>
  </w:style>
  <w:style w:type="paragraph" w:customStyle="1" w:styleId="66">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xl31"/>
    <w:basedOn w:val="1"/>
    <w:qFormat/>
    <w:uiPriority w:val="0"/>
    <w:pPr>
      <w:widowControl/>
      <w:spacing w:before="100" w:beforeAutospacing="1" w:after="100" w:afterAutospacing="1"/>
      <w:jc w:val="center"/>
    </w:pPr>
    <w:rPr>
      <w:kern w:val="0"/>
      <w:sz w:val="24"/>
    </w:rPr>
  </w:style>
  <w:style w:type="paragraph" w:customStyle="1" w:styleId="68">
    <w:name w:val="正文1"/>
    <w:basedOn w:val="1"/>
    <w:qFormat/>
    <w:uiPriority w:val="0"/>
    <w:pPr>
      <w:spacing w:line="360" w:lineRule="auto"/>
    </w:pPr>
    <w:rPr>
      <w:rFonts w:ascii="仿宋_GB2312" w:eastAsia="仿宋_GB2312"/>
      <w:sz w:val="24"/>
      <w:szCs w:val="20"/>
    </w:rPr>
  </w:style>
  <w:style w:type="paragraph" w:customStyle="1" w:styleId="69">
    <w:name w:val="表-正文-L"/>
    <w:basedOn w:val="1"/>
    <w:qFormat/>
    <w:uiPriority w:val="0"/>
    <w:pPr>
      <w:spacing w:line="440" w:lineRule="exact"/>
      <w:ind w:firstLine="480" w:firstLineChars="200"/>
    </w:pPr>
    <w:rPr>
      <w:bCs/>
      <w:sz w:val="24"/>
      <w:szCs w:val="20"/>
    </w:rPr>
  </w:style>
  <w:style w:type="character" w:customStyle="1" w:styleId="70">
    <w:name w:val="font31"/>
    <w:basedOn w:val="24"/>
    <w:qFormat/>
    <w:uiPriority w:val="0"/>
    <w:rPr>
      <w:rFonts w:hint="default" w:ascii="Times New Roman" w:hAnsi="Times New Roman" w:cs="Times New Roman"/>
      <w:color w:val="000000"/>
      <w:sz w:val="21"/>
      <w:szCs w:val="21"/>
      <w:u w:val="none"/>
      <w:vertAlign w:val="subscript"/>
    </w:rPr>
  </w:style>
  <w:style w:type="character" w:customStyle="1" w:styleId="71">
    <w:name w:val="font11"/>
    <w:basedOn w:val="24"/>
    <w:qFormat/>
    <w:uiPriority w:val="0"/>
    <w:rPr>
      <w:rFonts w:hint="default" w:ascii="Times New Roman" w:hAnsi="Times New Roman" w:cs="Times New Roman"/>
      <w:color w:val="000000"/>
      <w:sz w:val="21"/>
      <w:szCs w:val="21"/>
      <w:u w:val="none"/>
    </w:rPr>
  </w:style>
  <w:style w:type="paragraph" w:customStyle="1" w:styleId="72">
    <w:name w:val="【正文】"/>
    <w:basedOn w:val="1"/>
    <w:qFormat/>
    <w:uiPriority w:val="0"/>
    <w:pPr>
      <w:spacing w:beforeLines="10" w:afterLines="10" w:line="440" w:lineRule="exact"/>
      <w:ind w:firstLine="544" w:firstLineChars="200"/>
    </w:pPr>
    <w:rPr>
      <w:sz w:val="24"/>
      <w:szCs w:val="20"/>
    </w:rPr>
  </w:style>
  <w:style w:type="paragraph" w:customStyle="1" w:styleId="73">
    <w:name w:val="缩进正文"/>
    <w:basedOn w:val="1"/>
    <w:qFormat/>
    <w:uiPriority w:val="0"/>
    <w:pPr>
      <w:spacing w:line="360" w:lineRule="auto"/>
      <w:ind w:firstLine="720" w:firstLineChars="200"/>
    </w:pPr>
    <w:rPr>
      <w:sz w:val="24"/>
    </w:rPr>
  </w:style>
  <w:style w:type="paragraph" w:customStyle="1" w:styleId="74">
    <w:name w:val="新格式表"/>
    <w:basedOn w:val="1"/>
    <w:qFormat/>
    <w:uiPriority w:val="0"/>
    <w:pPr>
      <w:spacing w:line="260" w:lineRule="exact"/>
      <w:jc w:val="center"/>
    </w:pPr>
    <w:rPr>
      <w:rFonts w:ascii="Cambria Math" w:hAnsi="Cambria Math" w:cs="Cambria Math"/>
      <w:snapToGrid w:val="0"/>
      <w:szCs w:val="21"/>
    </w:rPr>
  </w:style>
  <w:style w:type="paragraph" w:customStyle="1" w:styleId="75">
    <w:name w:val="我的"/>
    <w:basedOn w:val="1"/>
    <w:qFormat/>
    <w:uiPriority w:val="0"/>
    <w:pPr>
      <w:spacing w:line="360" w:lineRule="auto"/>
    </w:pPr>
    <w:rPr>
      <w:rFonts w:eastAsia="仿宋" w:cs="serif"/>
      <w:sz w:val="24"/>
      <w:szCs w:val="20"/>
    </w:rPr>
  </w:style>
  <w:style w:type="paragraph" w:customStyle="1" w:styleId="7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77">
    <w:name w:val="标题 1 字符"/>
    <w:link w:val="3"/>
    <w:qFormat/>
    <w:uiPriority w:val="99"/>
    <w:rPr>
      <w:rFonts w:eastAsia="微软雅黑 Regular"/>
      <w:b/>
      <w:bCs/>
      <w:color w:val="000000"/>
      <w:kern w:val="44"/>
      <w:sz w:val="30"/>
      <w:szCs w:val="30"/>
    </w:rPr>
  </w:style>
  <w:style w:type="paragraph" w:customStyle="1" w:styleId="78">
    <w:name w:val="报告正文"/>
    <w:basedOn w:val="1"/>
    <w:qFormat/>
    <w:uiPriority w:val="0"/>
    <w:pPr>
      <w:adjustRightInd w:val="0"/>
      <w:spacing w:line="360" w:lineRule="auto"/>
      <w:ind w:firstLine="480" w:firstLineChars="200"/>
    </w:pPr>
    <w:rPr>
      <w:rFonts w:eastAsia="仿宋_GB2312"/>
      <w:sz w:val="24"/>
      <w:lang w:val="en-GB"/>
    </w:rPr>
  </w:style>
  <w:style w:type="character" w:customStyle="1" w:styleId="79">
    <w:name w:val="批注文字 字符"/>
    <w:basedOn w:val="24"/>
    <w:link w:val="9"/>
    <w:qFormat/>
    <w:uiPriority w:val="0"/>
    <w:rPr>
      <w:sz w:val="24"/>
    </w:rPr>
  </w:style>
  <w:style w:type="character" w:customStyle="1" w:styleId="80">
    <w:name w:val="批注主题 字符"/>
    <w:basedOn w:val="79"/>
    <w:link w:val="20"/>
    <w:qFormat/>
    <w:uiPriority w:val="0"/>
    <w:rPr>
      <w:b/>
      <w:bCs/>
      <w:kern w:val="2"/>
      <w:sz w:val="21"/>
      <w:szCs w:val="24"/>
    </w:rPr>
  </w:style>
  <w:style w:type="paragraph" w:customStyle="1" w:styleId="81">
    <w:name w:val="样式19"/>
    <w:basedOn w:val="1"/>
    <w:qFormat/>
    <w:uiPriority w:val="0"/>
    <w:pPr>
      <w:widowControl/>
      <w:adjustRightInd w:val="0"/>
      <w:snapToGrid w:val="0"/>
      <w:spacing w:line="460" w:lineRule="exact"/>
      <w:ind w:firstLine="520" w:firstLineChars="200"/>
      <w:jc w:val="left"/>
    </w:pPr>
    <w:rPr>
      <w:rFonts w:ascii="宋体" w:hAnsi="宋体" w:cs="宋体"/>
      <w:kern w:val="0"/>
      <w:sz w:val="26"/>
      <w:szCs w:val="26"/>
    </w:rPr>
  </w:style>
  <w:style w:type="paragraph" w:customStyle="1" w:styleId="82">
    <w:name w:val="四级标题"/>
    <w:basedOn w:val="83"/>
    <w:next w:val="45"/>
    <w:qFormat/>
    <w:uiPriority w:val="2"/>
    <w:pPr>
      <w:tabs>
        <w:tab w:val="left" w:pos="360"/>
      </w:tabs>
      <w:spacing w:line="480" w:lineRule="exact"/>
      <w:ind w:firstLine="522" w:firstLineChars="200"/>
      <w:jc w:val="both"/>
      <w:outlineLvl w:val="3"/>
    </w:pPr>
    <w:rPr>
      <w:bCs w:val="0"/>
      <w:szCs w:val="21"/>
    </w:rPr>
  </w:style>
  <w:style w:type="paragraph" w:customStyle="1" w:styleId="83">
    <w:name w:val="三级标题"/>
    <w:basedOn w:val="1"/>
    <w:next w:val="1"/>
    <w:qFormat/>
    <w:uiPriority w:val="2"/>
    <w:pPr>
      <w:spacing w:line="460" w:lineRule="exact"/>
      <w:jc w:val="left"/>
      <w:outlineLvl w:val="2"/>
    </w:pPr>
    <w:rPr>
      <w:b/>
      <w:bCs/>
      <w:kern w:val="0"/>
      <w:sz w:val="24"/>
      <w:szCs w:val="26"/>
    </w:rPr>
  </w:style>
  <w:style w:type="paragraph" w:customStyle="1" w:styleId="84">
    <w:name w:val="正文cmb"/>
    <w:basedOn w:val="1"/>
    <w:qFormat/>
    <w:uiPriority w:val="0"/>
    <w:pPr>
      <w:spacing w:line="520" w:lineRule="exact"/>
      <w:ind w:firstLine="200" w:firstLineChars="200"/>
      <w:jc w:val="left"/>
    </w:pPr>
    <w:rPr>
      <w:rFonts w:ascii="宋体" w:hAnsi="宋体"/>
      <w:kern w:val="0"/>
      <w:sz w:val="28"/>
      <w:szCs w:val="24"/>
    </w:rPr>
  </w:style>
  <w:style w:type="paragraph" w:customStyle="1" w:styleId="85">
    <w:name w:val="首行缩进正文"/>
    <w:basedOn w:val="1"/>
    <w:qFormat/>
    <w:uiPriority w:val="0"/>
    <w:pPr>
      <w:spacing w:line="360" w:lineRule="auto"/>
      <w:ind w:firstLine="48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5.emf"/><Relationship Id="rId44" Type="http://schemas.openxmlformats.org/officeDocument/2006/relationships/oleObject" Target="embeddings/oleObject11.bin"/><Relationship Id="rId43" Type="http://schemas.openxmlformats.org/officeDocument/2006/relationships/image" Target="media/image24.emf"/><Relationship Id="rId42" Type="http://schemas.openxmlformats.org/officeDocument/2006/relationships/oleObject" Target="embeddings/oleObject10.bin"/><Relationship Id="rId41" Type="http://schemas.openxmlformats.org/officeDocument/2006/relationships/image" Target="media/image23.emf"/><Relationship Id="rId40" Type="http://schemas.openxmlformats.org/officeDocument/2006/relationships/oleObject" Target="embeddings/oleObject9.bin"/><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emf"/><Relationship Id="rId32" Type="http://schemas.openxmlformats.org/officeDocument/2006/relationships/oleObject" Target="embeddings/oleObject8.bin"/><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png"/><Relationship Id="rId24" Type="http://schemas.openxmlformats.org/officeDocument/2006/relationships/image" Target="media/image10.emf"/><Relationship Id="rId23" Type="http://schemas.openxmlformats.org/officeDocument/2006/relationships/oleObject" Target="embeddings/oleObject5.bin"/><Relationship Id="rId22" Type="http://schemas.openxmlformats.org/officeDocument/2006/relationships/image" Target="media/image9.emf"/><Relationship Id="rId21" Type="http://schemas.openxmlformats.org/officeDocument/2006/relationships/oleObject" Target="embeddings/oleObject4.bin"/><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emf"/><Relationship Id="rId17" Type="http://schemas.openxmlformats.org/officeDocument/2006/relationships/oleObject" Target="embeddings/oleObject3.bin"/><Relationship Id="rId16" Type="http://schemas.openxmlformats.org/officeDocument/2006/relationships/image" Target="media/image5.emf"/><Relationship Id="rId15" Type="http://schemas.openxmlformats.org/officeDocument/2006/relationships/oleObject" Target="embeddings/oleObject2.bin"/><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32"/>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137</Pages>
  <Words>16942</Words>
  <Characters>18189</Characters>
  <Lines>669</Lines>
  <Paragraphs>188</Paragraphs>
  <TotalTime>0</TotalTime>
  <ScaleCrop>false</ScaleCrop>
  <LinksUpToDate>false</LinksUpToDate>
  <CharactersWithSpaces>18281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2023-06-08T03:12:00Z</dcterms:created>
  <dc:creator>5  seconds  of  summer</dc:creator>
  <cp:lastModifiedBy>5 seconds of summer</cp:lastModifiedBy>
  <dcterms:modified xsi:type="dcterms:W3CDTF">2025-04-09T07:00:10Z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78549DF541474084B8087C35A39980AF_13</vt:lpwstr>
  </property>
  <property fmtid="{D5CDD505-2E9C-101B-9397-08002B2CF9AE}" pid="4" name="KSOTemplateDocerSaveRecord">
    <vt:lpwstr>eyJoZGlkIjoiNmJhMjRhZjBjNDk3MzM1ZTMyNjA5Zjk4ZjNmOTZhOGQiLCJ1c2VySWQiOiI0NTA5NDgxMjEifQ==</vt:lpwstr>
  </property>
</Properties>
</file>